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DD" w:rsidRDefault="00CC53D4" w:rsidP="00955B1B">
      <w:pPr>
        <w:pStyle w:val="NoSpacing"/>
        <w:jc w:val="center"/>
        <w:rPr>
          <w:rFonts w:ascii="Arial Bold" w:hAnsi="Arial Bold"/>
          <w:color w:val="23A4DE"/>
          <w:sz w:val="28"/>
          <w:szCs w:val="28"/>
        </w:rPr>
      </w:pPr>
      <w:bookmarkStart w:id="0" w:name="_top"/>
      <w:bookmarkStart w:id="1" w:name="_Toc362946577"/>
      <w:bookmarkStart w:id="2" w:name="_Toc367694005"/>
      <w:bookmarkEnd w:id="0"/>
      <w:r w:rsidRPr="00FC3476">
        <w:rPr>
          <w:rFonts w:ascii="Arial Bold" w:hAnsi="Arial Bold"/>
          <w:color w:val="23A4DE"/>
          <w:sz w:val="28"/>
          <w:szCs w:val="28"/>
        </w:rPr>
        <w:t xml:space="preserve">NICCY Summary: NI Assembly Written Answers for Week Ending </w:t>
      </w:r>
      <w:bookmarkStart w:id="3" w:name="_Section_75_of"/>
      <w:bookmarkEnd w:id="1"/>
      <w:bookmarkEnd w:id="2"/>
      <w:bookmarkEnd w:id="3"/>
      <w:r w:rsidR="007F70D3">
        <w:rPr>
          <w:rFonts w:ascii="Arial Bold" w:hAnsi="Arial Bold"/>
          <w:color w:val="23A4DE"/>
          <w:sz w:val="28"/>
          <w:szCs w:val="28"/>
        </w:rPr>
        <w:t>7</w:t>
      </w:r>
      <w:r w:rsidR="007F70D3" w:rsidRPr="007F70D3">
        <w:rPr>
          <w:rFonts w:ascii="Arial Bold" w:hAnsi="Arial Bold"/>
          <w:color w:val="23A4DE"/>
          <w:sz w:val="28"/>
          <w:szCs w:val="28"/>
          <w:vertAlign w:val="superscript"/>
        </w:rPr>
        <w:t>th</w:t>
      </w:r>
      <w:r w:rsidR="007F70D3">
        <w:rPr>
          <w:rFonts w:ascii="Arial Bold" w:hAnsi="Arial Bold"/>
          <w:color w:val="23A4DE"/>
          <w:sz w:val="28"/>
          <w:szCs w:val="28"/>
        </w:rPr>
        <w:t xml:space="preserve"> March</w:t>
      </w:r>
      <w:r w:rsidR="00E62C60">
        <w:rPr>
          <w:rFonts w:ascii="Arial Bold" w:hAnsi="Arial Bold"/>
          <w:color w:val="23A4DE"/>
          <w:sz w:val="28"/>
          <w:szCs w:val="28"/>
        </w:rPr>
        <w:t xml:space="preserve"> </w:t>
      </w:r>
      <w:r w:rsidR="00115282">
        <w:rPr>
          <w:rFonts w:ascii="Arial Bold" w:hAnsi="Arial Bold"/>
          <w:color w:val="23A4DE"/>
          <w:sz w:val="28"/>
          <w:szCs w:val="28"/>
        </w:rPr>
        <w:t>2014</w:t>
      </w:r>
    </w:p>
    <w:p w:rsidR="000A5C4F" w:rsidRDefault="000A5C4F" w:rsidP="000A5C4F">
      <w:pPr>
        <w:pStyle w:val="Heading2"/>
      </w:pPr>
    </w:p>
    <w:p w:rsidR="000A5C4F" w:rsidRDefault="00B4315F" w:rsidP="000A5C4F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bCs w:val="0"/>
          <w:color w:val="23A4DE"/>
          <w:szCs w:val="28"/>
        </w:rPr>
      </w:pPr>
      <w:hyperlink w:anchor="_Financially_Supported_Childcare" w:history="1">
        <w:r w:rsidR="000A5C4F" w:rsidRPr="000A5C4F">
          <w:rPr>
            <w:rFonts w:ascii="Arial Bold" w:eastAsia="Times New Roman" w:hAnsi="Arial Bold" w:cs="Arial"/>
            <w:bCs w:val="0"/>
            <w:color w:val="23A4DE"/>
            <w:szCs w:val="28"/>
          </w:rPr>
          <w:t>Financially Supported Childcare Places</w:t>
        </w:r>
      </w:hyperlink>
    </w:p>
    <w:p w:rsidR="000A5C4F" w:rsidRDefault="000A5C4F" w:rsidP="000A5C4F">
      <w:pPr>
        <w:rPr>
          <w:rFonts w:eastAsiaTheme="minorEastAsia"/>
        </w:rPr>
      </w:pPr>
    </w:p>
    <w:p w:rsidR="000A5C4F" w:rsidRDefault="00B4315F" w:rsidP="000A5C4F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bCs w:val="0"/>
          <w:color w:val="23A4DE"/>
          <w:szCs w:val="28"/>
        </w:rPr>
      </w:pPr>
      <w:hyperlink w:anchor="_Equality_Legislation_for" w:history="1">
        <w:r w:rsidR="000A5C4F" w:rsidRPr="000A5C4F">
          <w:rPr>
            <w:rFonts w:ascii="Arial Bold" w:eastAsia="Times New Roman" w:hAnsi="Arial Bold" w:cs="Arial"/>
            <w:bCs w:val="0"/>
            <w:color w:val="23A4DE"/>
            <w:szCs w:val="28"/>
          </w:rPr>
          <w:t>Equality Legislation for Older People</w:t>
        </w:r>
      </w:hyperlink>
    </w:p>
    <w:p w:rsidR="004E21FE" w:rsidRDefault="004E21FE" w:rsidP="004E21FE">
      <w:pPr>
        <w:rPr>
          <w:rFonts w:eastAsiaTheme="minorEastAsia"/>
        </w:rPr>
      </w:pPr>
    </w:p>
    <w:p w:rsidR="004E21FE" w:rsidRDefault="00B4315F" w:rsidP="004E21FE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bCs w:val="0"/>
          <w:color w:val="23A4DE"/>
          <w:szCs w:val="28"/>
        </w:rPr>
      </w:pPr>
      <w:hyperlink w:anchor="_EU_School_Milk" w:history="1">
        <w:r w:rsidR="004E21FE" w:rsidRPr="004E21FE">
          <w:rPr>
            <w:rFonts w:ascii="Arial Bold" w:eastAsia="Times New Roman" w:hAnsi="Arial Bold" w:cs="Arial"/>
            <w:bCs w:val="0"/>
            <w:color w:val="23A4DE"/>
            <w:szCs w:val="28"/>
          </w:rPr>
          <w:t>EU School Milk Subsidy Scheme</w:t>
        </w:r>
      </w:hyperlink>
    </w:p>
    <w:p w:rsidR="004E21FE" w:rsidRDefault="004E21FE" w:rsidP="004E21FE">
      <w:pPr>
        <w:rPr>
          <w:rFonts w:eastAsiaTheme="minorEastAsia"/>
        </w:rPr>
      </w:pPr>
    </w:p>
    <w:p w:rsidR="004E21FE" w:rsidRDefault="00B4315F" w:rsidP="004E21FE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bCs w:val="0"/>
          <w:color w:val="23A4DE"/>
          <w:szCs w:val="28"/>
        </w:rPr>
      </w:pPr>
      <w:hyperlink w:anchor="_Special_Educational_Needs" w:history="1">
        <w:r w:rsidR="004E21FE" w:rsidRPr="004E21FE">
          <w:rPr>
            <w:rFonts w:ascii="Arial Bold" w:eastAsia="Times New Roman" w:hAnsi="Arial Bold" w:cs="Arial"/>
            <w:bCs w:val="0"/>
            <w:color w:val="23A4DE"/>
            <w:szCs w:val="28"/>
          </w:rPr>
          <w:t>Special Educational Needs System</w:t>
        </w:r>
      </w:hyperlink>
    </w:p>
    <w:p w:rsidR="004E21FE" w:rsidRDefault="004E21FE" w:rsidP="004E21FE">
      <w:pPr>
        <w:rPr>
          <w:rFonts w:eastAsiaTheme="minorEastAsia"/>
        </w:rPr>
      </w:pPr>
    </w:p>
    <w:p w:rsidR="004E21FE" w:rsidRDefault="00B4315F" w:rsidP="004E21FE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bCs w:val="0"/>
          <w:color w:val="23A4DE"/>
          <w:szCs w:val="28"/>
        </w:rPr>
      </w:pPr>
      <w:hyperlink w:anchor="_Training_for_Teachers" w:history="1">
        <w:r w:rsidR="004E21FE" w:rsidRPr="004E21FE">
          <w:rPr>
            <w:rFonts w:ascii="Arial Bold" w:eastAsia="Times New Roman" w:hAnsi="Arial Bold" w:cs="Arial"/>
            <w:bCs w:val="0"/>
            <w:color w:val="23A4DE"/>
            <w:szCs w:val="28"/>
          </w:rPr>
          <w:t>Training for Teachers of Children with Autism</w:t>
        </w:r>
      </w:hyperlink>
    </w:p>
    <w:p w:rsidR="00C34E16" w:rsidRDefault="00C34E16" w:rsidP="00C34E16"/>
    <w:p w:rsidR="00C34E16" w:rsidRDefault="00B4315F" w:rsidP="00C34E16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bCs w:val="0"/>
          <w:color w:val="23A4DE"/>
          <w:szCs w:val="28"/>
        </w:rPr>
      </w:pPr>
      <w:hyperlink w:anchor="_Education_Bill" w:history="1">
        <w:r w:rsidR="00C34E16" w:rsidRPr="00C34E16">
          <w:rPr>
            <w:rFonts w:ascii="Arial Bold" w:eastAsia="Times New Roman" w:hAnsi="Arial Bold" w:cs="Arial"/>
            <w:bCs w:val="0"/>
            <w:color w:val="23A4DE"/>
            <w:szCs w:val="28"/>
          </w:rPr>
          <w:t>Education Bill</w:t>
        </w:r>
      </w:hyperlink>
    </w:p>
    <w:p w:rsidR="00C34E16" w:rsidRDefault="00C34E16" w:rsidP="00C34E16">
      <w:pPr>
        <w:rPr>
          <w:rFonts w:eastAsiaTheme="minorEastAsia"/>
        </w:rPr>
      </w:pPr>
    </w:p>
    <w:p w:rsidR="00C34E16" w:rsidRDefault="00B4315F" w:rsidP="00C34E16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bCs w:val="0"/>
          <w:color w:val="23A4DE"/>
          <w:szCs w:val="28"/>
        </w:rPr>
      </w:pPr>
      <w:hyperlink w:anchor="_Schools:_Area_Planning" w:history="1">
        <w:r w:rsidR="00C34E16" w:rsidRPr="00C34E16">
          <w:rPr>
            <w:rFonts w:ascii="Arial Bold" w:eastAsia="Times New Roman" w:hAnsi="Arial Bold" w:cs="Arial"/>
            <w:bCs w:val="0"/>
            <w:color w:val="23A4DE"/>
            <w:szCs w:val="28"/>
          </w:rPr>
          <w:t>Schools: Area Planning</w:t>
        </w:r>
      </w:hyperlink>
    </w:p>
    <w:p w:rsidR="00C34E16" w:rsidRDefault="00C34E16" w:rsidP="00C34E16">
      <w:pPr>
        <w:rPr>
          <w:rFonts w:eastAsiaTheme="minorEastAsia"/>
        </w:rPr>
      </w:pPr>
    </w:p>
    <w:p w:rsidR="00C34E16" w:rsidRDefault="00B4315F" w:rsidP="00C34E16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bCs w:val="0"/>
          <w:color w:val="23A4DE"/>
          <w:szCs w:val="28"/>
        </w:rPr>
      </w:pPr>
      <w:hyperlink w:anchor="_Playground_Name" w:history="1">
        <w:r w:rsidR="00C34E16" w:rsidRPr="00C34E16">
          <w:rPr>
            <w:rFonts w:ascii="Arial Bold" w:eastAsia="Times New Roman" w:hAnsi="Arial Bold" w:cs="Arial"/>
            <w:bCs w:val="0"/>
            <w:color w:val="23A4DE"/>
            <w:szCs w:val="28"/>
          </w:rPr>
          <w:t>Playground Name</w:t>
        </w:r>
      </w:hyperlink>
    </w:p>
    <w:p w:rsidR="00C34E16" w:rsidRDefault="00C34E16" w:rsidP="00C34E16">
      <w:pPr>
        <w:rPr>
          <w:rFonts w:eastAsiaTheme="minorEastAsia"/>
        </w:rPr>
      </w:pPr>
    </w:p>
    <w:p w:rsidR="00C34E16" w:rsidRDefault="00B4315F" w:rsidP="00C34E16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bCs w:val="0"/>
          <w:color w:val="23A4DE"/>
          <w:szCs w:val="28"/>
        </w:rPr>
      </w:pPr>
      <w:hyperlink w:anchor="_Free_School_Meals:" w:history="1">
        <w:r w:rsidR="00C34E16" w:rsidRPr="00C34E16">
          <w:rPr>
            <w:rFonts w:ascii="Arial Bold" w:eastAsia="Times New Roman" w:hAnsi="Arial Bold" w:cs="Arial"/>
            <w:bCs w:val="0"/>
            <w:color w:val="23A4DE"/>
            <w:szCs w:val="28"/>
          </w:rPr>
          <w:t>Free School Meals: Capital Funding Received by the Northern Ireland Executive</w:t>
        </w:r>
      </w:hyperlink>
    </w:p>
    <w:p w:rsidR="00E12DB7" w:rsidRDefault="00E12DB7" w:rsidP="00E12DB7"/>
    <w:p w:rsidR="00E12DB7" w:rsidRDefault="00B4315F" w:rsidP="00E12DB7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bCs w:val="0"/>
          <w:color w:val="23A4DE"/>
          <w:szCs w:val="28"/>
        </w:rPr>
      </w:pPr>
      <w:hyperlink w:anchor="_Children:_Elective_Cardiac" w:history="1">
        <w:r w:rsidR="00E12DB7" w:rsidRPr="00E12DB7">
          <w:rPr>
            <w:rFonts w:ascii="Arial Bold" w:eastAsia="Times New Roman" w:hAnsi="Arial Bold" w:cs="Arial"/>
            <w:bCs w:val="0"/>
            <w:color w:val="23A4DE"/>
            <w:szCs w:val="28"/>
          </w:rPr>
          <w:t>Children: Elective Cardiac Procedures</w:t>
        </w:r>
      </w:hyperlink>
    </w:p>
    <w:p w:rsidR="00E12DB7" w:rsidRDefault="00E12DB7" w:rsidP="00E12DB7">
      <w:pPr>
        <w:rPr>
          <w:rFonts w:eastAsiaTheme="minorEastAsia"/>
        </w:rPr>
      </w:pPr>
    </w:p>
    <w:p w:rsidR="00E12DB7" w:rsidRDefault="00B4315F" w:rsidP="00E12DB7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bCs w:val="0"/>
          <w:color w:val="23A4DE"/>
          <w:szCs w:val="28"/>
        </w:rPr>
      </w:pPr>
      <w:hyperlink w:anchor="_Paediatric_Cardiac_Surgery" w:history="1">
        <w:r w:rsidR="00E12DB7" w:rsidRPr="00E12DB7">
          <w:rPr>
            <w:rFonts w:ascii="Arial Bold" w:eastAsia="Times New Roman" w:hAnsi="Arial Bold" w:cs="Arial"/>
            <w:bCs w:val="0"/>
            <w:color w:val="23A4DE"/>
            <w:szCs w:val="28"/>
          </w:rPr>
          <w:t>Paediatric Cardiac Surgery</w:t>
        </w:r>
      </w:hyperlink>
    </w:p>
    <w:p w:rsidR="00E12DB7" w:rsidRDefault="00E12DB7" w:rsidP="00E12DB7">
      <w:pPr>
        <w:rPr>
          <w:rFonts w:eastAsiaTheme="minorEastAsia"/>
        </w:rPr>
      </w:pPr>
    </w:p>
    <w:p w:rsidR="00E12DB7" w:rsidRDefault="00B4315F" w:rsidP="00E12DB7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bCs w:val="0"/>
          <w:color w:val="23A4DE"/>
          <w:szCs w:val="28"/>
        </w:rPr>
      </w:pPr>
      <w:hyperlink w:anchor="_Children_Receiving_Health" w:history="1">
        <w:r w:rsidR="00E12DB7" w:rsidRPr="00E12DB7">
          <w:rPr>
            <w:rFonts w:ascii="Arial Bold" w:eastAsia="Times New Roman" w:hAnsi="Arial Bold" w:cs="Arial"/>
            <w:bCs w:val="0"/>
            <w:color w:val="23A4DE"/>
            <w:szCs w:val="28"/>
          </w:rPr>
          <w:t>Children Receiving Health Service Funded Specialist Care</w:t>
        </w:r>
      </w:hyperlink>
    </w:p>
    <w:p w:rsidR="00FC4D5E" w:rsidRDefault="00FC4D5E" w:rsidP="00FC4D5E">
      <w:pPr>
        <w:rPr>
          <w:rFonts w:eastAsiaTheme="minorEastAsia"/>
        </w:rPr>
      </w:pPr>
    </w:p>
    <w:p w:rsidR="00FC4D5E" w:rsidRDefault="00B4315F" w:rsidP="00FC4D5E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bCs w:val="0"/>
          <w:color w:val="23A4DE"/>
          <w:szCs w:val="28"/>
        </w:rPr>
      </w:pPr>
      <w:hyperlink w:anchor="_Young_People:_Consumption" w:history="1">
        <w:r w:rsidR="00FC4D5E" w:rsidRPr="00FC4D5E">
          <w:rPr>
            <w:rFonts w:ascii="Arial Bold" w:eastAsia="Times New Roman" w:hAnsi="Arial Bold" w:cs="Arial"/>
            <w:bCs w:val="0"/>
            <w:color w:val="23A4DE"/>
            <w:szCs w:val="28"/>
          </w:rPr>
          <w:t>Young People: Consumption of Drugs</w:t>
        </w:r>
      </w:hyperlink>
    </w:p>
    <w:p w:rsidR="00EE5BCF" w:rsidRDefault="00EE5BCF" w:rsidP="00EE5BCF">
      <w:pPr>
        <w:rPr>
          <w:rFonts w:eastAsiaTheme="minorEastAsia"/>
        </w:rPr>
      </w:pPr>
    </w:p>
    <w:p w:rsidR="00EE5BCF" w:rsidRDefault="00B4315F" w:rsidP="00EE5BCF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bCs w:val="0"/>
          <w:color w:val="23A4DE"/>
          <w:szCs w:val="28"/>
        </w:rPr>
      </w:pPr>
      <w:hyperlink w:anchor="_Vulnerable_People_in" w:history="1">
        <w:r w:rsidR="00EE5BCF" w:rsidRPr="00EE5BCF">
          <w:rPr>
            <w:rFonts w:ascii="Arial Bold" w:eastAsia="Times New Roman" w:hAnsi="Arial Bold" w:cs="Arial"/>
            <w:color w:val="23A4DE"/>
            <w:szCs w:val="28"/>
          </w:rPr>
          <w:t>Vulnerable People in Care and Residential Homes</w:t>
        </w:r>
      </w:hyperlink>
    </w:p>
    <w:p w:rsidR="00EE5BCF" w:rsidRDefault="00EE5BCF" w:rsidP="00EE5BCF">
      <w:pPr>
        <w:rPr>
          <w:rFonts w:eastAsiaTheme="minorEastAsia"/>
        </w:rPr>
      </w:pPr>
    </w:p>
    <w:p w:rsidR="00EE5BCF" w:rsidRDefault="00B4315F" w:rsidP="00EE5BCF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color w:val="23A4DE"/>
          <w:szCs w:val="28"/>
        </w:rPr>
      </w:pPr>
      <w:hyperlink w:anchor="_Child_Mortality_Rates" w:history="1">
        <w:r w:rsidR="00EE5BCF" w:rsidRPr="00EE5BCF">
          <w:rPr>
            <w:rFonts w:ascii="Arial Bold" w:eastAsia="Times New Roman" w:hAnsi="Arial Bold" w:cs="Arial"/>
            <w:color w:val="23A4DE"/>
            <w:szCs w:val="28"/>
          </w:rPr>
          <w:t>Child Mortality Rates</w:t>
        </w:r>
      </w:hyperlink>
    </w:p>
    <w:p w:rsidR="0011055A" w:rsidRDefault="0011055A" w:rsidP="0011055A">
      <w:pPr>
        <w:rPr>
          <w:rFonts w:eastAsiaTheme="minorEastAsia"/>
        </w:rPr>
      </w:pPr>
    </w:p>
    <w:p w:rsidR="0011055A" w:rsidRDefault="00B4315F" w:rsidP="0011055A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color w:val="23A4DE"/>
          <w:szCs w:val="28"/>
        </w:rPr>
      </w:pPr>
      <w:hyperlink w:anchor="_Family_Proceedings_Case" w:history="1">
        <w:r w:rsidR="0011055A" w:rsidRPr="0011055A">
          <w:rPr>
            <w:rFonts w:ascii="Arial Bold" w:eastAsia="Times New Roman" w:hAnsi="Arial Bold" w:cs="Arial"/>
            <w:color w:val="23A4DE"/>
            <w:szCs w:val="28"/>
          </w:rPr>
          <w:t>Family Proceedings Case Involving the Placement of Children</w:t>
        </w:r>
      </w:hyperlink>
    </w:p>
    <w:p w:rsidR="0011055A" w:rsidRDefault="0011055A" w:rsidP="0011055A">
      <w:pPr>
        <w:rPr>
          <w:rFonts w:eastAsiaTheme="minorEastAsia"/>
        </w:rPr>
      </w:pPr>
    </w:p>
    <w:p w:rsidR="0011055A" w:rsidRDefault="00B4315F" w:rsidP="0011055A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color w:val="23A4DE"/>
          <w:szCs w:val="28"/>
        </w:rPr>
      </w:pPr>
      <w:hyperlink w:anchor="_Children_(Northern_Ireland)" w:history="1">
        <w:r w:rsidR="0011055A" w:rsidRPr="0011055A">
          <w:rPr>
            <w:rFonts w:ascii="Arial Bold" w:eastAsia="Times New Roman" w:hAnsi="Arial Bold" w:cs="Arial"/>
            <w:color w:val="23A4DE"/>
            <w:szCs w:val="28"/>
          </w:rPr>
          <w:t>Children (Northern Ireland) Order 1995</w:t>
        </w:r>
      </w:hyperlink>
    </w:p>
    <w:p w:rsidR="0011055A" w:rsidRDefault="0011055A" w:rsidP="0011055A">
      <w:pPr>
        <w:rPr>
          <w:rFonts w:eastAsiaTheme="minorEastAsia"/>
        </w:rPr>
      </w:pPr>
    </w:p>
    <w:p w:rsidR="0011055A" w:rsidRDefault="00B4315F" w:rsidP="0011055A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color w:val="23A4DE"/>
          <w:szCs w:val="28"/>
        </w:rPr>
      </w:pPr>
      <w:hyperlink w:anchor="_Children_Order_Advisory" w:history="1">
        <w:r w:rsidR="0011055A" w:rsidRPr="0011055A">
          <w:rPr>
            <w:rFonts w:ascii="Arial Bold" w:eastAsia="Times New Roman" w:hAnsi="Arial Bold" w:cs="Arial"/>
            <w:color w:val="23A4DE"/>
            <w:szCs w:val="28"/>
          </w:rPr>
          <w:t>Children Order Advisory Committee</w:t>
        </w:r>
      </w:hyperlink>
    </w:p>
    <w:p w:rsidR="0011055A" w:rsidRDefault="0011055A" w:rsidP="0011055A">
      <w:pPr>
        <w:rPr>
          <w:rFonts w:eastAsiaTheme="minorEastAsia"/>
        </w:rPr>
      </w:pPr>
    </w:p>
    <w:p w:rsidR="0011055A" w:rsidRPr="0011055A" w:rsidRDefault="00B4315F" w:rsidP="0011055A">
      <w:pPr>
        <w:pStyle w:val="Heading2"/>
        <w:numPr>
          <w:ilvl w:val="0"/>
          <w:numId w:val="20"/>
        </w:numPr>
        <w:rPr>
          <w:rFonts w:ascii="Arial Bold" w:eastAsia="Times New Roman" w:hAnsi="Arial Bold" w:cs="Arial"/>
          <w:color w:val="23A4DE"/>
          <w:szCs w:val="28"/>
        </w:rPr>
      </w:pPr>
      <w:hyperlink w:anchor="_Child_Maintenance_Charging" w:history="1">
        <w:r w:rsidR="0011055A" w:rsidRPr="0011055A">
          <w:rPr>
            <w:rFonts w:ascii="Arial Bold" w:eastAsia="Times New Roman" w:hAnsi="Arial Bold" w:cs="Arial"/>
            <w:color w:val="23A4DE"/>
            <w:szCs w:val="28"/>
          </w:rPr>
          <w:t>Child Maintenance Charging</w:t>
        </w:r>
      </w:hyperlink>
    </w:p>
    <w:p w:rsidR="0011055A" w:rsidRPr="0011055A" w:rsidRDefault="0011055A" w:rsidP="0011055A">
      <w:pPr>
        <w:rPr>
          <w:rFonts w:eastAsiaTheme="minorEastAsia"/>
        </w:rPr>
      </w:pPr>
    </w:p>
    <w:p w:rsidR="0011055A" w:rsidRPr="0011055A" w:rsidRDefault="0011055A" w:rsidP="0011055A">
      <w:pPr>
        <w:rPr>
          <w:rFonts w:eastAsiaTheme="minorEastAsia"/>
        </w:rPr>
      </w:pPr>
    </w:p>
    <w:p w:rsidR="0011055A" w:rsidRPr="0011055A" w:rsidRDefault="0011055A" w:rsidP="0011055A">
      <w:pPr>
        <w:rPr>
          <w:rFonts w:eastAsiaTheme="minorEastAsia"/>
        </w:rPr>
      </w:pPr>
    </w:p>
    <w:p w:rsidR="0011055A" w:rsidRPr="0011055A" w:rsidRDefault="0011055A" w:rsidP="0011055A">
      <w:pPr>
        <w:rPr>
          <w:rFonts w:eastAsiaTheme="minorEastAsia"/>
        </w:rPr>
      </w:pPr>
    </w:p>
    <w:p w:rsidR="00EE5BCF" w:rsidRPr="00EE5BCF" w:rsidRDefault="00EE5BCF" w:rsidP="00EE5BCF">
      <w:pPr>
        <w:rPr>
          <w:rFonts w:eastAsiaTheme="minorEastAsia"/>
        </w:rPr>
      </w:pPr>
    </w:p>
    <w:p w:rsidR="00FC4D5E" w:rsidRPr="00FC4D5E" w:rsidRDefault="00FC4D5E" w:rsidP="00FC4D5E">
      <w:pPr>
        <w:rPr>
          <w:rFonts w:eastAsiaTheme="minorEastAsia"/>
        </w:rPr>
      </w:pPr>
    </w:p>
    <w:p w:rsidR="00E12DB7" w:rsidRPr="00E12DB7" w:rsidRDefault="00E12DB7" w:rsidP="00E12DB7">
      <w:pPr>
        <w:rPr>
          <w:rFonts w:eastAsiaTheme="minorEastAsia"/>
        </w:rPr>
      </w:pPr>
    </w:p>
    <w:p w:rsidR="00E12DB7" w:rsidRPr="00E12DB7" w:rsidRDefault="00E12DB7" w:rsidP="00E12DB7">
      <w:pPr>
        <w:rPr>
          <w:rFonts w:eastAsiaTheme="minorEastAsia"/>
        </w:rPr>
      </w:pPr>
    </w:p>
    <w:p w:rsidR="00E12DB7" w:rsidRPr="00E12DB7" w:rsidRDefault="00E12DB7" w:rsidP="00E12DB7"/>
    <w:p w:rsidR="00C34E16" w:rsidRPr="00C34E16" w:rsidRDefault="00C34E16" w:rsidP="00C34E16">
      <w:pPr>
        <w:rPr>
          <w:rFonts w:eastAsiaTheme="minorEastAsia"/>
        </w:rPr>
      </w:pPr>
    </w:p>
    <w:p w:rsidR="00C34E16" w:rsidRPr="00C34E16" w:rsidRDefault="00C34E16" w:rsidP="00C34E16">
      <w:pPr>
        <w:rPr>
          <w:rFonts w:eastAsiaTheme="minorEastAsia"/>
        </w:rPr>
      </w:pPr>
    </w:p>
    <w:p w:rsidR="00C34E16" w:rsidRPr="00C34E16" w:rsidRDefault="00C34E16" w:rsidP="00C34E16">
      <w:pPr>
        <w:rPr>
          <w:rFonts w:eastAsiaTheme="minorEastAsia"/>
        </w:rPr>
      </w:pPr>
    </w:p>
    <w:p w:rsidR="00C34E16" w:rsidRPr="00C34E16" w:rsidRDefault="00C34E16" w:rsidP="00C34E16"/>
    <w:p w:rsidR="00C34E16" w:rsidRDefault="00C34E16" w:rsidP="00C34E16">
      <w:pPr>
        <w:rPr>
          <w:rFonts w:eastAsiaTheme="minorEastAsia"/>
        </w:rPr>
      </w:pPr>
    </w:p>
    <w:p w:rsidR="00C34E16" w:rsidRPr="00C34E16" w:rsidRDefault="00C34E16" w:rsidP="00C34E16">
      <w:pPr>
        <w:rPr>
          <w:rFonts w:eastAsiaTheme="minorEastAsia"/>
        </w:rPr>
      </w:pPr>
    </w:p>
    <w:p w:rsidR="004E21FE" w:rsidRPr="004E21FE" w:rsidRDefault="004E21FE" w:rsidP="004E21FE">
      <w:pPr>
        <w:rPr>
          <w:rFonts w:eastAsiaTheme="minorEastAsia"/>
        </w:rPr>
      </w:pPr>
    </w:p>
    <w:p w:rsidR="004E21FE" w:rsidRPr="004E21FE" w:rsidRDefault="004E21FE" w:rsidP="004E21FE">
      <w:pPr>
        <w:rPr>
          <w:rFonts w:eastAsiaTheme="minorEastAsia"/>
        </w:rPr>
      </w:pPr>
    </w:p>
    <w:p w:rsidR="004E21FE" w:rsidRPr="004E21FE" w:rsidRDefault="004E21FE" w:rsidP="004E21FE">
      <w:pPr>
        <w:rPr>
          <w:rFonts w:eastAsiaTheme="minorEastAsia"/>
        </w:rPr>
      </w:pPr>
    </w:p>
    <w:p w:rsidR="000A5C4F" w:rsidRPr="000A5C4F" w:rsidRDefault="000A5C4F" w:rsidP="000A5C4F">
      <w:pPr>
        <w:rPr>
          <w:rFonts w:ascii="Arial Bold" w:hAnsi="Arial Bold"/>
          <w:b/>
          <w:color w:val="23A4DE"/>
          <w:sz w:val="28"/>
          <w:szCs w:val="28"/>
        </w:rPr>
      </w:pPr>
    </w:p>
    <w:p w:rsidR="000A5C4F" w:rsidRPr="000A5C4F" w:rsidRDefault="000A5C4F" w:rsidP="000A5C4F"/>
    <w:p w:rsidR="006E6E52" w:rsidRDefault="006E6E52" w:rsidP="00883F0E">
      <w:pPr>
        <w:autoSpaceDE w:val="0"/>
        <w:autoSpaceDN w:val="0"/>
        <w:adjustRightInd w:val="0"/>
        <w:spacing w:line="288" w:lineRule="auto"/>
      </w:pPr>
    </w:p>
    <w:p w:rsidR="006E6E52" w:rsidRDefault="006E6E52" w:rsidP="00883F0E">
      <w:pPr>
        <w:autoSpaceDE w:val="0"/>
        <w:autoSpaceDN w:val="0"/>
        <w:adjustRightInd w:val="0"/>
        <w:spacing w:line="288" w:lineRule="auto"/>
      </w:pPr>
    </w:p>
    <w:p w:rsidR="00A721B1" w:rsidRDefault="00A721B1" w:rsidP="000A5C4F">
      <w:pPr>
        <w:pStyle w:val="Heading2"/>
        <w:rPr>
          <w:rFonts w:eastAsiaTheme="minorEastAsia"/>
          <w:lang w:val="en-US"/>
        </w:rPr>
      </w:pPr>
      <w:bookmarkStart w:id="4" w:name="_Financially_Supported_Childcare"/>
      <w:bookmarkEnd w:id="4"/>
      <w:r>
        <w:rPr>
          <w:rFonts w:eastAsiaTheme="minorEastAsia"/>
          <w:lang w:val="en-US"/>
        </w:rPr>
        <w:lastRenderedPageBreak/>
        <w:t>Financially Supported Childcare Places</w:t>
      </w:r>
    </w:p>
    <w:p w:rsidR="000A5C4F" w:rsidRDefault="00A721B1" w:rsidP="000A5C4F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Agnew </w:t>
      </w:r>
      <w:r>
        <w:rPr>
          <w:lang w:val="en-US"/>
        </w:rPr>
        <w:t xml:space="preserve">asked the First Minister and deputy First Minister for their assessment of </w:t>
      </w:r>
    </w:p>
    <w:p w:rsidR="000A5C4F" w:rsidRDefault="00A721B1" w:rsidP="000A5C4F">
      <w:pPr>
        <w:pStyle w:val="NICCYBodyText"/>
        <w:numPr>
          <w:ilvl w:val="0"/>
          <w:numId w:val="18"/>
        </w:numPr>
        <w:rPr>
          <w:lang w:val="en-US"/>
        </w:rPr>
      </w:pPr>
      <w:r>
        <w:rPr>
          <w:lang w:val="en-US"/>
        </w:rPr>
        <w:t>the total</w:t>
      </w:r>
      <w:r w:rsidR="000A5C4F">
        <w:rPr>
          <w:lang w:val="en-US"/>
        </w:rPr>
        <w:t xml:space="preserve"> </w:t>
      </w:r>
      <w:r>
        <w:rPr>
          <w:lang w:val="en-US"/>
        </w:rPr>
        <w:t xml:space="preserve">number of financially supported childcare places that are required locally; </w:t>
      </w:r>
    </w:p>
    <w:p w:rsidR="000A5C4F" w:rsidRDefault="00A721B1" w:rsidP="000A5C4F">
      <w:pPr>
        <w:pStyle w:val="NICCYBodyText"/>
        <w:numPr>
          <w:ilvl w:val="0"/>
          <w:numId w:val="18"/>
        </w:numPr>
        <w:rPr>
          <w:lang w:val="en-US"/>
        </w:rPr>
      </w:pPr>
      <w:r>
        <w:rPr>
          <w:lang w:val="en-US"/>
        </w:rPr>
        <w:t>the number of places that</w:t>
      </w:r>
      <w:r w:rsidR="000A5C4F">
        <w:rPr>
          <w:lang w:val="en-US"/>
        </w:rPr>
        <w:t xml:space="preserve"> </w:t>
      </w:r>
      <w:r w:rsidRPr="000A5C4F">
        <w:rPr>
          <w:lang w:val="en-US"/>
        </w:rPr>
        <w:t xml:space="preserve">the Government is currently supporting; </w:t>
      </w:r>
    </w:p>
    <w:p w:rsidR="000A5C4F" w:rsidRDefault="00A721B1" w:rsidP="000A5C4F">
      <w:pPr>
        <w:pStyle w:val="NICCYBodyText"/>
        <w:numPr>
          <w:ilvl w:val="0"/>
          <w:numId w:val="18"/>
        </w:numPr>
        <w:rPr>
          <w:lang w:val="en-US"/>
        </w:rPr>
      </w:pPr>
      <w:r w:rsidRPr="000A5C4F">
        <w:rPr>
          <w:lang w:val="en-US"/>
        </w:rPr>
        <w:t>a forecast of the number that will be required locally in</w:t>
      </w:r>
      <w:r w:rsidR="000A5C4F">
        <w:rPr>
          <w:lang w:val="en-US"/>
        </w:rPr>
        <w:t xml:space="preserve"> </w:t>
      </w:r>
      <w:r w:rsidRPr="000A5C4F">
        <w:rPr>
          <w:lang w:val="en-US"/>
        </w:rPr>
        <w:t xml:space="preserve">each of the next 3 years; and </w:t>
      </w:r>
    </w:p>
    <w:p w:rsidR="00A721B1" w:rsidRPr="000A5C4F" w:rsidRDefault="00A721B1" w:rsidP="000A5C4F">
      <w:pPr>
        <w:pStyle w:val="NICCYBodyText"/>
        <w:numPr>
          <w:ilvl w:val="0"/>
          <w:numId w:val="18"/>
        </w:numPr>
        <w:rPr>
          <w:lang w:val="en-US"/>
        </w:rPr>
      </w:pPr>
      <w:r w:rsidRPr="000A5C4F">
        <w:rPr>
          <w:lang w:val="en-US"/>
        </w:rPr>
        <w:t>to detail the number of places that they intend to support in each of</w:t>
      </w:r>
      <w:r w:rsidR="000A5C4F">
        <w:rPr>
          <w:lang w:val="en-US"/>
        </w:rPr>
        <w:t xml:space="preserve"> </w:t>
      </w:r>
      <w:r w:rsidRPr="000A5C4F">
        <w:rPr>
          <w:lang w:val="en-US"/>
        </w:rPr>
        <w:t>the next 3 years.</w:t>
      </w:r>
    </w:p>
    <w:p w:rsidR="00A721B1" w:rsidRDefault="00A721B1" w:rsidP="000A5C4F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29505/11-15)</w:t>
      </w:r>
    </w:p>
    <w:p w:rsidR="00A721B1" w:rsidRDefault="00A721B1" w:rsidP="000A5C4F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0A5C4F" w:rsidRPr="000A5C4F" w:rsidRDefault="00A721B1" w:rsidP="000A5C4F">
      <w:pPr>
        <w:pStyle w:val="NICCYBodyText"/>
        <w:rPr>
          <w:rFonts w:ascii="ITCFranklinGothicDemi" w:hAnsi="ITCFranklinGothicDemi" w:cs="ITCFranklinGothicDemi"/>
          <w:b/>
          <w:lang w:val="en-US"/>
        </w:rPr>
      </w:pPr>
      <w:r w:rsidRPr="000A5C4F">
        <w:rPr>
          <w:rFonts w:ascii="ITCFranklinGothicDemi" w:hAnsi="ITCFranklinGothicDemi" w:cs="ITCFranklinGothicDemi"/>
          <w:b/>
          <w:lang w:val="en-US"/>
        </w:rPr>
        <w:t>Mr P Robinson and Mr M McGuinness:</w:t>
      </w:r>
      <w:r w:rsidR="000A5C4F">
        <w:rPr>
          <w:rFonts w:ascii="ITCFranklinGothicDemi" w:hAnsi="ITCFranklinGothicDemi" w:cs="ITCFranklinGothicDemi"/>
          <w:b/>
          <w:lang w:val="en-US"/>
        </w:rPr>
        <w:br/>
      </w:r>
      <w:r w:rsidR="000A5C4F" w:rsidRPr="000A5C4F">
        <w:rPr>
          <w:rFonts w:ascii="ITCFranklinGothicDemi" w:hAnsi="ITCFranklinGothicDemi" w:cs="ITCFranklinGothicDemi"/>
          <w:lang w:val="en-US"/>
        </w:rPr>
        <w:t>(i)</w:t>
      </w:r>
      <w:r w:rsidR="000A5C4F">
        <w:rPr>
          <w:rFonts w:ascii="ITCFranklinGothicDemi" w:hAnsi="ITCFranklinGothicDemi" w:cs="ITCFranklinGothicDemi"/>
          <w:b/>
          <w:lang w:val="en-US"/>
        </w:rPr>
        <w:t xml:space="preserve"> </w:t>
      </w:r>
      <w:r>
        <w:rPr>
          <w:lang w:val="en-US"/>
        </w:rPr>
        <w:t>The number of financially supported childcare places required locally will vary at any given time</w:t>
      </w:r>
      <w:r w:rsidR="000A5C4F">
        <w:rPr>
          <w:lang w:val="en-US"/>
        </w:rPr>
        <w:t xml:space="preserve"> </w:t>
      </w:r>
      <w:r>
        <w:rPr>
          <w:lang w:val="en-US"/>
        </w:rPr>
        <w:t>as it is affected by a range of factors including employment levels, the availability of registered</w:t>
      </w:r>
      <w:r w:rsidR="000A5C4F">
        <w:rPr>
          <w:lang w:val="en-US"/>
        </w:rPr>
        <w:t xml:space="preserve"> </w:t>
      </w:r>
      <w:r>
        <w:rPr>
          <w:lang w:val="en-US"/>
        </w:rPr>
        <w:t>childcare services, and the affor</w:t>
      </w:r>
      <w:r w:rsidR="000A5C4F">
        <w:rPr>
          <w:lang w:val="en-US"/>
        </w:rPr>
        <w:t xml:space="preserve">dability of childcare services.  </w:t>
      </w:r>
      <w:r>
        <w:rPr>
          <w:lang w:val="en-US"/>
        </w:rPr>
        <w:t>We have therefore not estimated the</w:t>
      </w:r>
      <w:r w:rsidR="000A5C4F">
        <w:rPr>
          <w:lang w:val="en-US"/>
        </w:rPr>
        <w:t xml:space="preserve"> </w:t>
      </w:r>
      <w:r>
        <w:rPr>
          <w:lang w:val="en-US"/>
        </w:rPr>
        <w:t>number of financially suppo</w:t>
      </w:r>
      <w:r w:rsidR="000A5C4F">
        <w:rPr>
          <w:lang w:val="en-US"/>
        </w:rPr>
        <w:t xml:space="preserve">rted childcare places required.  </w:t>
      </w:r>
      <w:r>
        <w:rPr>
          <w:lang w:val="en-US"/>
        </w:rPr>
        <w:t>Instead, research to date has focused</w:t>
      </w:r>
      <w:r w:rsidR="000A5C4F">
        <w:rPr>
          <w:lang w:val="en-US"/>
        </w:rPr>
        <w:t xml:space="preserve"> </w:t>
      </w:r>
      <w:r>
        <w:rPr>
          <w:lang w:val="en-US"/>
        </w:rPr>
        <w:t>on identifying the types of childcare services where more provision is required and the barriers to</w:t>
      </w:r>
      <w:r w:rsidR="000A5C4F">
        <w:rPr>
          <w:lang w:val="en-US"/>
        </w:rPr>
        <w:t xml:space="preserve"> </w:t>
      </w:r>
      <w:r>
        <w:rPr>
          <w:lang w:val="en-US"/>
        </w:rPr>
        <w:t>using childcare services.</w:t>
      </w:r>
      <w:r w:rsidR="000A5C4F">
        <w:rPr>
          <w:lang w:val="en-US"/>
        </w:rPr>
        <w:br/>
      </w:r>
    </w:p>
    <w:p w:rsidR="000A5C4F" w:rsidRDefault="00A721B1" w:rsidP="000A5C4F">
      <w:pPr>
        <w:pStyle w:val="NICCYBodyText"/>
        <w:rPr>
          <w:lang w:val="en-US"/>
        </w:rPr>
      </w:pPr>
      <w:r>
        <w:rPr>
          <w:lang w:val="en-US"/>
        </w:rPr>
        <w:t xml:space="preserve">(ii) At present, Government mainly supports registered childcare places indirectly by </w:t>
      </w:r>
    </w:p>
    <w:p w:rsidR="000A5C4F" w:rsidRDefault="000A5C4F" w:rsidP="000A5C4F">
      <w:pPr>
        <w:pStyle w:val="NICCYBodyText"/>
        <w:rPr>
          <w:lang w:val="en-US"/>
        </w:rPr>
      </w:pPr>
      <w:r>
        <w:rPr>
          <w:lang w:val="en-US"/>
        </w:rPr>
        <w:tab/>
      </w:r>
      <w:r w:rsidR="00A721B1">
        <w:rPr>
          <w:lang w:val="en-US"/>
        </w:rPr>
        <w:t>(a) financially</w:t>
      </w:r>
      <w:r>
        <w:rPr>
          <w:lang w:val="en-US"/>
        </w:rPr>
        <w:t xml:space="preserve"> </w:t>
      </w:r>
      <w:r w:rsidR="00A721B1">
        <w:rPr>
          <w:lang w:val="en-US"/>
        </w:rPr>
        <w:t>assisting parents to purchase chi</w:t>
      </w:r>
      <w:r>
        <w:rPr>
          <w:lang w:val="en-US"/>
        </w:rPr>
        <w:t>ldcare se</w:t>
      </w:r>
      <w:r w:rsidR="000566FA">
        <w:rPr>
          <w:lang w:val="en-US"/>
        </w:rPr>
        <w:t xml:space="preserve">rvices, eg through the  </w:t>
      </w:r>
      <w:r w:rsidR="000566FA">
        <w:rPr>
          <w:lang w:val="en-US"/>
        </w:rPr>
        <w:tab/>
      </w:r>
      <w:r w:rsidR="000566FA">
        <w:rPr>
          <w:lang w:val="en-US"/>
        </w:rPr>
        <w:tab/>
        <w:t xml:space="preserve">     </w:t>
      </w:r>
      <w:r w:rsidR="00A721B1">
        <w:rPr>
          <w:lang w:val="en-US"/>
        </w:rPr>
        <w:t>childcare element of Working Tax</w:t>
      </w:r>
      <w:r>
        <w:rPr>
          <w:lang w:val="en-US"/>
        </w:rPr>
        <w:t xml:space="preserve"> </w:t>
      </w:r>
      <w:r w:rsidR="00A721B1">
        <w:rPr>
          <w:lang w:val="en-US"/>
        </w:rPr>
        <w:t xml:space="preserve">Credit or </w:t>
      </w:r>
    </w:p>
    <w:p w:rsidR="00A721B1" w:rsidRDefault="000A5C4F" w:rsidP="000A5C4F">
      <w:pPr>
        <w:pStyle w:val="NICCYBodyText"/>
        <w:rPr>
          <w:lang w:val="en-US"/>
        </w:rPr>
      </w:pPr>
      <w:r>
        <w:rPr>
          <w:lang w:val="en-US"/>
        </w:rPr>
        <w:tab/>
      </w:r>
      <w:r w:rsidR="00A721B1">
        <w:rPr>
          <w:lang w:val="en-US"/>
        </w:rPr>
        <w:t>(b) by financially assisting childcare providers to sustain their services.</w:t>
      </w:r>
    </w:p>
    <w:p w:rsidR="00A721B1" w:rsidRDefault="00A721B1" w:rsidP="000A5C4F">
      <w:pPr>
        <w:pStyle w:val="NICCYBodyText"/>
        <w:rPr>
          <w:lang w:val="en-US"/>
        </w:rPr>
      </w:pPr>
      <w:r>
        <w:rPr>
          <w:lang w:val="en-US"/>
        </w:rPr>
        <w:t>Health and Social Care Trusts fund a number of childcare places for children in need within their</w:t>
      </w:r>
      <w:r w:rsidR="000A5C4F">
        <w:rPr>
          <w:lang w:val="en-US"/>
        </w:rPr>
        <w:t xml:space="preserve"> locality.  </w:t>
      </w:r>
      <w:r>
        <w:rPr>
          <w:lang w:val="en-US"/>
        </w:rPr>
        <w:t>The length of time a Trust may fund such a place can vary from a matter of days up to a</w:t>
      </w:r>
      <w:r w:rsidR="000A5C4F">
        <w:rPr>
          <w:lang w:val="en-US"/>
        </w:rPr>
        <w:t xml:space="preserve"> year.  </w:t>
      </w:r>
      <w:r>
        <w:rPr>
          <w:lang w:val="en-US"/>
        </w:rPr>
        <w:t>In the year ending 31 March 2013, 765 places were funded by Health and Social Care Trusts</w:t>
      </w:r>
      <w:r w:rsidR="000A5C4F">
        <w:rPr>
          <w:lang w:val="en-US"/>
        </w:rPr>
        <w:t xml:space="preserve"> </w:t>
      </w:r>
      <w:r>
        <w:rPr>
          <w:lang w:val="en-US"/>
        </w:rPr>
        <w:t>in day care facilities.</w:t>
      </w:r>
    </w:p>
    <w:p w:rsidR="000A5C4F" w:rsidRDefault="000A5C4F" w:rsidP="000A5C4F">
      <w:pPr>
        <w:pStyle w:val="NICCYBodyText"/>
        <w:rPr>
          <w:lang w:val="en-US"/>
        </w:rPr>
      </w:pPr>
    </w:p>
    <w:p w:rsidR="00A721B1" w:rsidRDefault="00A721B1" w:rsidP="000A5C4F">
      <w:pPr>
        <w:pStyle w:val="NICCYBodyText"/>
        <w:rPr>
          <w:lang w:val="en-US"/>
        </w:rPr>
      </w:pPr>
      <w:r>
        <w:rPr>
          <w:lang w:val="en-US"/>
        </w:rPr>
        <w:t>(iii) We have not estimated the number of places that might be required locally in each of the next 3</w:t>
      </w:r>
      <w:r w:rsidR="000A5C4F">
        <w:rPr>
          <w:lang w:val="en-US"/>
        </w:rPr>
        <w:t xml:space="preserve"> years.  </w:t>
      </w:r>
      <w:r>
        <w:rPr>
          <w:lang w:val="en-US"/>
        </w:rPr>
        <w:t>However, we have identified rural childcare services and school age childcare as categories</w:t>
      </w:r>
      <w:r w:rsidR="000A5C4F">
        <w:rPr>
          <w:lang w:val="en-US"/>
        </w:rPr>
        <w:t xml:space="preserve"> </w:t>
      </w:r>
      <w:r>
        <w:rPr>
          <w:lang w:val="en-US"/>
        </w:rPr>
        <w:t>where ad</w:t>
      </w:r>
      <w:r w:rsidR="000A5C4F">
        <w:rPr>
          <w:lang w:val="en-US"/>
        </w:rPr>
        <w:t xml:space="preserve">ditional provision is required.  </w:t>
      </w:r>
      <w:r>
        <w:rPr>
          <w:lang w:val="en-US"/>
        </w:rPr>
        <w:t>On account of this, the Bright Start key first actions aim to</w:t>
      </w:r>
      <w:r w:rsidR="000A5C4F">
        <w:rPr>
          <w:lang w:val="en-US"/>
        </w:rPr>
        <w:t xml:space="preserve"> </w:t>
      </w:r>
      <w:r>
        <w:rPr>
          <w:lang w:val="en-US"/>
        </w:rPr>
        <w:t>sustain existing school age childcare places, create new school age childcare provision (including</w:t>
      </w:r>
      <w:r w:rsidR="000A5C4F">
        <w:rPr>
          <w:lang w:val="en-US"/>
        </w:rPr>
        <w:t xml:space="preserve"> </w:t>
      </w:r>
      <w:r>
        <w:rPr>
          <w:lang w:val="en-US"/>
        </w:rPr>
        <w:t>in rural areas) and increase childminding provision in rural areas.</w:t>
      </w:r>
    </w:p>
    <w:p w:rsidR="000A5C4F" w:rsidRDefault="000A5C4F" w:rsidP="000A5C4F">
      <w:pPr>
        <w:pStyle w:val="NICCYBodyText"/>
        <w:rPr>
          <w:lang w:val="en-US"/>
        </w:rPr>
      </w:pPr>
    </w:p>
    <w:p w:rsidR="000A5C4F" w:rsidRDefault="000A5C4F" w:rsidP="000A5C4F">
      <w:pPr>
        <w:pStyle w:val="NICCYBodyText"/>
        <w:rPr>
          <w:lang w:val="en-US"/>
        </w:rPr>
      </w:pPr>
    </w:p>
    <w:p w:rsidR="007F70D3" w:rsidRDefault="00A721B1" w:rsidP="000A5C4F">
      <w:pPr>
        <w:pStyle w:val="NICCYBodyText"/>
        <w:rPr>
          <w:lang w:val="en-US"/>
        </w:rPr>
      </w:pPr>
      <w:r>
        <w:rPr>
          <w:lang w:val="en-US"/>
        </w:rPr>
        <w:lastRenderedPageBreak/>
        <w:t>(iv) Over a three and a half year period beginning 2014/15, the key first actions of the first phase</w:t>
      </w:r>
      <w:r w:rsidR="000A5C4F">
        <w:rPr>
          <w:lang w:val="en-US"/>
        </w:rPr>
        <w:t xml:space="preserve"> </w:t>
      </w:r>
      <w:r>
        <w:rPr>
          <w:lang w:val="en-US"/>
        </w:rPr>
        <w:t>of the Bright Start Childcare Strategy aim to sustain or create up to 8,000 registered childcare</w:t>
      </w:r>
      <w:r w:rsidR="000A5C4F">
        <w:rPr>
          <w:lang w:val="en-US"/>
        </w:rPr>
        <w:t xml:space="preserve"> </w:t>
      </w:r>
      <w:r>
        <w:rPr>
          <w:lang w:val="en-US"/>
        </w:rPr>
        <w:t>places, the majority of which (up to 7,000) will be school age childcare places. These key first</w:t>
      </w:r>
      <w:r w:rsidR="000A5C4F">
        <w:rPr>
          <w:lang w:val="en-US"/>
        </w:rPr>
        <w:t xml:space="preserve"> </w:t>
      </w:r>
      <w:r>
        <w:rPr>
          <w:lang w:val="en-US"/>
        </w:rPr>
        <w:t>actions and their performance will be kept under review and adapted or extended based on</w:t>
      </w:r>
      <w:r w:rsidR="000A5C4F">
        <w:rPr>
          <w:lang w:val="en-US"/>
        </w:rPr>
        <w:t xml:space="preserve"> evidence of need.  </w:t>
      </w:r>
      <w:r>
        <w:rPr>
          <w:lang w:val="en-US"/>
        </w:rPr>
        <w:t>Additional actions will also be considered.</w:t>
      </w:r>
    </w:p>
    <w:p w:rsidR="007F70D3" w:rsidRDefault="007F70D3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0A5C4F" w:rsidRPr="006F3A42" w:rsidRDefault="00B4315F" w:rsidP="000A5C4F">
      <w:pPr>
        <w:autoSpaceDE w:val="0"/>
        <w:autoSpaceDN w:val="0"/>
        <w:adjustRightInd w:val="0"/>
        <w:spacing w:line="288" w:lineRule="auto"/>
      </w:pPr>
      <w:hyperlink w:anchor="_top" w:history="1">
        <w:r w:rsidR="000A5C4F" w:rsidRPr="00A92D13">
          <w:rPr>
            <w:rStyle w:val="Hyperlink"/>
          </w:rPr>
          <w:t>Back to Top</w:t>
        </w:r>
      </w:hyperlink>
    </w:p>
    <w:p w:rsidR="000A5C4F" w:rsidRDefault="000A5C4F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5B6EA5" w:rsidRDefault="005B6EA5" w:rsidP="000A5C4F">
      <w:pPr>
        <w:pStyle w:val="Heading2"/>
        <w:rPr>
          <w:rFonts w:eastAsiaTheme="minorEastAsia"/>
          <w:lang w:val="en-US"/>
        </w:rPr>
      </w:pPr>
      <w:bookmarkStart w:id="5" w:name="_Equality_Legislation_for"/>
      <w:bookmarkEnd w:id="5"/>
      <w:r>
        <w:rPr>
          <w:rFonts w:eastAsiaTheme="minorEastAsia"/>
          <w:lang w:val="en-US"/>
        </w:rPr>
        <w:t>Equality Legislation for Older People</w:t>
      </w:r>
    </w:p>
    <w:p w:rsidR="005B6EA5" w:rsidRDefault="005B6EA5" w:rsidP="000A5C4F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McKinney </w:t>
      </w:r>
      <w:r>
        <w:rPr>
          <w:lang w:val="en-US"/>
        </w:rPr>
        <w:t>asked the First Minister and deputy First Minister for an update on equality legislation for</w:t>
      </w:r>
      <w:r w:rsidR="000A5C4F">
        <w:rPr>
          <w:lang w:val="en-US"/>
        </w:rPr>
        <w:t xml:space="preserve"> </w:t>
      </w:r>
      <w:r>
        <w:rPr>
          <w:lang w:val="en-US"/>
        </w:rPr>
        <w:t>older people.</w:t>
      </w:r>
    </w:p>
    <w:p w:rsidR="005B6EA5" w:rsidRDefault="005B6EA5" w:rsidP="000A5C4F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31259/11-15)</w:t>
      </w:r>
    </w:p>
    <w:p w:rsidR="000A5C4F" w:rsidRDefault="000A5C4F" w:rsidP="000A5C4F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A721B1" w:rsidRDefault="005B6EA5" w:rsidP="000A5C4F">
      <w:pPr>
        <w:pStyle w:val="NICCYBodyText"/>
        <w:rPr>
          <w:lang w:val="en-US"/>
        </w:rPr>
      </w:pPr>
      <w:r w:rsidRPr="000A5C4F">
        <w:rPr>
          <w:rFonts w:ascii="ITCFranklinGothicDemi" w:hAnsi="ITCFranklinGothicDemi" w:cs="ITCFranklinGothicDemi"/>
          <w:b/>
          <w:lang w:val="en-US"/>
        </w:rPr>
        <w:t>Mr P Robinson and Mr M McGuinness: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We are currently considering the scope of the legislation and</w:t>
      </w:r>
      <w:r w:rsidR="000A5C4F">
        <w:rPr>
          <w:lang w:val="en-US"/>
        </w:rPr>
        <w:t xml:space="preserve"> </w:t>
      </w:r>
      <w:r>
        <w:rPr>
          <w:lang w:val="en-US"/>
        </w:rPr>
        <w:t>the implications of the various options available to us for taking this forward.</w:t>
      </w:r>
    </w:p>
    <w:p w:rsidR="00A721B1" w:rsidRDefault="00A721B1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0A5C4F" w:rsidRPr="006F3A42" w:rsidRDefault="00B4315F" w:rsidP="000A5C4F">
      <w:pPr>
        <w:autoSpaceDE w:val="0"/>
        <w:autoSpaceDN w:val="0"/>
        <w:adjustRightInd w:val="0"/>
        <w:spacing w:line="288" w:lineRule="auto"/>
      </w:pPr>
      <w:hyperlink w:anchor="_top" w:history="1">
        <w:r w:rsidR="000A5C4F" w:rsidRPr="00A92D13">
          <w:rPr>
            <w:rStyle w:val="Hyperlink"/>
          </w:rPr>
          <w:t>Back to Top</w:t>
        </w:r>
      </w:hyperlink>
    </w:p>
    <w:p w:rsidR="000A5C4F" w:rsidRDefault="000A5C4F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0D174A" w:rsidRDefault="000D174A" w:rsidP="000A5C4F">
      <w:pPr>
        <w:pStyle w:val="Heading2"/>
        <w:rPr>
          <w:rFonts w:eastAsiaTheme="minorEastAsia"/>
          <w:lang w:val="en-US"/>
        </w:rPr>
      </w:pPr>
      <w:bookmarkStart w:id="6" w:name="_EU_School_Milk"/>
      <w:bookmarkEnd w:id="6"/>
      <w:r>
        <w:rPr>
          <w:rFonts w:eastAsiaTheme="minorEastAsia"/>
          <w:lang w:val="en-US"/>
        </w:rPr>
        <w:t>EU School Milk Subsidy Scheme</w:t>
      </w:r>
    </w:p>
    <w:p w:rsidR="000D174A" w:rsidRDefault="000D174A" w:rsidP="000A5C4F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Mrs Dobson </w:t>
      </w:r>
      <w:r>
        <w:rPr>
          <w:lang w:val="en-US"/>
        </w:rPr>
        <w:t>asked the Minister of Agriculture and Rural Development for her assessment of the EU</w:t>
      </w:r>
      <w:r w:rsidR="000A5C4F">
        <w:rPr>
          <w:lang w:val="en-US"/>
        </w:rPr>
        <w:t xml:space="preserve"> </w:t>
      </w:r>
      <w:r>
        <w:rPr>
          <w:lang w:val="en-US"/>
        </w:rPr>
        <w:t>School Milk Subsidy Scheme.</w:t>
      </w:r>
    </w:p>
    <w:p w:rsidR="000D174A" w:rsidRDefault="000D174A" w:rsidP="000A5C4F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31027/11-15)</w:t>
      </w:r>
    </w:p>
    <w:p w:rsidR="000A5C4F" w:rsidRDefault="000A5C4F" w:rsidP="000A5C4F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0D174A" w:rsidRDefault="000D174A" w:rsidP="000A5C4F">
      <w:pPr>
        <w:pStyle w:val="NICCYBodyText"/>
        <w:rPr>
          <w:lang w:val="en-US"/>
        </w:rPr>
      </w:pPr>
      <w:r w:rsidRPr="000A5C4F">
        <w:rPr>
          <w:rFonts w:ascii="ITCFranklinGothicDemi" w:hAnsi="ITCFranklinGothicDemi" w:cs="ITCFranklinGothicDemi"/>
          <w:b/>
          <w:lang w:val="en-US"/>
        </w:rPr>
        <w:t>Mrs O’Neill: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 EU School Milk Subsidy Scheme aims to encourage the consumption of dairy products</w:t>
      </w:r>
      <w:r w:rsidR="004E21FE">
        <w:rPr>
          <w:lang w:val="en-US"/>
        </w:rPr>
        <w:t xml:space="preserve"> </w:t>
      </w:r>
      <w:r>
        <w:rPr>
          <w:lang w:val="en-US"/>
        </w:rPr>
        <w:t>by making them available to sch</w:t>
      </w:r>
      <w:r w:rsidR="004E21FE">
        <w:rPr>
          <w:lang w:val="en-US"/>
        </w:rPr>
        <w:t xml:space="preserve">ool children at a reduced cost.  </w:t>
      </w:r>
      <w:r>
        <w:rPr>
          <w:lang w:val="en-US"/>
        </w:rPr>
        <w:t>I welcome this because milk and dairy</w:t>
      </w:r>
      <w:r w:rsidR="004E21FE">
        <w:rPr>
          <w:lang w:val="en-US"/>
        </w:rPr>
        <w:t xml:space="preserve"> </w:t>
      </w:r>
      <w:r>
        <w:rPr>
          <w:lang w:val="en-US"/>
        </w:rPr>
        <w:t>products are an</w:t>
      </w:r>
      <w:r w:rsidR="004E21FE">
        <w:rPr>
          <w:lang w:val="en-US"/>
        </w:rPr>
        <w:t xml:space="preserve"> excellent source of nutrients.  </w:t>
      </w:r>
      <w:r>
        <w:rPr>
          <w:lang w:val="en-US"/>
        </w:rPr>
        <w:t>I also believe that it is good for children to develop sound</w:t>
      </w:r>
      <w:r w:rsidR="004E21FE">
        <w:rPr>
          <w:lang w:val="en-US"/>
        </w:rPr>
        <w:t xml:space="preserve"> eating habits at an early age.  </w:t>
      </w:r>
      <w:r>
        <w:rPr>
          <w:lang w:val="en-US"/>
        </w:rPr>
        <w:t>That is why, in addition to the mandatory EU subsidy, we also provide a</w:t>
      </w:r>
      <w:r w:rsidR="004E21FE">
        <w:rPr>
          <w:lang w:val="en-US"/>
        </w:rPr>
        <w:t xml:space="preserve"> </w:t>
      </w:r>
      <w:r>
        <w:rPr>
          <w:lang w:val="en-US"/>
        </w:rPr>
        <w:t>national top-up subsidy from the Executive’s budget to help reduce the c</w:t>
      </w:r>
      <w:r w:rsidR="004E21FE">
        <w:rPr>
          <w:lang w:val="en-US"/>
        </w:rPr>
        <w:t xml:space="preserve">ost for participating children.  </w:t>
      </w:r>
      <w:r>
        <w:rPr>
          <w:lang w:val="en-US"/>
        </w:rPr>
        <w:t>In</w:t>
      </w:r>
      <w:r w:rsidR="004E21FE">
        <w:rPr>
          <w:lang w:val="en-US"/>
        </w:rPr>
        <w:t xml:space="preserve"> </w:t>
      </w:r>
      <w:r>
        <w:rPr>
          <w:lang w:val="en-US"/>
        </w:rPr>
        <w:t>2012/13 the total EU and national subsidy paid was £319k.</w:t>
      </w:r>
      <w:r w:rsidR="004E21FE">
        <w:rPr>
          <w:lang w:val="en-US"/>
        </w:rPr>
        <w:t xml:space="preserve">  </w:t>
      </w:r>
      <w:r>
        <w:rPr>
          <w:lang w:val="en-US"/>
        </w:rPr>
        <w:t>I am pleased that this Scheme is available to all school children in the north of Ireland. Each of our five</w:t>
      </w:r>
      <w:r w:rsidR="004E21FE">
        <w:rPr>
          <w:lang w:val="en-US"/>
        </w:rPr>
        <w:t xml:space="preserve"> </w:t>
      </w:r>
      <w:r>
        <w:rPr>
          <w:lang w:val="en-US"/>
        </w:rPr>
        <w:t>Education and Library Boards participates in delivery of the Scheme and as a result there is a good</w:t>
      </w:r>
      <w:r w:rsidR="004E21FE">
        <w:rPr>
          <w:lang w:val="en-US"/>
        </w:rPr>
        <w:t xml:space="preserve"> </w:t>
      </w:r>
      <w:r>
        <w:rPr>
          <w:lang w:val="en-US"/>
        </w:rPr>
        <w:t>level of uptake by nurser</w:t>
      </w:r>
      <w:r w:rsidR="004E21FE">
        <w:rPr>
          <w:lang w:val="en-US"/>
        </w:rPr>
        <w:t xml:space="preserve">y, primary and special schools.  </w:t>
      </w:r>
      <w:r>
        <w:rPr>
          <w:lang w:val="en-US"/>
        </w:rPr>
        <w:t>Also, the delivery arrangements are efficient</w:t>
      </w:r>
      <w:r w:rsidR="004E21FE">
        <w:rPr>
          <w:lang w:val="en-US"/>
        </w:rPr>
        <w:t xml:space="preserve"> </w:t>
      </w:r>
      <w:r>
        <w:rPr>
          <w:lang w:val="en-US"/>
        </w:rPr>
        <w:t>and economical which</w:t>
      </w:r>
      <w:r w:rsidR="004E21FE">
        <w:rPr>
          <w:lang w:val="en-US"/>
        </w:rPr>
        <w:t xml:space="preserve"> helps to keep these costs low.</w:t>
      </w:r>
      <w:r w:rsidR="000566FA">
        <w:rPr>
          <w:lang w:val="en-US"/>
        </w:rPr>
        <w:t xml:space="preserve">  </w:t>
      </w:r>
      <w:r>
        <w:rPr>
          <w:lang w:val="en-US"/>
        </w:rPr>
        <w:t>Currently pupils in the north enjoy the provision</w:t>
      </w:r>
      <w:r w:rsidR="004E21FE">
        <w:rPr>
          <w:lang w:val="en-US"/>
        </w:rPr>
        <w:t xml:space="preserve"> </w:t>
      </w:r>
      <w:r>
        <w:rPr>
          <w:lang w:val="en-US"/>
        </w:rPr>
        <w:t>of milk at a cost of 18.8 pence per one-third pint serving compared to the 25 pence per serving charge</w:t>
      </w:r>
      <w:r w:rsidR="004E21FE">
        <w:rPr>
          <w:lang w:val="en-US"/>
        </w:rPr>
        <w:t xml:space="preserve"> </w:t>
      </w:r>
      <w:r>
        <w:rPr>
          <w:lang w:val="en-US"/>
        </w:rPr>
        <w:t xml:space="preserve">in Britain, where Cool Milk provides a delivery service for this </w:t>
      </w:r>
      <w:r>
        <w:rPr>
          <w:lang w:val="en-US"/>
        </w:rPr>
        <w:lastRenderedPageBreak/>
        <w:t>Scheme (charge quoted on their website).</w:t>
      </w:r>
    </w:p>
    <w:p w:rsidR="000566FA" w:rsidRDefault="000566FA" w:rsidP="000A5C4F">
      <w:pPr>
        <w:pStyle w:val="NICCYBodyText"/>
        <w:rPr>
          <w:lang w:val="en-US"/>
        </w:rPr>
      </w:pPr>
    </w:p>
    <w:p w:rsidR="00A721B1" w:rsidRDefault="000D174A" w:rsidP="000A5C4F">
      <w:pPr>
        <w:pStyle w:val="NICCYBodyText"/>
        <w:rPr>
          <w:lang w:val="en-US"/>
        </w:rPr>
      </w:pPr>
      <w:r>
        <w:rPr>
          <w:lang w:val="en-US"/>
        </w:rPr>
        <w:t>Whilst I would like to see every school and every parent of a child at school availing of the benefits of</w:t>
      </w:r>
      <w:r w:rsidR="004E21FE">
        <w:rPr>
          <w:lang w:val="en-US"/>
        </w:rPr>
        <w:t xml:space="preserve"> </w:t>
      </w:r>
      <w:r>
        <w:rPr>
          <w:lang w:val="en-US"/>
        </w:rPr>
        <w:t>the Scheme, I believe that the information provided above demonstrates that the Scheme is meeting</w:t>
      </w:r>
      <w:r w:rsidR="004E21FE">
        <w:rPr>
          <w:lang w:val="en-US"/>
        </w:rPr>
        <w:t xml:space="preserve"> </w:t>
      </w:r>
      <w:r>
        <w:rPr>
          <w:lang w:val="en-US"/>
        </w:rPr>
        <w:t>its objectiv</w:t>
      </w:r>
      <w:r w:rsidR="004E21FE">
        <w:rPr>
          <w:lang w:val="en-US"/>
        </w:rPr>
        <w:t xml:space="preserve">es within the budget available.  </w:t>
      </w:r>
      <w:r>
        <w:rPr>
          <w:lang w:val="en-US"/>
        </w:rPr>
        <w:t>Also, in view of the promotional activities of the Dairy Council</w:t>
      </w:r>
      <w:r w:rsidR="004E21FE">
        <w:rPr>
          <w:lang w:val="en-US"/>
        </w:rPr>
        <w:t xml:space="preserve"> </w:t>
      </w:r>
      <w:r>
        <w:rPr>
          <w:lang w:val="en-US"/>
        </w:rPr>
        <w:t>in the north in recent years I would have hoped that even more children would participate but, as you</w:t>
      </w:r>
      <w:r w:rsidR="004E21FE">
        <w:rPr>
          <w:lang w:val="en-US"/>
        </w:rPr>
        <w:t xml:space="preserve"> </w:t>
      </w:r>
      <w:r>
        <w:rPr>
          <w:lang w:val="en-US"/>
        </w:rPr>
        <w:t>will appreciate, many families and children are facing challenging times.</w:t>
      </w:r>
    </w:p>
    <w:p w:rsidR="00A721B1" w:rsidRDefault="00A721B1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4E21FE" w:rsidRPr="006F3A42" w:rsidRDefault="00B4315F" w:rsidP="004E21FE">
      <w:pPr>
        <w:autoSpaceDE w:val="0"/>
        <w:autoSpaceDN w:val="0"/>
        <w:adjustRightInd w:val="0"/>
        <w:spacing w:line="288" w:lineRule="auto"/>
      </w:pPr>
      <w:hyperlink w:anchor="_top" w:history="1">
        <w:r w:rsidR="004E21FE" w:rsidRPr="00A92D13">
          <w:rPr>
            <w:rStyle w:val="Hyperlink"/>
          </w:rPr>
          <w:t>Back to Top</w:t>
        </w:r>
      </w:hyperlink>
    </w:p>
    <w:p w:rsidR="003D29FE" w:rsidRDefault="004E21FE" w:rsidP="004E21FE">
      <w:pPr>
        <w:pStyle w:val="Heading2"/>
        <w:rPr>
          <w:rFonts w:eastAsiaTheme="minorEastAsia"/>
          <w:lang w:val="en-US"/>
        </w:rPr>
      </w:pPr>
      <w:bookmarkStart w:id="7" w:name="_Special_Educational_Needs"/>
      <w:bookmarkEnd w:id="7"/>
      <w:r>
        <w:rPr>
          <w:rFonts w:eastAsiaTheme="minorEastAsia"/>
          <w:lang w:val="en-US"/>
        </w:rPr>
        <w:br/>
      </w:r>
      <w:r w:rsidR="003D29FE">
        <w:rPr>
          <w:rFonts w:eastAsiaTheme="minorEastAsia"/>
          <w:lang w:val="en-US"/>
        </w:rPr>
        <w:t>Special Educational Needs System</w:t>
      </w:r>
    </w:p>
    <w:p w:rsidR="003D29FE" w:rsidRDefault="003D29FE" w:rsidP="004E21FE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A Maginness </w:t>
      </w:r>
      <w:r>
        <w:rPr>
          <w:lang w:val="en-US"/>
        </w:rPr>
        <w:t>asked the Minister of Education what plans he has to revise the special educational</w:t>
      </w:r>
      <w:r w:rsidR="004E21FE">
        <w:rPr>
          <w:lang w:val="en-US"/>
        </w:rPr>
        <w:t xml:space="preserve"> </w:t>
      </w:r>
      <w:r>
        <w:rPr>
          <w:lang w:val="en-US"/>
        </w:rPr>
        <w:t>needs system so that it retains clear and enforceable rights for children and their parents.</w:t>
      </w:r>
    </w:p>
    <w:p w:rsidR="003D29FE" w:rsidRDefault="003D29FE" w:rsidP="004E21FE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31560/11-15)</w:t>
      </w:r>
    </w:p>
    <w:p w:rsidR="004E21FE" w:rsidRDefault="004E21FE" w:rsidP="004E21FE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3D29FE" w:rsidRDefault="003D29FE" w:rsidP="004E21FE">
      <w:pPr>
        <w:pStyle w:val="NICCYBodyText"/>
        <w:rPr>
          <w:lang w:val="en-US"/>
        </w:rPr>
      </w:pPr>
      <w:r w:rsidRPr="004E21FE">
        <w:rPr>
          <w:rFonts w:ascii="ITCFranklinGothicDemi" w:hAnsi="ITCFranklinGothicDemi" w:cs="ITCFranklinGothicDemi"/>
          <w:b/>
          <w:lang w:val="en-US"/>
        </w:rPr>
        <w:t>Mr O’Dowd: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Proposals for a revised Special Educational Needs (SEN) policy and the drafting of a SEN</w:t>
      </w:r>
      <w:r w:rsidR="004E21FE">
        <w:rPr>
          <w:lang w:val="en-US"/>
        </w:rPr>
        <w:t xml:space="preserve"> </w:t>
      </w:r>
      <w:r>
        <w:rPr>
          <w:lang w:val="en-US"/>
        </w:rPr>
        <w:t>Bill were agreed</w:t>
      </w:r>
      <w:r w:rsidR="004E21FE">
        <w:rPr>
          <w:lang w:val="en-US"/>
        </w:rPr>
        <w:t xml:space="preserve"> by the Executive in July 2012.  </w:t>
      </w:r>
      <w:r>
        <w:rPr>
          <w:lang w:val="en-US"/>
        </w:rPr>
        <w:t>The revised SEN framework aims to strengthen the</w:t>
      </w:r>
      <w:r w:rsidR="004E21FE">
        <w:rPr>
          <w:lang w:val="en-US"/>
        </w:rPr>
        <w:t xml:space="preserve"> </w:t>
      </w:r>
      <w:r>
        <w:rPr>
          <w:lang w:val="en-US"/>
        </w:rPr>
        <w:t>system and end delay in intervention and assessment through a comprehensive range of measures.</w:t>
      </w:r>
      <w:r w:rsidR="004E21FE">
        <w:rPr>
          <w:lang w:val="en-US"/>
        </w:rPr>
        <w:t xml:space="preserve">  </w:t>
      </w:r>
      <w:r>
        <w:rPr>
          <w:lang w:val="en-US"/>
        </w:rPr>
        <w:t>This includes retaining, and building upon, the existing rights afforded to</w:t>
      </w:r>
      <w:r w:rsidR="004E21FE">
        <w:rPr>
          <w:lang w:val="en-US"/>
        </w:rPr>
        <w:t xml:space="preserve"> parents and children.  </w:t>
      </w:r>
      <w:r>
        <w:rPr>
          <w:lang w:val="en-US"/>
        </w:rPr>
        <w:t>The</w:t>
      </w:r>
      <w:r w:rsidR="004E21FE">
        <w:rPr>
          <w:lang w:val="en-US"/>
        </w:rPr>
        <w:t xml:space="preserve"> </w:t>
      </w:r>
      <w:r>
        <w:rPr>
          <w:lang w:val="en-US"/>
        </w:rPr>
        <w:t>existing rights of a parent include: to request a statutory assessment of their child’s needs; and a right</w:t>
      </w:r>
      <w:r w:rsidR="004E21FE">
        <w:rPr>
          <w:lang w:val="en-US"/>
        </w:rPr>
        <w:t xml:space="preserve"> </w:t>
      </w:r>
      <w:r>
        <w:rPr>
          <w:lang w:val="en-US"/>
        </w:rPr>
        <w:t>of appeal to Special Educational Needs and Disability Tribunal (SENDIST) about matters within the SEN</w:t>
      </w:r>
    </w:p>
    <w:p w:rsidR="004E21FE" w:rsidRDefault="003D29FE" w:rsidP="004E21FE">
      <w:pPr>
        <w:pStyle w:val="NICCYBodyText"/>
        <w:rPr>
          <w:lang w:val="en-US"/>
        </w:rPr>
      </w:pPr>
      <w:r>
        <w:rPr>
          <w:lang w:val="en-US"/>
        </w:rPr>
        <w:t>framework.</w:t>
      </w:r>
    </w:p>
    <w:p w:rsidR="00585AA5" w:rsidRDefault="00585AA5" w:rsidP="004E21FE">
      <w:pPr>
        <w:pStyle w:val="NICCYBodyText"/>
        <w:rPr>
          <w:lang w:val="en-US"/>
        </w:rPr>
      </w:pPr>
      <w:r>
        <w:rPr>
          <w:lang w:val="en-US"/>
        </w:rPr>
        <w:t>The revised SEN framework proposes greater rights which include:</w:t>
      </w:r>
    </w:p>
    <w:p w:rsidR="004E21FE" w:rsidRDefault="00585AA5" w:rsidP="004E21FE">
      <w:pPr>
        <w:pStyle w:val="NICCYBodyText"/>
        <w:numPr>
          <w:ilvl w:val="0"/>
          <w:numId w:val="21"/>
        </w:numPr>
        <w:rPr>
          <w:lang w:val="en-US"/>
        </w:rPr>
      </w:pPr>
      <w:r>
        <w:rPr>
          <w:lang w:val="en-US"/>
        </w:rPr>
        <w:t>a new statutory duty on Boards of Governors to ensure that Personal Learning Plans (PLPs)</w:t>
      </w:r>
      <w:r w:rsidR="004E21FE">
        <w:rPr>
          <w:lang w:val="en-US"/>
        </w:rPr>
        <w:t xml:space="preserve"> </w:t>
      </w:r>
      <w:r w:rsidRPr="004E21FE">
        <w:rPr>
          <w:lang w:val="en-US"/>
        </w:rPr>
        <w:t>are put in place for all SEN children in grant-aided schools and a</w:t>
      </w:r>
      <w:r w:rsidR="004E21FE">
        <w:rPr>
          <w:lang w:val="en-US"/>
        </w:rPr>
        <w:t xml:space="preserve"> </w:t>
      </w:r>
      <w:r w:rsidRPr="004E21FE">
        <w:rPr>
          <w:lang w:val="en-US"/>
        </w:rPr>
        <w:t>requirement that PLPs would</w:t>
      </w:r>
      <w:r w:rsidR="004E21FE">
        <w:rPr>
          <w:lang w:val="en-US"/>
        </w:rPr>
        <w:t xml:space="preserve"> </w:t>
      </w:r>
      <w:r w:rsidRPr="004E21FE">
        <w:rPr>
          <w:lang w:val="en-US"/>
        </w:rPr>
        <w:t>be reviewed regularly in discussion with the parent against the child’s progress and outcomes</w:t>
      </w:r>
      <w:r w:rsidR="004E21FE">
        <w:rPr>
          <w:lang w:val="en-US"/>
        </w:rPr>
        <w:t xml:space="preserve"> </w:t>
      </w:r>
      <w:r w:rsidRPr="004E21FE">
        <w:rPr>
          <w:lang w:val="en-US"/>
        </w:rPr>
        <w:t>realised;</w:t>
      </w:r>
    </w:p>
    <w:p w:rsidR="00585AA5" w:rsidRPr="004E21FE" w:rsidRDefault="00585AA5" w:rsidP="004E21FE">
      <w:pPr>
        <w:pStyle w:val="NICCYBodyText"/>
        <w:numPr>
          <w:ilvl w:val="0"/>
          <w:numId w:val="21"/>
        </w:numPr>
        <w:rPr>
          <w:lang w:val="en-US"/>
        </w:rPr>
      </w:pPr>
      <w:r w:rsidRPr="004E21FE">
        <w:rPr>
          <w:lang w:val="en-US"/>
        </w:rPr>
        <w:t>reducing the time frame for statutory assessment from 26 weeks to 20 weeks;</w:t>
      </w:r>
    </w:p>
    <w:p w:rsidR="00585AA5" w:rsidRDefault="00585AA5" w:rsidP="004E21FE">
      <w:pPr>
        <w:pStyle w:val="NICCYBodyText"/>
        <w:numPr>
          <w:ilvl w:val="0"/>
          <w:numId w:val="21"/>
        </w:numPr>
        <w:rPr>
          <w:lang w:val="en-US"/>
        </w:rPr>
      </w:pPr>
      <w:r>
        <w:rPr>
          <w:lang w:val="en-US"/>
        </w:rPr>
        <w:t>a new requirement for Boards to set out clearly the range of supports and services they would</w:t>
      </w:r>
      <w:r w:rsidR="004E21FE">
        <w:rPr>
          <w:lang w:val="en-US"/>
        </w:rPr>
        <w:t xml:space="preserve"> </w:t>
      </w:r>
      <w:r w:rsidRPr="004E21FE">
        <w:rPr>
          <w:lang w:val="en-US"/>
        </w:rPr>
        <w:t>ordinarily make available to schools, to assist them to support pupils, and to SEN pupils</w:t>
      </w:r>
      <w:r w:rsidR="004E21FE">
        <w:rPr>
          <w:lang w:val="en-US"/>
        </w:rPr>
        <w:t xml:space="preserve"> </w:t>
      </w:r>
      <w:r w:rsidRPr="004E21FE">
        <w:rPr>
          <w:lang w:val="en-US"/>
        </w:rPr>
        <w:t>themselves; and</w:t>
      </w:r>
    </w:p>
    <w:p w:rsidR="00C34E16" w:rsidRPr="004E21FE" w:rsidRDefault="00C34E16" w:rsidP="00C34E16">
      <w:pPr>
        <w:pStyle w:val="NICCYBodyText"/>
        <w:rPr>
          <w:lang w:val="en-US"/>
        </w:rPr>
      </w:pPr>
    </w:p>
    <w:p w:rsidR="00585AA5" w:rsidRDefault="00585AA5" w:rsidP="004E21FE">
      <w:pPr>
        <w:pStyle w:val="NICCYBodyText"/>
        <w:numPr>
          <w:ilvl w:val="0"/>
          <w:numId w:val="21"/>
        </w:numPr>
        <w:rPr>
          <w:lang w:val="en-US"/>
        </w:rPr>
      </w:pPr>
      <w:r>
        <w:rPr>
          <w:lang w:val="en-US"/>
        </w:rPr>
        <w:lastRenderedPageBreak/>
        <w:t>a revised statutory code emphasising the wider educational rights of the child, including those</w:t>
      </w:r>
      <w:r w:rsidR="004E21FE">
        <w:rPr>
          <w:lang w:val="en-US"/>
        </w:rPr>
        <w:t xml:space="preserve"> </w:t>
      </w:r>
      <w:r w:rsidRPr="004E21FE">
        <w:rPr>
          <w:lang w:val="en-US"/>
        </w:rPr>
        <w:t>within the context of the United Nations Convention on the Rights of the Child.</w:t>
      </w:r>
    </w:p>
    <w:p w:rsidR="004E21FE" w:rsidRPr="004E21FE" w:rsidRDefault="004E21FE" w:rsidP="004E21FE">
      <w:pPr>
        <w:pStyle w:val="NICCYBodyText"/>
        <w:ind w:left="720"/>
        <w:rPr>
          <w:lang w:val="en-US"/>
        </w:rPr>
      </w:pPr>
    </w:p>
    <w:p w:rsidR="00585AA5" w:rsidRDefault="00585AA5" w:rsidP="004E21FE">
      <w:pPr>
        <w:pStyle w:val="NICCYBodyText"/>
        <w:rPr>
          <w:lang w:val="en-US"/>
        </w:rPr>
      </w:pPr>
      <w:r>
        <w:rPr>
          <w:lang w:val="en-US"/>
        </w:rPr>
        <w:t>I have also considered a number of associated policy areas including redress for parents, a right of</w:t>
      </w:r>
      <w:r w:rsidR="004E21FE">
        <w:rPr>
          <w:lang w:val="en-US"/>
        </w:rPr>
        <w:t xml:space="preserve"> </w:t>
      </w:r>
      <w:r>
        <w:rPr>
          <w:lang w:val="en-US"/>
        </w:rPr>
        <w:t>appeal for children and young people to S</w:t>
      </w:r>
      <w:r w:rsidR="004E21FE">
        <w:rPr>
          <w:lang w:val="en-US"/>
        </w:rPr>
        <w:t xml:space="preserve">ENDIST and access to mediation.  </w:t>
      </w:r>
      <w:r>
        <w:rPr>
          <w:lang w:val="en-US"/>
        </w:rPr>
        <w:t>This has been informed</w:t>
      </w:r>
      <w:r w:rsidR="004E21FE">
        <w:rPr>
          <w:lang w:val="en-US"/>
        </w:rPr>
        <w:t xml:space="preserve"> </w:t>
      </w:r>
      <w:r>
        <w:rPr>
          <w:lang w:val="en-US"/>
        </w:rPr>
        <w:t>by matters raised during the consultation processes within the SEN and Inclusion Review and also by</w:t>
      </w:r>
      <w:r w:rsidR="004E21FE">
        <w:rPr>
          <w:lang w:val="en-US"/>
        </w:rPr>
        <w:t xml:space="preserve"> work in other jurisdictions.  </w:t>
      </w:r>
      <w:r>
        <w:rPr>
          <w:lang w:val="en-US"/>
        </w:rPr>
        <w:t>Once I have finalised my further proposals I intend to present them to my</w:t>
      </w:r>
      <w:r w:rsidR="004E21FE">
        <w:rPr>
          <w:lang w:val="en-US"/>
        </w:rPr>
        <w:t xml:space="preserve"> </w:t>
      </w:r>
      <w:r>
        <w:rPr>
          <w:lang w:val="en-US"/>
        </w:rPr>
        <w:t>Executive colleagues.</w:t>
      </w:r>
    </w:p>
    <w:p w:rsidR="00585AA5" w:rsidRDefault="00585AA5" w:rsidP="004E21FE">
      <w:pPr>
        <w:pStyle w:val="NICCYBodyText"/>
        <w:rPr>
          <w:lang w:val="en-US"/>
        </w:rPr>
      </w:pPr>
      <w:r>
        <w:rPr>
          <w:lang w:val="en-US"/>
        </w:rPr>
        <w:t>A Summary of Key Policy Areas, published in July 2012, is available on the DE web site:-</w:t>
      </w:r>
    </w:p>
    <w:p w:rsidR="003D29FE" w:rsidRPr="009472F8" w:rsidRDefault="00B4315F" w:rsidP="009472F8">
      <w:pPr>
        <w:pStyle w:val="NICCYBodyText"/>
        <w:rPr>
          <w:color w:val="0000FF"/>
          <w:szCs w:val="20"/>
          <w:u w:val="single"/>
        </w:rPr>
      </w:pPr>
      <w:hyperlink r:id="rId8" w:history="1">
        <w:r w:rsidR="009472F8" w:rsidRPr="009472F8">
          <w:rPr>
            <w:rStyle w:val="Hyperlink"/>
          </w:rPr>
          <w:t>http://www.deni.gov.uk/summary_of_key_proposals_july_2012.pdf</w:t>
        </w:r>
      </w:hyperlink>
    </w:p>
    <w:p w:rsidR="009472F8" w:rsidRDefault="009472F8" w:rsidP="003D29FE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4E21FE" w:rsidRPr="006F3A42" w:rsidRDefault="00B4315F" w:rsidP="004E21FE">
      <w:pPr>
        <w:autoSpaceDE w:val="0"/>
        <w:autoSpaceDN w:val="0"/>
        <w:adjustRightInd w:val="0"/>
        <w:spacing w:line="288" w:lineRule="auto"/>
      </w:pPr>
      <w:hyperlink w:anchor="_top" w:history="1">
        <w:r w:rsidR="004E21FE" w:rsidRPr="00A92D13">
          <w:rPr>
            <w:rStyle w:val="Hyperlink"/>
          </w:rPr>
          <w:t>Back to Top</w:t>
        </w:r>
      </w:hyperlink>
      <w:r w:rsidR="00C34E16">
        <w:br/>
      </w:r>
    </w:p>
    <w:p w:rsidR="00ED3594" w:rsidRDefault="00ED3594" w:rsidP="004E21FE">
      <w:pPr>
        <w:pStyle w:val="Heading2"/>
        <w:rPr>
          <w:rFonts w:eastAsiaTheme="minorEastAsia"/>
          <w:lang w:val="en-US"/>
        </w:rPr>
      </w:pPr>
      <w:bookmarkStart w:id="8" w:name="_Training_for_Teachers"/>
      <w:bookmarkEnd w:id="8"/>
      <w:r>
        <w:rPr>
          <w:rFonts w:eastAsiaTheme="minorEastAsia"/>
          <w:lang w:val="en-US"/>
        </w:rPr>
        <w:t>Training for Teachers of Children with Autism</w:t>
      </w:r>
    </w:p>
    <w:p w:rsidR="00ED3594" w:rsidRDefault="00ED3594" w:rsidP="004E21FE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A Maginness </w:t>
      </w:r>
      <w:r>
        <w:rPr>
          <w:lang w:val="en-US"/>
        </w:rPr>
        <w:t>asked the Minister of Education what steps his Department has in place to ensure</w:t>
      </w:r>
      <w:r w:rsidR="004E21FE">
        <w:rPr>
          <w:lang w:val="en-US"/>
        </w:rPr>
        <w:t xml:space="preserve"> </w:t>
      </w:r>
      <w:r>
        <w:rPr>
          <w:lang w:val="en-US"/>
        </w:rPr>
        <w:t>that all teachers and classroom assistants who regularly work with children with autism have the</w:t>
      </w:r>
      <w:r w:rsidR="004E21FE">
        <w:rPr>
          <w:lang w:val="en-US"/>
        </w:rPr>
        <w:t xml:space="preserve"> </w:t>
      </w:r>
      <w:r>
        <w:rPr>
          <w:lang w:val="en-US"/>
        </w:rPr>
        <w:t>appropriate training.</w:t>
      </w:r>
    </w:p>
    <w:p w:rsidR="00C34E16" w:rsidRDefault="00ED3594" w:rsidP="004E21FE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31561/11-15</w:t>
      </w:r>
    </w:p>
    <w:p w:rsidR="00585AA5" w:rsidRPr="009472F8" w:rsidRDefault="00ED3594" w:rsidP="004E21FE">
      <w:pPr>
        <w:pStyle w:val="NICCYBodyText"/>
        <w:rPr>
          <w:rFonts w:ascii="ITCFranklinGothicDemi" w:hAnsi="ITCFranklinGothicDemi" w:cs="ITCFranklinGothicDemi"/>
          <w:lang w:val="en-US"/>
        </w:rPr>
      </w:pPr>
      <w:r w:rsidRPr="004E21FE">
        <w:rPr>
          <w:rFonts w:ascii="ITCFranklinGothicDemi" w:hAnsi="ITCFranklinGothicDemi" w:cs="ITCFranklinGothicDemi"/>
          <w:b/>
          <w:lang w:val="en-US"/>
        </w:rPr>
        <w:t>Mr O’Dowd: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 education and library boards (ELBs) are responsible for providing autism-specific</w:t>
      </w:r>
      <w:r w:rsidR="004E21FE">
        <w:rPr>
          <w:lang w:val="en-US"/>
        </w:rPr>
        <w:t xml:space="preserve"> </w:t>
      </w:r>
      <w:r>
        <w:rPr>
          <w:lang w:val="en-US"/>
        </w:rPr>
        <w:t>training in schools and all boards deliver a range of autism-specific training for school staff.</w:t>
      </w:r>
      <w:r w:rsidR="004E21FE">
        <w:rPr>
          <w:lang w:val="en-US"/>
        </w:rPr>
        <w:t xml:space="preserve">  </w:t>
      </w:r>
      <w:r>
        <w:rPr>
          <w:lang w:val="en-US"/>
        </w:rPr>
        <w:t>ELBs undertake a needs analysis, on an annual basis, of the training required by schools for the</w:t>
      </w:r>
      <w:r w:rsidR="004E21FE">
        <w:rPr>
          <w:lang w:val="en-US"/>
        </w:rPr>
        <w:t xml:space="preserve"> </w:t>
      </w:r>
      <w:r>
        <w:rPr>
          <w:lang w:val="en-US"/>
        </w:rPr>
        <w:t>forthcomi</w:t>
      </w:r>
      <w:r w:rsidR="004E21FE">
        <w:rPr>
          <w:lang w:val="en-US"/>
        </w:rPr>
        <w:t xml:space="preserve">ng academic year.  </w:t>
      </w:r>
      <w:r>
        <w:rPr>
          <w:lang w:val="en-US"/>
        </w:rPr>
        <w:t>School principals are responsible for determining the training needs of</w:t>
      </w:r>
      <w:r w:rsidR="004E21FE">
        <w:rPr>
          <w:lang w:val="en-US"/>
        </w:rPr>
        <w:t xml:space="preserve"> </w:t>
      </w:r>
      <w:r>
        <w:rPr>
          <w:lang w:val="en-US"/>
        </w:rPr>
        <w:t>their teachers and school staff and they can avail of the wide range of courses on all aspects of special</w:t>
      </w:r>
      <w:r w:rsidR="004E21FE">
        <w:rPr>
          <w:lang w:val="en-US"/>
        </w:rPr>
        <w:t xml:space="preserve"> </w:t>
      </w:r>
      <w:r>
        <w:rPr>
          <w:lang w:val="en-US"/>
        </w:rPr>
        <w:t>educational needs, including autism, offered by Boards.</w:t>
      </w:r>
      <w:r w:rsidR="009472F8">
        <w:rPr>
          <w:rFonts w:ascii="ITCFranklinGothicDemi" w:hAnsi="ITCFranklinGothicDemi" w:cs="ITCFranklinGothicDemi"/>
          <w:lang w:val="en-US"/>
        </w:rPr>
        <w:t xml:space="preserve">  </w:t>
      </w:r>
      <w:r>
        <w:rPr>
          <w:lang w:val="en-US"/>
        </w:rPr>
        <w:t>In addition, the Middletown Centre for Autism provides a comprehensive range of training opportunities</w:t>
      </w:r>
      <w:r w:rsidR="004E21FE">
        <w:rPr>
          <w:lang w:val="en-US"/>
        </w:rPr>
        <w:t xml:space="preserve"> </w:t>
      </w:r>
      <w:r>
        <w:rPr>
          <w:lang w:val="en-US"/>
        </w:rPr>
        <w:t>for those supporting children with autistic spectrum disorders (ASDs) across all schools.</w:t>
      </w:r>
      <w:r w:rsidR="004E21FE">
        <w:rPr>
          <w:lang w:val="en-US"/>
        </w:rPr>
        <w:t xml:space="preserve">  </w:t>
      </w:r>
      <w:r>
        <w:rPr>
          <w:lang w:val="en-US"/>
        </w:rPr>
        <w:t>The training provided by the Centre is tailored to the needs of educational professionals and school</w:t>
      </w:r>
      <w:r w:rsidR="004E21FE">
        <w:rPr>
          <w:lang w:val="en-US"/>
        </w:rPr>
        <w:t xml:space="preserve"> staff.  </w:t>
      </w:r>
      <w:r>
        <w:rPr>
          <w:lang w:val="en-US"/>
        </w:rPr>
        <w:t xml:space="preserve">A range of sessions are specifically designed to the needs </w:t>
      </w:r>
      <w:r w:rsidR="004E21FE">
        <w:rPr>
          <w:lang w:val="en-US"/>
        </w:rPr>
        <w:t xml:space="preserve">of staff in mainstream schools.  </w:t>
      </w:r>
      <w:r>
        <w:rPr>
          <w:lang w:val="en-US"/>
        </w:rPr>
        <w:t>In</w:t>
      </w:r>
      <w:r w:rsidR="004E21FE">
        <w:rPr>
          <w:lang w:val="en-US"/>
        </w:rPr>
        <w:t xml:space="preserve"> </w:t>
      </w:r>
      <w:r>
        <w:rPr>
          <w:lang w:val="en-US"/>
        </w:rPr>
        <w:t>partnership with the inter-board ASD teams, the Centre also provides tailored whole school training for</w:t>
      </w:r>
      <w:r w:rsidR="004E21FE">
        <w:rPr>
          <w:lang w:val="en-US"/>
        </w:rPr>
        <w:t xml:space="preserve"> </w:t>
      </w:r>
      <w:r>
        <w:rPr>
          <w:lang w:val="en-US"/>
        </w:rPr>
        <w:t>schools upon request.</w:t>
      </w:r>
    </w:p>
    <w:p w:rsidR="004E21FE" w:rsidRDefault="004E21FE" w:rsidP="004E21FE">
      <w:pPr>
        <w:pStyle w:val="NICCYBodyText"/>
        <w:rPr>
          <w:lang w:val="en-US"/>
        </w:rPr>
      </w:pPr>
    </w:p>
    <w:p w:rsidR="00ED3594" w:rsidRPr="00C34E16" w:rsidRDefault="00B4315F" w:rsidP="00C34E16">
      <w:pPr>
        <w:pStyle w:val="NICCYBodyText"/>
        <w:rPr>
          <w:lang w:val="en-US"/>
        </w:rPr>
      </w:pPr>
      <w:hyperlink w:anchor="_top" w:history="1">
        <w:r w:rsidR="004E21FE" w:rsidRPr="00A92D13">
          <w:rPr>
            <w:rStyle w:val="Hyperlink"/>
          </w:rPr>
          <w:t>Back to Top</w:t>
        </w:r>
      </w:hyperlink>
    </w:p>
    <w:p w:rsidR="00DE5264" w:rsidRDefault="00DE5264" w:rsidP="004E21FE">
      <w:pPr>
        <w:pStyle w:val="Heading2"/>
        <w:rPr>
          <w:rFonts w:eastAsiaTheme="minorEastAsia"/>
          <w:lang w:val="en-US"/>
        </w:rPr>
      </w:pPr>
      <w:bookmarkStart w:id="9" w:name="_Education_Bill"/>
      <w:bookmarkEnd w:id="9"/>
      <w:r>
        <w:rPr>
          <w:rFonts w:eastAsiaTheme="minorEastAsia"/>
          <w:lang w:val="en-US"/>
        </w:rPr>
        <w:lastRenderedPageBreak/>
        <w:t>Education Bill</w:t>
      </w:r>
    </w:p>
    <w:p w:rsidR="00DE5264" w:rsidRDefault="00DE5264" w:rsidP="004E21FE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Hussey </w:t>
      </w:r>
      <w:r>
        <w:rPr>
          <w:lang w:val="en-US"/>
        </w:rPr>
        <w:t>asked the Minister of Education for an update on the progress of the Education Bill.</w:t>
      </w:r>
    </w:p>
    <w:p w:rsidR="00DE5264" w:rsidRDefault="00DE5264" w:rsidP="004E21FE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(AQO 5686/11-15)</w:t>
      </w:r>
    </w:p>
    <w:p w:rsidR="004E21FE" w:rsidRDefault="004E21FE" w:rsidP="004E21FE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DE5264" w:rsidRDefault="00DE5264" w:rsidP="004E21FE">
      <w:pPr>
        <w:pStyle w:val="NICCYBodyText"/>
        <w:rPr>
          <w:lang w:val="en-US"/>
        </w:rPr>
      </w:pPr>
      <w:r w:rsidRPr="004E21FE">
        <w:rPr>
          <w:rFonts w:ascii="ITCFranklinGothicDemi" w:hAnsi="ITCFranklinGothicDemi" w:cs="ITCFranklinGothicDemi"/>
          <w:b/>
          <w:lang w:val="en-US"/>
        </w:rPr>
        <w:t>Mr O’Dowd: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 Education Bill cannot advance to Consideration Stage without the agreement of the</w:t>
      </w:r>
      <w:r w:rsidR="004E21FE">
        <w:rPr>
          <w:lang w:val="en-US"/>
        </w:rPr>
        <w:t xml:space="preserve"> </w:t>
      </w:r>
      <w:r>
        <w:rPr>
          <w:lang w:val="en-US"/>
        </w:rPr>
        <w:t>Executive.</w:t>
      </w:r>
      <w:r w:rsidR="004E21FE">
        <w:rPr>
          <w:lang w:val="en-US"/>
        </w:rPr>
        <w:t xml:space="preserve">  This remains outstanding.  </w:t>
      </w:r>
      <w:r>
        <w:rPr>
          <w:lang w:val="en-US"/>
        </w:rPr>
        <w:t>In seeking to reach an accommodation I have proposed a number</w:t>
      </w:r>
      <w:r w:rsidR="004E21FE">
        <w:rPr>
          <w:lang w:val="en-US"/>
        </w:rPr>
        <w:t xml:space="preserve"> </w:t>
      </w:r>
      <w:r>
        <w:rPr>
          <w:lang w:val="en-US"/>
        </w:rPr>
        <w:t>of amendments, in particular measures that will retain and develop school autonomy in employment</w:t>
      </w:r>
      <w:r w:rsidR="004E21FE">
        <w:rPr>
          <w:lang w:val="en-US"/>
        </w:rPr>
        <w:t xml:space="preserve"> matters.  </w:t>
      </w:r>
      <w:r>
        <w:rPr>
          <w:lang w:val="en-US"/>
        </w:rPr>
        <w:t>Without agreement, however, I must soon commit to, and invest</w:t>
      </w:r>
      <w:r w:rsidR="00C34E16">
        <w:rPr>
          <w:lang w:val="en-US"/>
        </w:rPr>
        <w:t xml:space="preserve"> in, an alternative future.  </w:t>
      </w:r>
      <w:r>
        <w:rPr>
          <w:lang w:val="en-US"/>
        </w:rPr>
        <w:t>In</w:t>
      </w:r>
      <w:r w:rsidR="00C34E16">
        <w:rPr>
          <w:lang w:val="en-US"/>
        </w:rPr>
        <w:t xml:space="preserve"> </w:t>
      </w:r>
      <w:r>
        <w:rPr>
          <w:lang w:val="en-US"/>
        </w:rPr>
        <w:t>particular, local government reform may force the issue as I must have in place by April 2015 new</w:t>
      </w:r>
    </w:p>
    <w:p w:rsidR="00C34E16" w:rsidRDefault="00DE5264" w:rsidP="00C34E16">
      <w:pPr>
        <w:pStyle w:val="NICCYBodyText"/>
        <w:rPr>
          <w:lang w:val="en-US"/>
        </w:rPr>
      </w:pPr>
      <w:r>
        <w:rPr>
          <w:lang w:val="en-US"/>
        </w:rPr>
        <w:t>legislation supporting a reconfiguration of Education and Library Board (ELB) territory – simply to align</w:t>
      </w:r>
      <w:r w:rsidR="00C34E16">
        <w:rPr>
          <w:lang w:val="en-US"/>
        </w:rPr>
        <w:t xml:space="preserve"> </w:t>
      </w:r>
      <w:r>
        <w:rPr>
          <w:lang w:val="en-US"/>
        </w:rPr>
        <w:t>with local government reform.</w:t>
      </w:r>
    </w:p>
    <w:p w:rsidR="00C34E16" w:rsidRDefault="00C34E16" w:rsidP="00C34E16">
      <w:pPr>
        <w:pStyle w:val="NICCYBodyText"/>
        <w:rPr>
          <w:lang w:val="en-US"/>
        </w:rPr>
      </w:pPr>
    </w:p>
    <w:p w:rsidR="00C34E16" w:rsidRDefault="00B4315F" w:rsidP="00C34E16">
      <w:pPr>
        <w:pStyle w:val="NICCYBodyText"/>
        <w:rPr>
          <w:lang w:val="en-US"/>
        </w:rPr>
      </w:pPr>
      <w:hyperlink w:anchor="_top" w:history="1">
        <w:r w:rsidR="00C34E16" w:rsidRPr="00A92D13">
          <w:rPr>
            <w:rStyle w:val="Hyperlink"/>
          </w:rPr>
          <w:t>Back to Top</w:t>
        </w:r>
      </w:hyperlink>
    </w:p>
    <w:p w:rsidR="00DE5264" w:rsidRDefault="00DE5264" w:rsidP="00DE5264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DE5264" w:rsidRDefault="00DE5264" w:rsidP="00C34E16">
      <w:pPr>
        <w:pStyle w:val="Heading2"/>
        <w:rPr>
          <w:rFonts w:eastAsiaTheme="minorEastAsia"/>
          <w:lang w:val="en-US"/>
        </w:rPr>
      </w:pPr>
      <w:bookmarkStart w:id="10" w:name="_Schools:_Area_Planning"/>
      <w:bookmarkEnd w:id="10"/>
      <w:r>
        <w:rPr>
          <w:rFonts w:eastAsiaTheme="minorEastAsia"/>
          <w:lang w:val="en-US"/>
        </w:rPr>
        <w:t>Schools: Area Planning</w:t>
      </w:r>
    </w:p>
    <w:p w:rsidR="00DE5264" w:rsidRDefault="00DE5264" w:rsidP="00C34E16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Swann </w:t>
      </w:r>
      <w:r>
        <w:rPr>
          <w:lang w:val="en-US"/>
        </w:rPr>
        <w:t>asked the Minister of Education, in relation to the development plans of neighbouring</w:t>
      </w:r>
      <w:r w:rsidR="00C34E16">
        <w:rPr>
          <w:lang w:val="en-US"/>
        </w:rPr>
        <w:t xml:space="preserve"> </w:t>
      </w:r>
      <w:r>
        <w:rPr>
          <w:lang w:val="en-US"/>
        </w:rPr>
        <w:t>schools under Area Planning, whether he will ensure that no action is taken until all the development</w:t>
      </w:r>
      <w:r w:rsidR="00C34E16">
        <w:rPr>
          <w:lang w:val="en-US"/>
        </w:rPr>
        <w:t xml:space="preserve"> </w:t>
      </w:r>
      <w:r>
        <w:rPr>
          <w:lang w:val="en-US"/>
        </w:rPr>
        <w:t>plans for schools in that area are completed.</w:t>
      </w:r>
    </w:p>
    <w:p w:rsidR="00DE5264" w:rsidRDefault="00DE5264" w:rsidP="00C34E16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(AQO 5680/11-15)</w:t>
      </w:r>
    </w:p>
    <w:p w:rsidR="00C34E16" w:rsidRDefault="00C34E16" w:rsidP="00C34E16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DE5264" w:rsidRDefault="00DE5264" w:rsidP="00C34E16">
      <w:pPr>
        <w:pStyle w:val="NICCYBodyText"/>
        <w:rPr>
          <w:lang w:val="en-US"/>
        </w:rPr>
      </w:pPr>
      <w:r w:rsidRPr="00C34E16">
        <w:rPr>
          <w:rFonts w:ascii="ITCFranklinGothicDemi" w:hAnsi="ITCFranklinGothicDemi" w:cs="ITCFranklinGothicDemi"/>
          <w:b/>
          <w:lang w:val="en-US"/>
        </w:rPr>
        <w:t>Mr O’Dowd: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Area Planning is about developing a single strategic</w:t>
      </w:r>
      <w:r w:rsidR="00C34E16">
        <w:rPr>
          <w:lang w:val="en-US"/>
        </w:rPr>
        <w:t xml:space="preserve"> area plan for each Board area.  </w:t>
      </w:r>
      <w:r>
        <w:rPr>
          <w:lang w:val="en-US"/>
        </w:rPr>
        <w:t>All the</w:t>
      </w:r>
      <w:r w:rsidR="00C34E16">
        <w:rPr>
          <w:lang w:val="en-US"/>
        </w:rPr>
        <w:t xml:space="preserve"> </w:t>
      </w:r>
      <w:r>
        <w:rPr>
          <w:lang w:val="en-US"/>
        </w:rPr>
        <w:t>school managing authorities must work together to develop the area plan.</w:t>
      </w:r>
    </w:p>
    <w:p w:rsidR="00DE5264" w:rsidRDefault="00DE5264" w:rsidP="00C34E16">
      <w:pPr>
        <w:pStyle w:val="NICCYBodyText"/>
        <w:rPr>
          <w:lang w:val="en-US"/>
        </w:rPr>
      </w:pPr>
      <w:r>
        <w:rPr>
          <w:lang w:val="en-US"/>
        </w:rPr>
        <w:t xml:space="preserve">The area plan should clearly articulate what is needed in an area </w:t>
      </w:r>
      <w:r w:rsidR="00C34E16">
        <w:rPr>
          <w:lang w:val="en-US"/>
        </w:rPr>
        <w:t xml:space="preserve">and how this will be delivered.  </w:t>
      </w:r>
      <w:r>
        <w:rPr>
          <w:lang w:val="en-US"/>
        </w:rPr>
        <w:t>Where</w:t>
      </w:r>
      <w:r w:rsidR="00C34E16">
        <w:rPr>
          <w:lang w:val="en-US"/>
        </w:rPr>
        <w:t xml:space="preserve"> </w:t>
      </w:r>
      <w:r>
        <w:rPr>
          <w:lang w:val="en-US"/>
        </w:rPr>
        <w:t>it is identified that change is needed then development proposals should be consulted upon and</w:t>
      </w:r>
      <w:r w:rsidR="00C34E16">
        <w:rPr>
          <w:lang w:val="en-US"/>
        </w:rPr>
        <w:t xml:space="preserve"> </w:t>
      </w:r>
      <w:r>
        <w:rPr>
          <w:lang w:val="en-US"/>
        </w:rPr>
        <w:t>published.</w:t>
      </w:r>
    </w:p>
    <w:p w:rsidR="00C34E16" w:rsidRDefault="00C34E16" w:rsidP="00C34E16">
      <w:pPr>
        <w:pStyle w:val="NICCYBodyText"/>
        <w:rPr>
          <w:lang w:val="en-US"/>
        </w:rPr>
      </w:pPr>
    </w:p>
    <w:p w:rsidR="00DE5264" w:rsidRDefault="00DE5264" w:rsidP="00C34E16">
      <w:pPr>
        <w:pStyle w:val="NICCYBodyText"/>
        <w:rPr>
          <w:lang w:val="en-US"/>
        </w:rPr>
      </w:pPr>
      <w:r>
        <w:rPr>
          <w:lang w:val="en-US"/>
        </w:rPr>
        <w:t>I have already outlined in my statement to the Assembly on the East Belfast Proposals on 14 January</w:t>
      </w:r>
      <w:r w:rsidR="00C34E16">
        <w:rPr>
          <w:lang w:val="en-US"/>
        </w:rPr>
        <w:t xml:space="preserve"> </w:t>
      </w:r>
      <w:r>
        <w:rPr>
          <w:lang w:val="en-US"/>
        </w:rPr>
        <w:t>that area planning is complex and multifaceted, and requires co-ordination, discussion and pragmatism.</w:t>
      </w:r>
      <w:r w:rsidR="00C34E16">
        <w:rPr>
          <w:lang w:val="en-US"/>
        </w:rPr>
        <w:t xml:space="preserve">  </w:t>
      </w:r>
      <w:r>
        <w:rPr>
          <w:lang w:val="en-US"/>
        </w:rPr>
        <w:t>I have said that planning authorities need to bring forward inter-related and linked proposals that</w:t>
      </w:r>
      <w:r w:rsidR="00C34E16">
        <w:rPr>
          <w:lang w:val="en-US"/>
        </w:rPr>
        <w:t xml:space="preserve"> </w:t>
      </w:r>
      <w:r>
        <w:rPr>
          <w:lang w:val="en-US"/>
        </w:rPr>
        <w:t>clearly set out for all concerned the overal</w:t>
      </w:r>
      <w:r w:rsidR="00C34E16">
        <w:rPr>
          <w:lang w:val="en-US"/>
        </w:rPr>
        <w:t xml:space="preserve">l proposals for any given area.  </w:t>
      </w:r>
      <w:r>
        <w:rPr>
          <w:lang w:val="en-US"/>
        </w:rPr>
        <w:t>I will therefore expect to see</w:t>
      </w:r>
      <w:r w:rsidR="00C34E16">
        <w:rPr>
          <w:lang w:val="en-US"/>
        </w:rPr>
        <w:t xml:space="preserve"> </w:t>
      </w:r>
      <w:r>
        <w:rPr>
          <w:lang w:val="en-US"/>
        </w:rPr>
        <w:t>proposals for an area being brought forward simultaneously.</w:t>
      </w:r>
    </w:p>
    <w:p w:rsidR="00C34E16" w:rsidRDefault="00C34E16" w:rsidP="00C34E16">
      <w:pPr>
        <w:pStyle w:val="NICCYBodyText"/>
        <w:rPr>
          <w:lang w:val="en-US"/>
        </w:rPr>
      </w:pPr>
    </w:p>
    <w:p w:rsidR="00DE5264" w:rsidRDefault="00DE5264" w:rsidP="00C34E16">
      <w:pPr>
        <w:pStyle w:val="NICCYBodyText"/>
        <w:rPr>
          <w:lang w:val="en-US"/>
        </w:rPr>
      </w:pPr>
      <w:r>
        <w:rPr>
          <w:lang w:val="en-US"/>
        </w:rPr>
        <w:lastRenderedPageBreak/>
        <w:t xml:space="preserve">I have already taken difficult decisions and </w:t>
      </w:r>
      <w:r w:rsidR="00C34E16">
        <w:rPr>
          <w:lang w:val="en-US"/>
        </w:rPr>
        <w:t xml:space="preserve">I am sure there will be others.  </w:t>
      </w:r>
      <w:r>
        <w:rPr>
          <w:lang w:val="en-US"/>
        </w:rPr>
        <w:t>In each case my focus will be</w:t>
      </w:r>
      <w:r w:rsidR="00C34E16">
        <w:rPr>
          <w:lang w:val="en-US"/>
        </w:rPr>
        <w:t xml:space="preserve"> </w:t>
      </w:r>
      <w:r>
        <w:rPr>
          <w:lang w:val="en-US"/>
        </w:rPr>
        <w:t xml:space="preserve">on what is best for </w:t>
      </w:r>
      <w:r w:rsidR="00C34E16">
        <w:rPr>
          <w:lang w:val="en-US"/>
        </w:rPr>
        <w:t xml:space="preserve">the young people of the area.  </w:t>
      </w:r>
      <w:r>
        <w:rPr>
          <w:lang w:val="en-US"/>
        </w:rPr>
        <w:t>When I am not convinced that proposals will deliver</w:t>
      </w:r>
      <w:r w:rsidR="00C34E16">
        <w:rPr>
          <w:lang w:val="en-US"/>
        </w:rPr>
        <w:t xml:space="preserve"> </w:t>
      </w:r>
      <w:r>
        <w:rPr>
          <w:lang w:val="en-US"/>
        </w:rPr>
        <w:t>high quality sustainable schools then I will require more work to be done.</w:t>
      </w:r>
    </w:p>
    <w:p w:rsidR="00DE5264" w:rsidRDefault="00DE5264" w:rsidP="00DE5264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C34E16" w:rsidRDefault="00B4315F" w:rsidP="00DE5264">
      <w:pPr>
        <w:autoSpaceDE w:val="0"/>
        <w:autoSpaceDN w:val="0"/>
        <w:adjustRightInd w:val="0"/>
      </w:pPr>
      <w:hyperlink w:anchor="_top" w:history="1">
        <w:r w:rsidR="00C34E16" w:rsidRPr="00A92D13">
          <w:rPr>
            <w:rStyle w:val="Hyperlink"/>
          </w:rPr>
          <w:t>Back to Top</w:t>
        </w:r>
      </w:hyperlink>
    </w:p>
    <w:p w:rsidR="00D13EA0" w:rsidRDefault="00D13EA0" w:rsidP="00C34E16">
      <w:pPr>
        <w:pStyle w:val="Heading2"/>
        <w:rPr>
          <w:rFonts w:eastAsiaTheme="minorEastAsia"/>
          <w:lang w:val="en-US"/>
        </w:rPr>
      </w:pPr>
      <w:bookmarkStart w:id="11" w:name="_Playground_Name"/>
      <w:bookmarkEnd w:id="11"/>
      <w:r>
        <w:rPr>
          <w:rFonts w:eastAsiaTheme="minorEastAsia"/>
          <w:lang w:val="en-US"/>
        </w:rPr>
        <w:t>Playground Name</w:t>
      </w:r>
    </w:p>
    <w:p w:rsidR="00D13EA0" w:rsidRDefault="00D13EA0" w:rsidP="00C34E16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Allister </w:t>
      </w:r>
      <w:r>
        <w:rPr>
          <w:lang w:val="en-US"/>
        </w:rPr>
        <w:t>asked the Minister of the Environment to outline the steps he has taken following</w:t>
      </w:r>
      <w:r w:rsidR="00C34E16">
        <w:rPr>
          <w:lang w:val="en-US"/>
        </w:rPr>
        <w:t xml:space="preserve"> </w:t>
      </w:r>
      <w:r>
        <w:rPr>
          <w:lang w:val="en-US"/>
        </w:rPr>
        <w:t>the Equality Commission’s finding that Newry and Mourne District Council breached its equality</w:t>
      </w:r>
      <w:r w:rsidR="00C34E16">
        <w:rPr>
          <w:lang w:val="en-US"/>
        </w:rPr>
        <w:t xml:space="preserve"> </w:t>
      </w:r>
      <w:r>
        <w:rPr>
          <w:lang w:val="en-US"/>
        </w:rPr>
        <w:t>commitments when they named a children’s playground after an IRA terrorist.</w:t>
      </w:r>
    </w:p>
    <w:p w:rsidR="00D13EA0" w:rsidRDefault="00D13EA0" w:rsidP="00C34E16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(AQO 5707/11-15)</w:t>
      </w:r>
    </w:p>
    <w:p w:rsidR="00C34E16" w:rsidRDefault="00C34E16" w:rsidP="00C34E16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D13EA0" w:rsidRDefault="00D13EA0" w:rsidP="00C34E16">
      <w:pPr>
        <w:pStyle w:val="NICCYBodyText"/>
        <w:rPr>
          <w:lang w:val="en-US"/>
        </w:rPr>
      </w:pPr>
      <w:r w:rsidRPr="00C34E16">
        <w:rPr>
          <w:rFonts w:ascii="ITCFranklinGothicDemi" w:hAnsi="ITCFranklinGothicDemi" w:cs="ITCFranklinGothicDemi"/>
          <w:b/>
          <w:lang w:val="en-US"/>
        </w:rPr>
        <w:t xml:space="preserve">Mr Durkan: </w:t>
      </w:r>
      <w:r>
        <w:rPr>
          <w:lang w:val="en-US"/>
        </w:rPr>
        <w:t>I should explain that in this matter district councils are independent of central government</w:t>
      </w:r>
      <w:r w:rsidR="00C34E16">
        <w:rPr>
          <w:lang w:val="en-US"/>
        </w:rPr>
        <w:t xml:space="preserve"> </w:t>
      </w:r>
      <w:r>
        <w:rPr>
          <w:lang w:val="en-US"/>
        </w:rPr>
        <w:t>and are accountable to their l</w:t>
      </w:r>
      <w:r w:rsidR="00C34E16">
        <w:rPr>
          <w:lang w:val="en-US"/>
        </w:rPr>
        <w:t xml:space="preserve">ocal electorate and ratepayers.  </w:t>
      </w:r>
      <w:r>
        <w:rPr>
          <w:lang w:val="en-US"/>
        </w:rPr>
        <w:t>They are also directly answerable to the</w:t>
      </w:r>
      <w:r w:rsidR="00C34E16">
        <w:rPr>
          <w:lang w:val="en-US"/>
        </w:rPr>
        <w:t xml:space="preserve"> </w:t>
      </w:r>
      <w:r>
        <w:rPr>
          <w:lang w:val="en-US"/>
        </w:rPr>
        <w:t>Equality Commission in respect of their Section 75 Duties.</w:t>
      </w:r>
    </w:p>
    <w:p w:rsidR="00D13EA0" w:rsidRDefault="00D13EA0" w:rsidP="00C34E16">
      <w:pPr>
        <w:pStyle w:val="NICCYBodyText"/>
        <w:rPr>
          <w:lang w:val="en-US"/>
        </w:rPr>
      </w:pPr>
      <w:r>
        <w:rPr>
          <w:lang w:val="en-US"/>
        </w:rPr>
        <w:t>Under Section 75 of the NI Act 1998, all designated public authorities, including district councils, when</w:t>
      </w:r>
      <w:r w:rsidR="00C34E16">
        <w:rPr>
          <w:lang w:val="en-US"/>
        </w:rPr>
        <w:t xml:space="preserve"> </w:t>
      </w:r>
      <w:r>
        <w:rPr>
          <w:lang w:val="en-US"/>
        </w:rPr>
        <w:t>carrying out their functions in Northern Ireland, must have due regard to the need to promote equality</w:t>
      </w:r>
      <w:r w:rsidR="00C34E16">
        <w:rPr>
          <w:lang w:val="en-US"/>
        </w:rPr>
        <w:t xml:space="preserve"> </w:t>
      </w:r>
      <w:r>
        <w:rPr>
          <w:lang w:val="en-US"/>
        </w:rPr>
        <w:t>of opportunity between certain specified individuals and groups, and should encourage and promote</w:t>
      </w:r>
      <w:r w:rsidR="00C34E16">
        <w:rPr>
          <w:lang w:val="en-US"/>
        </w:rPr>
        <w:t xml:space="preserve"> </w:t>
      </w:r>
      <w:r>
        <w:rPr>
          <w:lang w:val="en-US"/>
        </w:rPr>
        <w:t>good relations within these sectors, regardless of their religious or political persuasion.</w:t>
      </w:r>
    </w:p>
    <w:p w:rsidR="00C34E16" w:rsidRDefault="00C34E16" w:rsidP="00C34E16">
      <w:pPr>
        <w:pStyle w:val="NICCYBodyText"/>
        <w:rPr>
          <w:lang w:val="en-US"/>
        </w:rPr>
      </w:pPr>
    </w:p>
    <w:p w:rsidR="00D13EA0" w:rsidRDefault="00D13EA0" w:rsidP="00C34E16">
      <w:pPr>
        <w:pStyle w:val="NICCYBodyText"/>
        <w:rPr>
          <w:lang w:val="en-US"/>
        </w:rPr>
      </w:pPr>
      <w:r>
        <w:rPr>
          <w:lang w:val="en-US"/>
        </w:rPr>
        <w:t>The Equality Commission has advised that presently its consideration of the matter referred to is not</w:t>
      </w:r>
      <w:r w:rsidR="00C34E16">
        <w:rPr>
          <w:lang w:val="en-US"/>
        </w:rPr>
        <w:t xml:space="preserve"> yet complete.  </w:t>
      </w:r>
      <w:r>
        <w:rPr>
          <w:lang w:val="en-US"/>
        </w:rPr>
        <w:t>A draft report has been sent to Newry and Mourne Dis</w:t>
      </w:r>
      <w:r w:rsidR="00C34E16">
        <w:rPr>
          <w:lang w:val="en-US"/>
        </w:rPr>
        <w:t xml:space="preserve">trict Council for its comments.  </w:t>
      </w:r>
      <w:r>
        <w:rPr>
          <w:lang w:val="en-US"/>
        </w:rPr>
        <w:t>The</w:t>
      </w:r>
      <w:r w:rsidR="00C34E16">
        <w:rPr>
          <w:lang w:val="en-US"/>
        </w:rPr>
        <w:t xml:space="preserve"> </w:t>
      </w:r>
      <w:r>
        <w:rPr>
          <w:lang w:val="en-US"/>
        </w:rPr>
        <w:t>Commission will then consider those points before finalising its investigation.</w:t>
      </w:r>
      <w:r w:rsidR="00C34E16">
        <w:rPr>
          <w:lang w:val="en-US"/>
        </w:rPr>
        <w:t xml:space="preserve">  </w:t>
      </w:r>
      <w:r>
        <w:rPr>
          <w:lang w:val="en-US"/>
        </w:rPr>
        <w:t>If, following the conclusion of this investigation, the Commission’s report outlines a failure by Newry</w:t>
      </w:r>
      <w:r w:rsidR="00C34E16">
        <w:rPr>
          <w:lang w:val="en-US"/>
        </w:rPr>
        <w:t xml:space="preserve"> </w:t>
      </w:r>
      <w:r>
        <w:rPr>
          <w:lang w:val="en-US"/>
        </w:rPr>
        <w:t>and Mourne District Council to comply with the commitments in its approved Equality Scheme, the</w:t>
      </w:r>
      <w:r w:rsidR="00C34E16">
        <w:rPr>
          <w:lang w:val="en-US"/>
        </w:rPr>
        <w:t xml:space="preserve"> </w:t>
      </w:r>
      <w:r>
        <w:rPr>
          <w:lang w:val="en-US"/>
        </w:rPr>
        <w:t>Commission can make recommendations to the Council for actions to address the matter.</w:t>
      </w:r>
      <w:r w:rsidR="00C34E16">
        <w:rPr>
          <w:lang w:val="en-US"/>
        </w:rPr>
        <w:t xml:space="preserve">  </w:t>
      </w:r>
      <w:r>
        <w:rPr>
          <w:lang w:val="en-US"/>
        </w:rPr>
        <w:t>If these recommended actions are not taken within a reasonable time, the Commission may refer</w:t>
      </w:r>
      <w:r w:rsidR="00C34E16">
        <w:rPr>
          <w:lang w:val="en-US"/>
        </w:rPr>
        <w:t xml:space="preserve"> </w:t>
      </w:r>
      <w:r>
        <w:rPr>
          <w:lang w:val="en-US"/>
        </w:rPr>
        <w:t>the matter to the Secretary of State who may give direc</w:t>
      </w:r>
      <w:r w:rsidR="00C34E16">
        <w:rPr>
          <w:lang w:val="en-US"/>
        </w:rPr>
        <w:t xml:space="preserve">tions to the Council concerned.  </w:t>
      </w:r>
      <w:r>
        <w:rPr>
          <w:lang w:val="en-US"/>
        </w:rPr>
        <w:t>When taking</w:t>
      </w:r>
    </w:p>
    <w:p w:rsidR="00D13EA0" w:rsidRDefault="00D13EA0" w:rsidP="00C34E16">
      <w:pPr>
        <w:pStyle w:val="NICCYBodyText"/>
        <w:rPr>
          <w:lang w:val="en-US"/>
        </w:rPr>
      </w:pPr>
      <w:r>
        <w:rPr>
          <w:lang w:val="en-US"/>
        </w:rPr>
        <w:t xml:space="preserve">this step, the Commission shall also </w:t>
      </w:r>
      <w:r w:rsidR="00C34E16">
        <w:rPr>
          <w:lang w:val="en-US"/>
        </w:rPr>
        <w:t xml:space="preserve">notify the Assembly in writing.  </w:t>
      </w:r>
      <w:r>
        <w:rPr>
          <w:lang w:val="en-US"/>
        </w:rPr>
        <w:t>The relevant law is contained in</w:t>
      </w:r>
      <w:r w:rsidR="00C34E16">
        <w:rPr>
          <w:lang w:val="en-US"/>
        </w:rPr>
        <w:t xml:space="preserve"> </w:t>
      </w:r>
      <w:r>
        <w:rPr>
          <w:lang w:val="en-US"/>
        </w:rPr>
        <w:t>paragraph 11 of Schedule 9 of the Northern Ireland Act 1998.</w:t>
      </w:r>
      <w:r w:rsidR="00C34E16">
        <w:rPr>
          <w:lang w:val="en-US"/>
        </w:rPr>
        <w:t xml:space="preserve">  </w:t>
      </w:r>
      <w:r>
        <w:rPr>
          <w:lang w:val="en-US"/>
        </w:rPr>
        <w:t>Since there is an existing legislative process for the handling of such matters, it would be inappropriate</w:t>
      </w:r>
    </w:p>
    <w:p w:rsidR="00DE5264" w:rsidRDefault="00D13EA0" w:rsidP="00C34E16">
      <w:pPr>
        <w:pStyle w:val="NICCYBodyText"/>
        <w:rPr>
          <w:lang w:val="en-US"/>
        </w:rPr>
      </w:pPr>
      <w:r>
        <w:rPr>
          <w:lang w:val="en-US"/>
        </w:rPr>
        <w:t>for me, as Minister of the Environment, to intervene.</w:t>
      </w:r>
    </w:p>
    <w:p w:rsidR="00C34E16" w:rsidRDefault="00B4315F" w:rsidP="00C34E16">
      <w:pPr>
        <w:autoSpaceDE w:val="0"/>
        <w:autoSpaceDN w:val="0"/>
        <w:adjustRightInd w:val="0"/>
      </w:pPr>
      <w:hyperlink w:anchor="_top" w:history="1">
        <w:r w:rsidR="00C34E16" w:rsidRPr="00A92D13">
          <w:rPr>
            <w:rStyle w:val="Hyperlink"/>
          </w:rPr>
          <w:t>Back to Top</w:t>
        </w:r>
      </w:hyperlink>
    </w:p>
    <w:p w:rsidR="001E2FD9" w:rsidRDefault="001E2FD9" w:rsidP="00C34E16">
      <w:pPr>
        <w:pStyle w:val="Heading2"/>
        <w:rPr>
          <w:rFonts w:eastAsiaTheme="minorEastAsia"/>
          <w:lang w:val="en-US"/>
        </w:rPr>
      </w:pPr>
      <w:bookmarkStart w:id="12" w:name="_Free_School_Meals:"/>
      <w:bookmarkEnd w:id="12"/>
      <w:r>
        <w:rPr>
          <w:rFonts w:eastAsiaTheme="minorEastAsia"/>
          <w:lang w:val="en-US"/>
        </w:rPr>
        <w:lastRenderedPageBreak/>
        <w:t>Free School Meals: Capital Funding Received by the Northern Ireland Executive</w:t>
      </w:r>
    </w:p>
    <w:p w:rsidR="001E2FD9" w:rsidRDefault="001E2FD9" w:rsidP="00C34E16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Flanagan </w:t>
      </w:r>
      <w:r>
        <w:rPr>
          <w:lang w:val="en-US"/>
        </w:rPr>
        <w:t>asked the Minister of Finance and Personnel how much in total revenue and capital</w:t>
      </w:r>
      <w:r w:rsidR="00C34E16">
        <w:rPr>
          <w:lang w:val="en-US"/>
        </w:rPr>
        <w:t xml:space="preserve"> </w:t>
      </w:r>
      <w:r>
        <w:rPr>
          <w:lang w:val="en-US"/>
        </w:rPr>
        <w:t>funding will the Northern Executive receive over the next two years, 2014-2016, as a result of Barnett</w:t>
      </w:r>
      <w:r w:rsidR="00C34E16">
        <w:rPr>
          <w:lang w:val="en-US"/>
        </w:rPr>
        <w:t xml:space="preserve"> </w:t>
      </w:r>
      <w:r>
        <w:rPr>
          <w:lang w:val="en-US"/>
        </w:rPr>
        <w:t>Consequentials from the British Government’s policy on free school meals for all infants.</w:t>
      </w:r>
    </w:p>
    <w:p w:rsidR="001E2FD9" w:rsidRDefault="001E2FD9" w:rsidP="00C34E16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31466/11-15)</w:t>
      </w:r>
    </w:p>
    <w:p w:rsidR="00C34E16" w:rsidRDefault="00C34E16" w:rsidP="00C34E16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D13EA0" w:rsidRDefault="001E2FD9" w:rsidP="00C34E16">
      <w:pPr>
        <w:pStyle w:val="NICCYBodyText"/>
        <w:rPr>
          <w:lang w:val="en-US"/>
        </w:rPr>
      </w:pPr>
      <w:r w:rsidRPr="00C34E16">
        <w:rPr>
          <w:rFonts w:ascii="ITCFranklinGothicDemi" w:hAnsi="ITCFranklinGothicDemi" w:cs="ITCFranklinGothicDemi"/>
          <w:b/>
          <w:lang w:val="en-US"/>
        </w:rPr>
        <w:t>Mr Hamilton: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As a result of the Free School Meals policy announcement in Whitehall, Northern Ireland</w:t>
      </w:r>
      <w:r w:rsidR="00C34E16">
        <w:rPr>
          <w:lang w:val="en-US"/>
        </w:rPr>
        <w:t xml:space="preserve"> </w:t>
      </w:r>
      <w:r>
        <w:rPr>
          <w:lang w:val="en-US"/>
        </w:rPr>
        <w:t>received a Barnett share amounting to £36.0 million Resource DEL and £2.3 million Capital DEL over</w:t>
      </w:r>
      <w:r w:rsidR="00C34E16">
        <w:rPr>
          <w:lang w:val="en-US"/>
        </w:rPr>
        <w:t xml:space="preserve"> </w:t>
      </w:r>
      <w:r>
        <w:rPr>
          <w:lang w:val="en-US"/>
        </w:rPr>
        <w:t>the perio</w:t>
      </w:r>
      <w:r w:rsidR="00C34E16">
        <w:rPr>
          <w:lang w:val="en-US"/>
        </w:rPr>
        <w:t xml:space="preserve">d 2014-2016.  </w:t>
      </w:r>
      <w:r>
        <w:rPr>
          <w:lang w:val="en-US"/>
        </w:rPr>
        <w:t>This allocation is unhypothecated, which means it is for the Executive to decide</w:t>
      </w:r>
      <w:r w:rsidR="00C34E16">
        <w:rPr>
          <w:lang w:val="en-US"/>
        </w:rPr>
        <w:t xml:space="preserve"> </w:t>
      </w:r>
      <w:r>
        <w:rPr>
          <w:lang w:val="en-US"/>
        </w:rPr>
        <w:t>how this funding should be allocated in line with local needs and priorities.</w:t>
      </w:r>
    </w:p>
    <w:p w:rsidR="00C34E16" w:rsidRDefault="00C34E16" w:rsidP="00C34E16">
      <w:pPr>
        <w:pStyle w:val="NICCYBodyText"/>
        <w:rPr>
          <w:lang w:val="en-US"/>
        </w:rPr>
      </w:pPr>
    </w:p>
    <w:p w:rsidR="00C34E16" w:rsidRDefault="00B4315F" w:rsidP="00C34E16">
      <w:pPr>
        <w:autoSpaceDE w:val="0"/>
        <w:autoSpaceDN w:val="0"/>
        <w:adjustRightInd w:val="0"/>
      </w:pPr>
      <w:hyperlink w:anchor="_top" w:history="1">
        <w:r w:rsidR="00C34E16" w:rsidRPr="00A92D13">
          <w:rPr>
            <w:rStyle w:val="Hyperlink"/>
          </w:rPr>
          <w:t>Back to Top</w:t>
        </w:r>
      </w:hyperlink>
    </w:p>
    <w:p w:rsidR="00C34E16" w:rsidRDefault="00C34E16" w:rsidP="00C34E16">
      <w:pPr>
        <w:pStyle w:val="NICCYBodyText"/>
        <w:rPr>
          <w:lang w:val="en-US"/>
        </w:rPr>
      </w:pPr>
    </w:p>
    <w:p w:rsidR="00BA6CBA" w:rsidRDefault="00BA6CBA" w:rsidP="00C34E16">
      <w:pPr>
        <w:pStyle w:val="Heading2"/>
        <w:rPr>
          <w:rFonts w:eastAsiaTheme="minorEastAsia"/>
          <w:lang w:val="en-US"/>
        </w:rPr>
      </w:pPr>
      <w:bookmarkStart w:id="13" w:name="_Children:_Elective_Cardiac"/>
      <w:bookmarkEnd w:id="13"/>
      <w:r>
        <w:rPr>
          <w:rFonts w:eastAsiaTheme="minorEastAsia"/>
          <w:lang w:val="en-US"/>
        </w:rPr>
        <w:t>Children: Elective Cardiac Procedures</w:t>
      </w:r>
    </w:p>
    <w:p w:rsidR="00BA6CBA" w:rsidRDefault="00BA6CBA" w:rsidP="00C34E16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Mrs Dobson </w:t>
      </w:r>
      <w:r>
        <w:rPr>
          <w:lang w:val="en-US"/>
        </w:rPr>
        <w:t>asked the Minister of Health, Social Services and Public Safety whether a child who has</w:t>
      </w:r>
      <w:r w:rsidR="00C34E16">
        <w:rPr>
          <w:lang w:val="en-US"/>
        </w:rPr>
        <w:t xml:space="preserve"> </w:t>
      </w:r>
      <w:r>
        <w:rPr>
          <w:lang w:val="en-US"/>
        </w:rPr>
        <w:t>previously received elective cardiac procedures in Belfast, and is then sent for treatment to a hospital</w:t>
      </w:r>
      <w:r w:rsidR="00E12DB7">
        <w:rPr>
          <w:lang w:val="en-US"/>
        </w:rPr>
        <w:t xml:space="preserve"> </w:t>
      </w:r>
      <w:r>
        <w:rPr>
          <w:lang w:val="en-US"/>
        </w:rPr>
        <w:t>in England, must then treat the hospital in England as their primary centre of care.</w:t>
      </w:r>
    </w:p>
    <w:p w:rsidR="00BA6CBA" w:rsidRDefault="00BA6CBA" w:rsidP="00C34E16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31084/11-15)</w:t>
      </w:r>
    </w:p>
    <w:p w:rsidR="00E12DB7" w:rsidRDefault="00E12DB7" w:rsidP="00C34E16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1E2FD9" w:rsidRDefault="00BA6CBA" w:rsidP="00C34E16">
      <w:pPr>
        <w:pStyle w:val="NICCYBodyText"/>
        <w:rPr>
          <w:lang w:val="en-US"/>
        </w:rPr>
      </w:pPr>
      <w:r w:rsidRPr="00E12DB7">
        <w:rPr>
          <w:rFonts w:ascii="ITCFranklinGothicDemi" w:hAnsi="ITCFranklinGothicDemi" w:cs="ITCFranklinGothicDemi"/>
          <w:b/>
          <w:lang w:val="en-US"/>
        </w:rPr>
        <w:t>Mr Poots: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A child who has previously received elective cardiac procedures in Belfast and later requires</w:t>
      </w:r>
      <w:r w:rsidR="00E12DB7">
        <w:rPr>
          <w:lang w:val="en-US"/>
        </w:rPr>
        <w:t xml:space="preserve"> </w:t>
      </w:r>
      <w:r>
        <w:rPr>
          <w:lang w:val="en-US"/>
        </w:rPr>
        <w:t>to be transferred to England for paediatric cardiac surgery will, following their surgical recovery, be</w:t>
      </w:r>
      <w:r w:rsidR="00E12DB7">
        <w:rPr>
          <w:lang w:val="en-US"/>
        </w:rPr>
        <w:t xml:space="preserve"> </w:t>
      </w:r>
      <w:r>
        <w:rPr>
          <w:lang w:val="en-US"/>
        </w:rPr>
        <w:t>transferred to Belfast under the care of the Paediatric Cardiologist in the Royal Belfast Hospital for</w:t>
      </w:r>
      <w:r w:rsidR="00E12DB7">
        <w:rPr>
          <w:lang w:val="en-US"/>
        </w:rPr>
        <w:t xml:space="preserve"> Sick Children (RBHSC).  </w:t>
      </w:r>
      <w:r>
        <w:rPr>
          <w:lang w:val="en-US"/>
        </w:rPr>
        <w:t>The child’s ongoing cardiology care will be provided by the paediatric cardiology</w:t>
      </w:r>
      <w:r w:rsidR="00E12DB7">
        <w:rPr>
          <w:lang w:val="en-US"/>
        </w:rPr>
        <w:t xml:space="preserve"> </w:t>
      </w:r>
      <w:r>
        <w:rPr>
          <w:lang w:val="en-US"/>
        </w:rPr>
        <w:t>service based at RBHSC; this would be the child’s primary centre of care.</w:t>
      </w:r>
      <w:r w:rsidR="001A1C9C">
        <w:rPr>
          <w:lang w:val="en-US"/>
        </w:rPr>
        <w:t xml:space="preserve">  </w:t>
      </w:r>
      <w:r>
        <w:rPr>
          <w:lang w:val="en-US"/>
        </w:rPr>
        <w:t>Some children who may require further cardiac surgery will return to the hospital in England where their</w:t>
      </w:r>
      <w:r w:rsidR="00E12DB7">
        <w:rPr>
          <w:lang w:val="en-US"/>
        </w:rPr>
        <w:t xml:space="preserve"> </w:t>
      </w:r>
      <w:r>
        <w:rPr>
          <w:lang w:val="en-US"/>
        </w:rPr>
        <w:t>previous surgery took place, as is clinically appropriate or necessary.</w:t>
      </w:r>
    </w:p>
    <w:p w:rsidR="00DE5264" w:rsidRDefault="00DE5264" w:rsidP="00DE5264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BA6CBA" w:rsidRDefault="00B4315F" w:rsidP="00DE5264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  <w:hyperlink w:anchor="_top" w:history="1">
        <w:r w:rsidR="00E12DB7" w:rsidRPr="00A92D13">
          <w:rPr>
            <w:rStyle w:val="Hyperlink"/>
          </w:rPr>
          <w:t>Back to Top</w:t>
        </w:r>
      </w:hyperlink>
    </w:p>
    <w:p w:rsidR="00E12DB7" w:rsidRDefault="00E12DB7" w:rsidP="00DE5264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497AD4" w:rsidRDefault="00497AD4" w:rsidP="00E12DB7">
      <w:pPr>
        <w:pStyle w:val="Heading2"/>
        <w:rPr>
          <w:rFonts w:eastAsiaTheme="minorEastAsia"/>
          <w:lang w:val="en-US"/>
        </w:rPr>
      </w:pPr>
      <w:bookmarkStart w:id="14" w:name="_Paediatric_Cardiac_Surgery"/>
      <w:bookmarkEnd w:id="14"/>
      <w:r>
        <w:rPr>
          <w:rFonts w:eastAsiaTheme="minorEastAsia"/>
          <w:lang w:val="en-US"/>
        </w:rPr>
        <w:lastRenderedPageBreak/>
        <w:t>Paediatric Cardiac Surgery</w:t>
      </w:r>
    </w:p>
    <w:p w:rsidR="00497AD4" w:rsidRDefault="00497AD4" w:rsidP="00E12DB7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Mrs Dobson </w:t>
      </w:r>
      <w:r>
        <w:rPr>
          <w:lang w:val="en-US"/>
        </w:rPr>
        <w:t>asked the Minister of Health, Social Services and Public Safety to detail any service level</w:t>
      </w:r>
      <w:r w:rsidR="00E12DB7">
        <w:rPr>
          <w:lang w:val="en-US"/>
        </w:rPr>
        <w:t xml:space="preserve"> </w:t>
      </w:r>
      <w:r>
        <w:rPr>
          <w:lang w:val="en-US"/>
        </w:rPr>
        <w:t>agreements which exist between his Department and health departments in other jurisdictions on</w:t>
      </w:r>
      <w:r w:rsidR="00E12DB7">
        <w:rPr>
          <w:lang w:val="en-US"/>
        </w:rPr>
        <w:t xml:space="preserve"> </w:t>
      </w:r>
      <w:r>
        <w:rPr>
          <w:lang w:val="en-US"/>
        </w:rPr>
        <w:t>children’s paediatric cardiac surgery.</w:t>
      </w:r>
    </w:p>
    <w:p w:rsidR="00497AD4" w:rsidRDefault="00497AD4" w:rsidP="00E12DB7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31087/11-15)</w:t>
      </w:r>
    </w:p>
    <w:p w:rsidR="00E12DB7" w:rsidRDefault="00E12DB7" w:rsidP="00E12DB7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497AD4" w:rsidRDefault="00497AD4" w:rsidP="00E12DB7">
      <w:pPr>
        <w:pStyle w:val="NICCYBodyText"/>
        <w:rPr>
          <w:lang w:val="en-US"/>
        </w:rPr>
      </w:pPr>
      <w:r w:rsidRPr="00E12DB7">
        <w:rPr>
          <w:rFonts w:ascii="ITCFranklinGothicDemi" w:hAnsi="ITCFranklinGothicDemi" w:cs="ITCFranklinGothicDemi"/>
          <w:b/>
          <w:lang w:val="en-US"/>
        </w:rPr>
        <w:t>Mr Poots: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 Health and Social Care Board and Belfast Health and Social Care Trust have been</w:t>
      </w:r>
      <w:r w:rsidR="00E12DB7">
        <w:rPr>
          <w:lang w:val="en-US"/>
        </w:rPr>
        <w:t xml:space="preserve"> </w:t>
      </w:r>
      <w:r>
        <w:rPr>
          <w:lang w:val="en-US"/>
        </w:rPr>
        <w:t>working with health service management and clinicians in the Republic of Ireland and England to ensure that appropriate arrangements are in place to provide support to children’s cardiac services in</w:t>
      </w:r>
      <w:r w:rsidR="00E12DB7">
        <w:rPr>
          <w:lang w:val="en-US"/>
        </w:rPr>
        <w:t xml:space="preserve"> Northern Ireland.  </w:t>
      </w:r>
      <w:r>
        <w:rPr>
          <w:lang w:val="en-US"/>
        </w:rPr>
        <w:t>Significant progress has been made with regard to the development of Service Level</w:t>
      </w:r>
      <w:r w:rsidR="00E12DB7">
        <w:rPr>
          <w:lang w:val="en-US"/>
        </w:rPr>
        <w:t xml:space="preserve"> </w:t>
      </w:r>
      <w:r>
        <w:rPr>
          <w:lang w:val="en-US"/>
        </w:rPr>
        <w:t>Agreement (SLA) documentation to support the interim arrangements during the period when the expert</w:t>
      </w:r>
      <w:r w:rsidR="00E12DB7">
        <w:rPr>
          <w:lang w:val="en-US"/>
        </w:rPr>
        <w:t xml:space="preserve"> </w:t>
      </w:r>
      <w:r>
        <w:rPr>
          <w:lang w:val="en-US"/>
        </w:rPr>
        <w:t>assessment announced by me on 9</w:t>
      </w:r>
      <w:r w:rsidR="00E12DB7">
        <w:rPr>
          <w:lang w:val="en-US"/>
        </w:rPr>
        <w:t xml:space="preserve"> December 2013 is underway.  </w:t>
      </w:r>
      <w:r>
        <w:rPr>
          <w:lang w:val="en-US"/>
        </w:rPr>
        <w:t>The current position in regard to the</w:t>
      </w:r>
    </w:p>
    <w:p w:rsidR="00497AD4" w:rsidRDefault="00497AD4" w:rsidP="00E12DB7">
      <w:pPr>
        <w:pStyle w:val="NICCYBodyText"/>
        <w:rPr>
          <w:lang w:val="en-US"/>
        </w:rPr>
      </w:pPr>
      <w:r>
        <w:rPr>
          <w:lang w:val="en-US"/>
        </w:rPr>
        <w:t>three SLAs is as follows:</w:t>
      </w:r>
    </w:p>
    <w:p w:rsidR="00E12DB7" w:rsidRDefault="00E12DB7" w:rsidP="00E12DB7">
      <w:pPr>
        <w:pStyle w:val="NICCYBodyText"/>
        <w:rPr>
          <w:lang w:val="en-US"/>
        </w:rPr>
      </w:pPr>
    </w:p>
    <w:p w:rsidR="00497AD4" w:rsidRPr="00E12DB7" w:rsidRDefault="00497AD4" w:rsidP="00E12DB7">
      <w:pPr>
        <w:pStyle w:val="NICCYBodyText"/>
        <w:numPr>
          <w:ilvl w:val="0"/>
          <w:numId w:val="22"/>
        </w:numPr>
        <w:rPr>
          <w:lang w:val="en-US"/>
        </w:rPr>
      </w:pPr>
      <w:r>
        <w:rPr>
          <w:lang w:val="en-US"/>
        </w:rPr>
        <w:t>An SLA between Belfast Health and Social Care Trust and Our Lady’s Children’s Hospital, Crumlin,</w:t>
      </w:r>
      <w:r w:rsidR="00E12DB7">
        <w:rPr>
          <w:lang w:val="en-US"/>
        </w:rPr>
        <w:t xml:space="preserve"> </w:t>
      </w:r>
      <w:r w:rsidRPr="00E12DB7">
        <w:rPr>
          <w:lang w:val="en-US"/>
        </w:rPr>
        <w:t>for supporting elective services in Belfast, has been signed off by all parties.</w:t>
      </w:r>
    </w:p>
    <w:p w:rsidR="00497AD4" w:rsidRPr="00E12DB7" w:rsidRDefault="00497AD4" w:rsidP="00E12DB7">
      <w:pPr>
        <w:pStyle w:val="NICCYBodyText"/>
        <w:numPr>
          <w:ilvl w:val="0"/>
          <w:numId w:val="22"/>
        </w:numPr>
        <w:rPr>
          <w:lang w:val="en-US"/>
        </w:rPr>
      </w:pPr>
      <w:r>
        <w:rPr>
          <w:lang w:val="en-US"/>
        </w:rPr>
        <w:t>An SLA between the Health and Social Care Board and Our Lady’s Children’s Hospital, Crumlin</w:t>
      </w:r>
      <w:r w:rsidR="00E12DB7">
        <w:rPr>
          <w:lang w:val="en-US"/>
        </w:rPr>
        <w:t xml:space="preserve"> </w:t>
      </w:r>
      <w:r w:rsidRPr="00E12DB7">
        <w:rPr>
          <w:lang w:val="en-US"/>
        </w:rPr>
        <w:t>for emergency cases to be undertaken in Dublin, has been agreed by all parties and forwarded to</w:t>
      </w:r>
      <w:r w:rsidR="00E12DB7">
        <w:rPr>
          <w:lang w:val="en-US"/>
        </w:rPr>
        <w:t xml:space="preserve"> </w:t>
      </w:r>
      <w:r w:rsidRPr="00E12DB7">
        <w:rPr>
          <w:lang w:val="en-US"/>
        </w:rPr>
        <w:t>colleagues in Dublin for signature.</w:t>
      </w:r>
    </w:p>
    <w:p w:rsidR="00497AD4" w:rsidRDefault="00497AD4" w:rsidP="00E12DB7">
      <w:pPr>
        <w:pStyle w:val="NICCYBodyText"/>
        <w:numPr>
          <w:ilvl w:val="0"/>
          <w:numId w:val="22"/>
        </w:numPr>
        <w:rPr>
          <w:lang w:val="en-US"/>
        </w:rPr>
      </w:pPr>
      <w:r>
        <w:rPr>
          <w:lang w:val="en-US"/>
        </w:rPr>
        <w:t>An SLA between the Health and Social Care Board and Evelina Children’s Hospital London, for</w:t>
      </w:r>
      <w:r w:rsidR="00E12DB7">
        <w:rPr>
          <w:lang w:val="en-US"/>
        </w:rPr>
        <w:t xml:space="preserve"> </w:t>
      </w:r>
      <w:r w:rsidRPr="00E12DB7">
        <w:rPr>
          <w:lang w:val="en-US"/>
        </w:rPr>
        <w:t>elective and relevant urgent cases, has been signed off by all parties.</w:t>
      </w:r>
    </w:p>
    <w:p w:rsidR="00E12DB7" w:rsidRPr="00E12DB7" w:rsidRDefault="00E12DB7" w:rsidP="00E12DB7">
      <w:pPr>
        <w:pStyle w:val="NICCYBodyText"/>
        <w:ind w:left="720"/>
        <w:rPr>
          <w:lang w:val="en-US"/>
        </w:rPr>
      </w:pPr>
    </w:p>
    <w:p w:rsidR="00BA6CBA" w:rsidRDefault="00497AD4" w:rsidP="00E12DB7">
      <w:pPr>
        <w:pStyle w:val="NICCYBodyText"/>
        <w:rPr>
          <w:lang w:val="en-US"/>
        </w:rPr>
      </w:pPr>
      <w:r>
        <w:rPr>
          <w:lang w:val="en-US"/>
        </w:rPr>
        <w:t>A separate SLA is in place with Birmingham Children’s Hospital for a range of paediatric services for</w:t>
      </w:r>
      <w:r w:rsidR="00E12DB7">
        <w:rPr>
          <w:lang w:val="en-US"/>
        </w:rPr>
        <w:t xml:space="preserve"> </w:t>
      </w:r>
      <w:r>
        <w:rPr>
          <w:lang w:val="en-US"/>
        </w:rPr>
        <w:t>children from Northern Ireland (includi</w:t>
      </w:r>
      <w:r w:rsidR="00E12DB7">
        <w:rPr>
          <w:lang w:val="en-US"/>
        </w:rPr>
        <w:t xml:space="preserve">ng paediatric cardiac surgery).  </w:t>
      </w:r>
      <w:r>
        <w:rPr>
          <w:lang w:val="en-US"/>
        </w:rPr>
        <w:t>This SLA covers the period to the</w:t>
      </w:r>
      <w:r w:rsidR="00E12DB7">
        <w:rPr>
          <w:lang w:val="en-US"/>
        </w:rPr>
        <w:t xml:space="preserve"> end of March 2014.  </w:t>
      </w:r>
      <w:r>
        <w:rPr>
          <w:lang w:val="en-US"/>
        </w:rPr>
        <w:t>The Health and Social Care Board has had separate discussions with Birmingham</w:t>
      </w:r>
      <w:r w:rsidR="00E12DB7">
        <w:rPr>
          <w:lang w:val="en-US"/>
        </w:rPr>
        <w:t xml:space="preserve"> </w:t>
      </w:r>
      <w:r>
        <w:rPr>
          <w:lang w:val="en-US"/>
        </w:rPr>
        <w:t>Children’s Hospital regarding a specific SLA for paediatric cardiac surgery and interventional cardiology</w:t>
      </w:r>
      <w:r w:rsidR="00E12DB7">
        <w:rPr>
          <w:lang w:val="en-US"/>
        </w:rPr>
        <w:t xml:space="preserve"> </w:t>
      </w:r>
      <w:r>
        <w:rPr>
          <w:lang w:val="en-US"/>
        </w:rPr>
        <w:t xml:space="preserve">services provided for </w:t>
      </w:r>
      <w:r w:rsidR="00E12DB7">
        <w:rPr>
          <w:lang w:val="en-US"/>
        </w:rPr>
        <w:t xml:space="preserve">children from Northern Ireland.  </w:t>
      </w:r>
      <w:r>
        <w:rPr>
          <w:lang w:val="en-US"/>
        </w:rPr>
        <w:t>The Board expects this SLA to be finalised over</w:t>
      </w:r>
      <w:r w:rsidR="00E12DB7">
        <w:rPr>
          <w:lang w:val="en-US"/>
        </w:rPr>
        <w:t xml:space="preserve"> </w:t>
      </w:r>
      <w:r>
        <w:rPr>
          <w:lang w:val="en-US"/>
        </w:rPr>
        <w:t>the coming weeks.</w:t>
      </w:r>
    </w:p>
    <w:p w:rsidR="00497AD4" w:rsidRDefault="00497AD4" w:rsidP="00497AD4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9602F0" w:rsidRPr="009602F0" w:rsidRDefault="00B4315F" w:rsidP="009602F0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  <w:hyperlink w:anchor="_top" w:history="1">
        <w:r w:rsidR="00E12DB7" w:rsidRPr="00A92D13">
          <w:rPr>
            <w:rStyle w:val="Hyperlink"/>
          </w:rPr>
          <w:t>Back to Top</w:t>
        </w:r>
      </w:hyperlink>
      <w:bookmarkStart w:id="15" w:name="_Children_Receiving_Health"/>
      <w:bookmarkEnd w:id="15"/>
      <w:r w:rsidR="009602F0">
        <w:br/>
      </w:r>
      <w:r w:rsidR="009602F0">
        <w:rPr>
          <w:rFonts w:ascii="ITCFranklinGothicBook" w:eastAsiaTheme="minorEastAsia" w:hAnsi="ITCFranklinGothicBook" w:cs="ITCFranklinGothicBook"/>
          <w:b/>
          <w:bCs/>
          <w:color w:val="auto"/>
          <w:sz w:val="20"/>
          <w:szCs w:val="20"/>
          <w:lang w:val="en-US"/>
        </w:rPr>
        <w:br/>
      </w:r>
      <w:r w:rsidR="009602F0">
        <w:rPr>
          <w:rFonts w:ascii="ITCFranklinGothicBook" w:eastAsiaTheme="minorEastAsia" w:hAnsi="ITCFranklinGothicBook" w:cs="ITCFranklinGothicBook"/>
          <w:b/>
          <w:bCs/>
          <w:color w:val="auto"/>
          <w:sz w:val="20"/>
          <w:szCs w:val="20"/>
          <w:lang w:val="en-US"/>
        </w:rPr>
        <w:br/>
      </w:r>
    </w:p>
    <w:p w:rsidR="00E86E0A" w:rsidRPr="009602F0" w:rsidRDefault="00E86E0A" w:rsidP="00E12DB7">
      <w:pPr>
        <w:pStyle w:val="Heading2"/>
        <w:rPr>
          <w:rFonts w:ascii="ITCFranklinGothicBook" w:eastAsiaTheme="minorEastAsia" w:hAnsi="ITCFranklinGothicBook" w:cs="ITCFranklinGothicBook"/>
          <w:b w:val="0"/>
          <w:bCs w:val="0"/>
          <w:color w:val="auto"/>
          <w:sz w:val="20"/>
          <w:szCs w:val="20"/>
          <w:lang w:val="en-US"/>
        </w:rPr>
      </w:pPr>
      <w:r>
        <w:rPr>
          <w:rFonts w:eastAsiaTheme="minorEastAsia"/>
          <w:lang w:val="en-US"/>
        </w:rPr>
        <w:lastRenderedPageBreak/>
        <w:t>Children Receiving Health Service Funded Specialist Care</w:t>
      </w:r>
    </w:p>
    <w:p w:rsidR="00E12DB7" w:rsidRDefault="00E86E0A" w:rsidP="00E12DB7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Brady </w:t>
      </w:r>
      <w:r>
        <w:rPr>
          <w:lang w:val="en-US"/>
        </w:rPr>
        <w:t>asked the Minister of Health, Social Services and Public Safety to detail the number of local</w:t>
      </w:r>
      <w:r w:rsidR="00E12DB7">
        <w:rPr>
          <w:lang w:val="en-US"/>
        </w:rPr>
        <w:t xml:space="preserve"> </w:t>
      </w:r>
      <w:r>
        <w:rPr>
          <w:lang w:val="en-US"/>
        </w:rPr>
        <w:t xml:space="preserve">children receiving Health Service funded specialist care for </w:t>
      </w:r>
    </w:p>
    <w:p w:rsidR="00E12DB7" w:rsidRDefault="00E86E0A" w:rsidP="00E12DB7">
      <w:pPr>
        <w:pStyle w:val="NICCYBodyText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mental health issues; </w:t>
      </w:r>
    </w:p>
    <w:p w:rsidR="00E12DB7" w:rsidRDefault="00E86E0A" w:rsidP="00E12DB7">
      <w:pPr>
        <w:pStyle w:val="NICCYBodyText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a learning disability; and </w:t>
      </w:r>
    </w:p>
    <w:p w:rsidR="00E12DB7" w:rsidRDefault="00E86E0A" w:rsidP="00E12DB7">
      <w:pPr>
        <w:pStyle w:val="NICCYBodyText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brain injury, in another jurisdiction in 2012/13 in a </w:t>
      </w:r>
    </w:p>
    <w:p w:rsidR="00E12DB7" w:rsidRDefault="00E12DB7" w:rsidP="00E12DB7">
      <w:pPr>
        <w:pStyle w:val="NICCYBodyText"/>
        <w:ind w:left="1080"/>
        <w:rPr>
          <w:lang w:val="en-US"/>
        </w:rPr>
      </w:pPr>
      <w:r w:rsidRPr="00E12DB7">
        <w:rPr>
          <w:lang w:val="en-US"/>
        </w:rPr>
        <w:tab/>
      </w:r>
      <w:r w:rsidR="00E86E0A" w:rsidRPr="00E12DB7">
        <w:rPr>
          <w:lang w:val="en-US"/>
        </w:rPr>
        <w:t xml:space="preserve">(a) hospital; </w:t>
      </w:r>
    </w:p>
    <w:p w:rsidR="00E86E0A" w:rsidRPr="00E12DB7" w:rsidRDefault="00E12DB7" w:rsidP="00E12DB7">
      <w:pPr>
        <w:pStyle w:val="NICCYBodyText"/>
        <w:ind w:left="1080"/>
        <w:rPr>
          <w:lang w:val="en-US"/>
        </w:rPr>
      </w:pPr>
      <w:r>
        <w:rPr>
          <w:lang w:val="en-US"/>
        </w:rPr>
        <w:tab/>
      </w:r>
      <w:r w:rsidR="00E86E0A" w:rsidRPr="00E12DB7">
        <w:rPr>
          <w:lang w:val="en-US"/>
        </w:rPr>
        <w:t>(b) community; and</w:t>
      </w:r>
    </w:p>
    <w:p w:rsidR="00E86E0A" w:rsidRDefault="00E12DB7" w:rsidP="00E12DB7">
      <w:pPr>
        <w:pStyle w:val="NICCYBodyTex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86E0A">
        <w:rPr>
          <w:lang w:val="en-US"/>
        </w:rPr>
        <w:t>(c) residential setting.</w:t>
      </w:r>
    </w:p>
    <w:p w:rsidR="00E86E0A" w:rsidRDefault="00E86E0A" w:rsidP="00E12DB7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31136/11-15)</w:t>
      </w:r>
    </w:p>
    <w:p w:rsidR="00E12DB7" w:rsidRDefault="00E12DB7" w:rsidP="00E12DB7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E86E0A" w:rsidRDefault="00E86E0A" w:rsidP="00E12DB7">
      <w:pPr>
        <w:pStyle w:val="NICCYBodyText"/>
        <w:rPr>
          <w:lang w:val="en-US"/>
        </w:rPr>
      </w:pPr>
      <w:r w:rsidRPr="00E12DB7">
        <w:rPr>
          <w:rFonts w:ascii="ITCFranklinGothicDemi" w:hAnsi="ITCFranklinGothicDemi" w:cs="ITCFranklinGothicDemi"/>
          <w:b/>
          <w:lang w:val="en-US"/>
        </w:rPr>
        <w:t>Mr Poots: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Table 1 below contains the number of local children receiving Health Service funded</w:t>
      </w:r>
      <w:r w:rsidR="00E12DB7">
        <w:rPr>
          <w:lang w:val="en-US"/>
        </w:rPr>
        <w:t xml:space="preserve"> </w:t>
      </w:r>
      <w:r>
        <w:rPr>
          <w:lang w:val="en-US"/>
        </w:rPr>
        <w:t>specialist care for mental health issues, learning disability and brain injury in another jurisdiction during</w:t>
      </w:r>
      <w:r w:rsidR="00E12DB7">
        <w:rPr>
          <w:lang w:val="en-US"/>
        </w:rPr>
        <w:t xml:space="preserve"> </w:t>
      </w:r>
      <w:r>
        <w:rPr>
          <w:lang w:val="en-US"/>
        </w:rPr>
        <w:t>2012/13 in either a hospital, community or residential setting.</w:t>
      </w:r>
    </w:p>
    <w:p w:rsidR="00E12DB7" w:rsidRDefault="00E12DB7" w:rsidP="00E12DB7">
      <w:pPr>
        <w:pStyle w:val="NICCYBodyText"/>
        <w:rPr>
          <w:lang w:val="en-US"/>
        </w:rPr>
      </w:pPr>
    </w:p>
    <w:p w:rsidR="00497AD4" w:rsidRPr="00E12DB7" w:rsidRDefault="00E12DB7" w:rsidP="00E12DB7">
      <w:pPr>
        <w:pStyle w:val="NICCYBodyText"/>
        <w:rPr>
          <w:b/>
          <w:lang w:val="en-US"/>
        </w:rPr>
      </w:pPr>
      <w:r w:rsidRPr="00E12DB7">
        <w:rPr>
          <w:b/>
          <w:lang w:val="en-US"/>
        </w:rPr>
        <w:t>Table 1</w:t>
      </w:r>
    </w:p>
    <w:p w:rsidR="00E86E0A" w:rsidRDefault="00E86E0A" w:rsidP="00E86E0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E86E0A" w:rsidRDefault="003F38D5" w:rsidP="00E86E0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  <w:r>
        <w:rPr>
          <w:rFonts w:ascii="ITCFranklinGothicBook" w:eastAsiaTheme="minorEastAsia" w:hAnsi="ITCFranklinGothicBook" w:cs="ITCFranklinGothicBook"/>
          <w:noProof/>
          <w:color w:val="auto"/>
          <w:sz w:val="20"/>
          <w:szCs w:val="20"/>
          <w:lang w:val="en-US"/>
        </w:rPr>
        <w:drawing>
          <wp:inline distT="0" distB="0" distL="0" distR="0">
            <wp:extent cx="6159500" cy="1247775"/>
            <wp:effectExtent l="19050" t="0" r="0" b="0"/>
            <wp:docPr id="1" name="Picture 1" descr="C:\Users\Andrew.McGall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McGall\Desktop\Cap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0A" w:rsidRDefault="00E86E0A" w:rsidP="00E86E0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E86E0A" w:rsidRDefault="00E86E0A" w:rsidP="00E86E0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E86E0A" w:rsidRDefault="00E86E0A" w:rsidP="00E12DB7">
      <w:pPr>
        <w:pStyle w:val="NICCYBodyText"/>
        <w:rPr>
          <w:lang w:val="en-US"/>
        </w:rPr>
      </w:pPr>
      <w:r w:rsidRPr="00E12DB7">
        <w:rPr>
          <w:rFonts w:ascii="ITCFranklinGothicDemi" w:hAnsi="ITCFranklinGothicDemi" w:cs="ITCFranklinGothicDemi"/>
          <w:b/>
          <w:lang w:val="en-US"/>
        </w:rPr>
        <w:t>Source</w:t>
      </w:r>
      <w:r w:rsidRPr="00E12DB7">
        <w:rPr>
          <w:b/>
          <w:lang w:val="en-US"/>
        </w:rPr>
        <w:t>:</w:t>
      </w:r>
      <w:r>
        <w:rPr>
          <w:lang w:val="en-US"/>
        </w:rPr>
        <w:t xml:space="preserve"> These figures have been provided by the Health and Social Care Board and have not been verified by DHSSPS</w:t>
      </w:r>
      <w:r w:rsidR="00E12DB7">
        <w:rPr>
          <w:lang w:val="en-US"/>
        </w:rPr>
        <w:t>.</w:t>
      </w:r>
    </w:p>
    <w:p w:rsidR="00E12DB7" w:rsidRDefault="00E12DB7" w:rsidP="00E12DB7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E86E0A" w:rsidRDefault="00E86E0A" w:rsidP="00E12DB7">
      <w:pPr>
        <w:pStyle w:val="NICCYBodyText"/>
        <w:rPr>
          <w:lang w:val="en-US"/>
        </w:rPr>
      </w:pPr>
      <w:r w:rsidRPr="00E12DB7">
        <w:rPr>
          <w:rFonts w:ascii="ITCFranklinGothicDemi" w:hAnsi="ITCFranklinGothicDemi" w:cs="ITCFranklinGothicDemi"/>
          <w:b/>
          <w:lang w:val="en-US"/>
        </w:rPr>
        <w:t>Note</w:t>
      </w:r>
      <w:r w:rsidRPr="00E12DB7">
        <w:rPr>
          <w:b/>
          <w:lang w:val="en-US"/>
        </w:rPr>
        <w:t>:</w:t>
      </w:r>
      <w:r>
        <w:rPr>
          <w:lang w:val="en-US"/>
        </w:rPr>
        <w:t xml:space="preserve"> Residential setting includes both Specialist Residential Placements and Specialist Residential School</w:t>
      </w:r>
      <w:r w:rsidR="00E12DB7">
        <w:rPr>
          <w:lang w:val="en-US"/>
        </w:rPr>
        <w:t xml:space="preserve"> </w:t>
      </w:r>
      <w:r>
        <w:rPr>
          <w:lang w:val="en-US"/>
        </w:rPr>
        <w:t>Placements</w:t>
      </w:r>
    </w:p>
    <w:p w:rsidR="00E12DB7" w:rsidRDefault="00E12DB7" w:rsidP="00E12DB7">
      <w:pPr>
        <w:pStyle w:val="NICCYBodyText"/>
        <w:rPr>
          <w:lang w:val="en-US"/>
        </w:rPr>
      </w:pPr>
    </w:p>
    <w:p w:rsidR="00E86E0A" w:rsidRDefault="00E86E0A" w:rsidP="00E12DB7">
      <w:pPr>
        <w:pStyle w:val="NICCYBodyText"/>
        <w:rPr>
          <w:lang w:val="en-US"/>
        </w:rPr>
      </w:pPr>
      <w:r w:rsidRPr="00E12DB7">
        <w:rPr>
          <w:rFonts w:ascii="ITCFranklinGothicDemi" w:hAnsi="ITCFranklinGothicDemi" w:cs="ITCFranklinGothicDemi"/>
          <w:b/>
          <w:lang w:val="en-US"/>
        </w:rPr>
        <w:t>Note</w:t>
      </w:r>
      <w:r w:rsidRPr="00E12DB7">
        <w:rPr>
          <w:b/>
          <w:lang w:val="en-US"/>
        </w:rPr>
        <w:t>:</w:t>
      </w:r>
      <w:r>
        <w:rPr>
          <w:lang w:val="en-US"/>
        </w:rPr>
        <w:t xml:space="preserve"> Figures include some patients that had been admitted prior to 2012/13 and who had remained within their</w:t>
      </w:r>
      <w:r w:rsidR="00E12DB7">
        <w:rPr>
          <w:lang w:val="en-US"/>
        </w:rPr>
        <w:t xml:space="preserve"> placement during 2012/13.  </w:t>
      </w:r>
      <w:r>
        <w:rPr>
          <w:lang w:val="en-US"/>
        </w:rPr>
        <w:t>It also includes admissions during the financial year.</w:t>
      </w:r>
    </w:p>
    <w:p w:rsidR="00E86E0A" w:rsidRDefault="00E86E0A" w:rsidP="00E12DB7">
      <w:pPr>
        <w:pStyle w:val="NICCYBodyText"/>
        <w:rPr>
          <w:lang w:val="en-US"/>
        </w:rPr>
      </w:pPr>
      <w:r w:rsidRPr="00E12DB7">
        <w:rPr>
          <w:rFonts w:ascii="ITCFranklinGothicDemi" w:hAnsi="ITCFranklinGothicDemi" w:cs="ITCFranklinGothicDemi"/>
          <w:b/>
          <w:lang w:val="en-US"/>
        </w:rPr>
        <w:t>Note</w:t>
      </w:r>
      <w:r w:rsidRPr="00E12DB7">
        <w:rPr>
          <w:b/>
          <w:lang w:val="en-US"/>
        </w:rPr>
        <w:t>:</w:t>
      </w:r>
      <w:r>
        <w:rPr>
          <w:lang w:val="en-US"/>
        </w:rPr>
        <w:t xml:space="preserve"> Figures also include placements for patients who were admitted during 2012/13 and had funding</w:t>
      </w:r>
      <w:r w:rsidR="00E12DB7">
        <w:rPr>
          <w:lang w:val="en-US"/>
        </w:rPr>
        <w:t xml:space="preserve"> </w:t>
      </w:r>
      <w:r>
        <w:rPr>
          <w:lang w:val="en-US"/>
        </w:rPr>
        <w:t>retrospectively approved during 2013/14.</w:t>
      </w:r>
      <w:r w:rsidR="00E12DB7">
        <w:rPr>
          <w:lang w:val="en-US"/>
        </w:rPr>
        <w:br/>
      </w:r>
    </w:p>
    <w:p w:rsidR="00497AD4" w:rsidRDefault="00E86E0A" w:rsidP="00E12DB7">
      <w:pPr>
        <w:pStyle w:val="NICCYBodyText"/>
        <w:rPr>
          <w:lang w:val="en-US"/>
        </w:rPr>
      </w:pPr>
      <w:r w:rsidRPr="00E12DB7">
        <w:rPr>
          <w:rFonts w:ascii="ITCFranklinGothicDemi" w:hAnsi="ITCFranklinGothicDemi" w:cs="ITCFranklinGothicDemi"/>
          <w:b/>
          <w:lang w:val="en-US"/>
        </w:rPr>
        <w:lastRenderedPageBreak/>
        <w:t>Note</w:t>
      </w:r>
      <w:r w:rsidRPr="00E12DB7">
        <w:rPr>
          <w:b/>
          <w:lang w:val="en-US"/>
        </w:rPr>
        <w:t>:</w:t>
      </w:r>
      <w:r>
        <w:rPr>
          <w:lang w:val="en-US"/>
        </w:rPr>
        <w:t xml:space="preserve"> Due to small numbers and issues of personal disclosure the Mental Health and Learning Disabilities</w:t>
      </w:r>
      <w:r w:rsidR="00E12DB7">
        <w:rPr>
          <w:lang w:val="en-US"/>
        </w:rPr>
        <w:t xml:space="preserve"> </w:t>
      </w:r>
      <w:r>
        <w:rPr>
          <w:lang w:val="en-US"/>
        </w:rPr>
        <w:t>categories have been merged.</w:t>
      </w:r>
    </w:p>
    <w:p w:rsidR="00E12DB7" w:rsidRDefault="00E12DB7" w:rsidP="00E12DB7">
      <w:pPr>
        <w:pStyle w:val="NICCYBodyText"/>
        <w:rPr>
          <w:lang w:val="en-US"/>
        </w:rPr>
      </w:pPr>
    </w:p>
    <w:p w:rsidR="00E12DB7" w:rsidRDefault="00B4315F" w:rsidP="00E12DB7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  <w:hyperlink w:anchor="_top" w:history="1">
        <w:r w:rsidR="00E12DB7" w:rsidRPr="00A92D13">
          <w:rPr>
            <w:rStyle w:val="Hyperlink"/>
          </w:rPr>
          <w:t>Back to Top</w:t>
        </w:r>
      </w:hyperlink>
    </w:p>
    <w:p w:rsidR="00E12DB7" w:rsidRDefault="00E12DB7" w:rsidP="00E12DB7">
      <w:pPr>
        <w:pStyle w:val="NICCYBodyText"/>
        <w:rPr>
          <w:lang w:val="en-US"/>
        </w:rPr>
      </w:pPr>
    </w:p>
    <w:p w:rsidR="002759C4" w:rsidRDefault="002759C4" w:rsidP="00E12DB7">
      <w:pPr>
        <w:pStyle w:val="Heading2"/>
        <w:rPr>
          <w:rFonts w:eastAsiaTheme="minorEastAsia"/>
          <w:lang w:val="en-US"/>
        </w:rPr>
      </w:pPr>
      <w:bookmarkStart w:id="16" w:name="_Young_People:_Consumption"/>
      <w:bookmarkEnd w:id="16"/>
      <w:r>
        <w:rPr>
          <w:rFonts w:eastAsiaTheme="minorEastAsia"/>
          <w:lang w:val="en-US"/>
        </w:rPr>
        <w:t>Young People: Consumption of Drugs</w:t>
      </w:r>
    </w:p>
    <w:p w:rsidR="002759C4" w:rsidRDefault="002759C4" w:rsidP="00E12DB7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Craig </w:t>
      </w:r>
      <w:r>
        <w:rPr>
          <w:lang w:val="en-US"/>
        </w:rPr>
        <w:t>asked the Minister of Health, Social Services and Public Safety how many young people of</w:t>
      </w:r>
      <w:r w:rsidR="00E12DB7">
        <w:rPr>
          <w:lang w:val="en-US"/>
        </w:rPr>
        <w:t xml:space="preserve"> </w:t>
      </w:r>
      <w:r>
        <w:rPr>
          <w:lang w:val="en-US"/>
        </w:rPr>
        <w:t>post-primary school age have been admitted to hospitals with illnesses caused by the consumption of</w:t>
      </w:r>
      <w:r w:rsidR="00FC4D5E">
        <w:rPr>
          <w:lang w:val="en-US"/>
        </w:rPr>
        <w:t xml:space="preserve"> </w:t>
      </w:r>
      <w:r>
        <w:rPr>
          <w:lang w:val="en-US"/>
        </w:rPr>
        <w:t>drugs, in each of the last three years.</w:t>
      </w:r>
    </w:p>
    <w:p w:rsidR="002759C4" w:rsidRDefault="002759C4" w:rsidP="00E12DB7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31202/11-15)</w:t>
      </w:r>
    </w:p>
    <w:p w:rsidR="00FC4D5E" w:rsidRDefault="00FC4D5E" w:rsidP="00E12DB7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3F38D5" w:rsidRDefault="002759C4" w:rsidP="00E12DB7">
      <w:pPr>
        <w:pStyle w:val="NICCYBodyText"/>
        <w:rPr>
          <w:lang w:val="en-US"/>
        </w:rPr>
      </w:pPr>
      <w:r w:rsidRPr="00FC4D5E">
        <w:rPr>
          <w:rFonts w:ascii="ITCFranklinGothicDemi" w:hAnsi="ITCFranklinGothicDemi" w:cs="ITCFranklinGothicDemi"/>
          <w:b/>
          <w:lang w:val="en-US"/>
        </w:rPr>
        <w:t>Mr Poots: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Information is provided below on the number of young people of post-primary school age who</w:t>
      </w:r>
      <w:r w:rsidR="00FC4D5E">
        <w:rPr>
          <w:lang w:val="en-US"/>
        </w:rPr>
        <w:t xml:space="preserve"> </w:t>
      </w:r>
      <w:r>
        <w:rPr>
          <w:lang w:val="en-US"/>
        </w:rPr>
        <w:t>have been admitted to HSC Hospitals in Northern Ireland with a primary diagnosis of a drug-related</w:t>
      </w:r>
      <w:r w:rsidR="00FC4D5E">
        <w:rPr>
          <w:lang w:val="en-US"/>
        </w:rPr>
        <w:t xml:space="preserve"> condition.  </w:t>
      </w:r>
      <w:r>
        <w:rPr>
          <w:lang w:val="en-US"/>
        </w:rPr>
        <w:t>Young people of post-primary school age have been defined as those aged 11 to 18 years,</w:t>
      </w:r>
      <w:r w:rsidR="00FC4D5E">
        <w:rPr>
          <w:lang w:val="en-US"/>
        </w:rPr>
        <w:t xml:space="preserve"> </w:t>
      </w:r>
      <w:r>
        <w:rPr>
          <w:lang w:val="en-US"/>
        </w:rPr>
        <w:t>inclusive.</w:t>
      </w:r>
    </w:p>
    <w:p w:rsidR="00FC4D5E" w:rsidRDefault="00FC4D5E" w:rsidP="00E12DB7">
      <w:pPr>
        <w:pStyle w:val="NICCYBodyText"/>
        <w:rPr>
          <w:lang w:val="en-US"/>
        </w:rPr>
      </w:pPr>
    </w:p>
    <w:p w:rsidR="002759C4" w:rsidRDefault="002759C4" w:rsidP="002759C4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2759C4" w:rsidRDefault="00815822" w:rsidP="002759C4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  <w:r>
        <w:rPr>
          <w:rFonts w:ascii="ITCFranklinGothicBook" w:eastAsiaTheme="minorEastAsia" w:hAnsi="ITCFranklinGothicBook" w:cs="ITCFranklinGothicBook"/>
          <w:noProof/>
          <w:color w:val="auto"/>
          <w:sz w:val="20"/>
          <w:szCs w:val="20"/>
          <w:lang w:val="en-US"/>
        </w:rPr>
        <w:drawing>
          <wp:inline distT="0" distB="0" distL="0" distR="0">
            <wp:extent cx="6486525" cy="1379764"/>
            <wp:effectExtent l="19050" t="0" r="0" b="0"/>
            <wp:docPr id="2" name="Picture 2" descr="C:\Users\Andrew.McGall\Desktop\Cap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.McGall\Desktop\Capture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72" cy="138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D5" w:rsidRDefault="003F38D5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FC4D5E" w:rsidRDefault="00B4315F" w:rsidP="00FC4D5E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  <w:hyperlink w:anchor="_top" w:history="1">
        <w:r w:rsidR="00FC4D5E" w:rsidRPr="00A92D13">
          <w:rPr>
            <w:rStyle w:val="Hyperlink"/>
          </w:rPr>
          <w:t>Back to Top</w:t>
        </w:r>
      </w:hyperlink>
    </w:p>
    <w:p w:rsidR="001A1C9C" w:rsidRDefault="001A1C9C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9602F0" w:rsidRDefault="009602F0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9602F0" w:rsidRDefault="009602F0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9602F0" w:rsidRDefault="009602F0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9602F0" w:rsidRDefault="009602F0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9602F0" w:rsidRDefault="009602F0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9602F0" w:rsidRDefault="009602F0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9602F0" w:rsidRDefault="009602F0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9602F0" w:rsidRDefault="009602F0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9602F0" w:rsidRDefault="009602F0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9602F0" w:rsidRDefault="009602F0" w:rsidP="00CF582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6E0F59" w:rsidRDefault="006E0F59" w:rsidP="00FC4D5E">
      <w:pPr>
        <w:pStyle w:val="Heading2"/>
        <w:rPr>
          <w:rFonts w:eastAsiaTheme="minorEastAsia"/>
          <w:lang w:val="en-US"/>
        </w:rPr>
      </w:pPr>
      <w:bookmarkStart w:id="17" w:name="_Vulnerable_People_in"/>
      <w:bookmarkEnd w:id="17"/>
      <w:r>
        <w:rPr>
          <w:rFonts w:eastAsiaTheme="minorEastAsia"/>
          <w:lang w:val="en-US"/>
        </w:rPr>
        <w:lastRenderedPageBreak/>
        <w:t>Vulnerable People in Care and Residential Homes</w:t>
      </w:r>
    </w:p>
    <w:p w:rsidR="00FC4D5E" w:rsidRDefault="006E0F59" w:rsidP="00FC4D5E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Lord Morrow </w:t>
      </w:r>
      <w:r>
        <w:rPr>
          <w:lang w:val="en-US"/>
        </w:rPr>
        <w:t>asked the Minister of Health, Social Services and Public Safety, in relation to working with</w:t>
      </w:r>
      <w:r w:rsidR="00FC4D5E">
        <w:rPr>
          <w:lang w:val="en-US"/>
        </w:rPr>
        <w:t xml:space="preserve"> </w:t>
      </w:r>
      <w:r>
        <w:rPr>
          <w:lang w:val="en-US"/>
        </w:rPr>
        <w:t xml:space="preserve">vulnerable people in care and residential homes, </w:t>
      </w:r>
    </w:p>
    <w:p w:rsidR="00FC4D5E" w:rsidRDefault="006E0F59" w:rsidP="00FC4D5E">
      <w:pPr>
        <w:pStyle w:val="NICCYBodyText"/>
        <w:numPr>
          <w:ilvl w:val="0"/>
          <w:numId w:val="24"/>
        </w:numPr>
        <w:rPr>
          <w:lang w:val="en-US"/>
        </w:rPr>
      </w:pPr>
      <w:r>
        <w:rPr>
          <w:lang w:val="en-US"/>
        </w:rPr>
        <w:t>what safeguarding clearance checks are carried</w:t>
      </w:r>
      <w:r w:rsidR="00FC4D5E">
        <w:rPr>
          <w:lang w:val="en-US"/>
        </w:rPr>
        <w:t xml:space="preserve"> </w:t>
      </w:r>
      <w:r>
        <w:rPr>
          <w:lang w:val="en-US"/>
        </w:rPr>
        <w:t xml:space="preserve">out on care staff who do not hold an accreditation or qualification for the specific environment; </w:t>
      </w:r>
    </w:p>
    <w:p w:rsidR="00FC4D5E" w:rsidRDefault="006E0F59" w:rsidP="00FC4D5E">
      <w:pPr>
        <w:pStyle w:val="NICCYBodyText"/>
        <w:numPr>
          <w:ilvl w:val="0"/>
          <w:numId w:val="24"/>
        </w:numPr>
        <w:rPr>
          <w:lang w:val="en-US"/>
        </w:rPr>
      </w:pPr>
      <w:r w:rsidRPr="00FC4D5E">
        <w:rPr>
          <w:lang w:val="en-US"/>
        </w:rPr>
        <w:t>whether this check requires a declaration from applicants to state any previous convictions or court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 xml:space="preserve">issues; </w:t>
      </w:r>
    </w:p>
    <w:p w:rsidR="00FC4D5E" w:rsidRDefault="006E0F59" w:rsidP="00FC4D5E">
      <w:pPr>
        <w:pStyle w:val="NICCYBodyText"/>
        <w:numPr>
          <w:ilvl w:val="0"/>
          <w:numId w:val="24"/>
        </w:numPr>
        <w:rPr>
          <w:lang w:val="en-US"/>
        </w:rPr>
      </w:pPr>
      <w:r w:rsidRPr="00FC4D5E">
        <w:rPr>
          <w:lang w:val="en-US"/>
        </w:rPr>
        <w:t xml:space="preserve">when was the current safeguarding policy first put in place; </w:t>
      </w:r>
    </w:p>
    <w:p w:rsidR="00FC4D5E" w:rsidRPr="001A1C9C" w:rsidRDefault="006E0F59" w:rsidP="00FC4D5E">
      <w:pPr>
        <w:pStyle w:val="NICCYBodyText"/>
        <w:numPr>
          <w:ilvl w:val="0"/>
          <w:numId w:val="24"/>
        </w:numPr>
        <w:rPr>
          <w:lang w:val="en-US"/>
        </w:rPr>
      </w:pPr>
      <w:r w:rsidRPr="00FC4D5E">
        <w:rPr>
          <w:lang w:val="en-US"/>
        </w:rPr>
        <w:t>when it was last reviewed;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 xml:space="preserve">and </w:t>
      </w:r>
    </w:p>
    <w:p w:rsidR="006E0F59" w:rsidRPr="00FC4D5E" w:rsidRDefault="006E0F59" w:rsidP="006E0F59">
      <w:pPr>
        <w:pStyle w:val="NICCYBodyText"/>
        <w:numPr>
          <w:ilvl w:val="0"/>
          <w:numId w:val="24"/>
        </w:numPr>
        <w:rPr>
          <w:lang w:val="en-US"/>
        </w:rPr>
      </w:pPr>
      <w:r w:rsidRPr="00FC4D5E">
        <w:rPr>
          <w:lang w:val="en-US"/>
        </w:rPr>
        <w:t>whether this policy is universally adopted by the Health and Social Care Trusts, or is each Trust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responsible for its own policy.</w:t>
      </w:r>
    </w:p>
    <w:p w:rsidR="006E0F59" w:rsidRDefault="006E0F59" w:rsidP="00FC4D5E">
      <w:pPr>
        <w:pStyle w:val="NICCYBodyText"/>
        <w:rPr>
          <w:lang w:val="en-US"/>
        </w:rPr>
      </w:pPr>
      <w:r>
        <w:rPr>
          <w:lang w:val="en-US"/>
        </w:rPr>
        <w:t>(AQW 31325/11-15)</w:t>
      </w:r>
    </w:p>
    <w:p w:rsidR="00FC4D5E" w:rsidRDefault="00FC4D5E" w:rsidP="00FC4D5E">
      <w:pPr>
        <w:pStyle w:val="NICCYBodyText"/>
        <w:rPr>
          <w:lang w:val="en-US"/>
        </w:rPr>
      </w:pPr>
    </w:p>
    <w:p w:rsidR="006E0F59" w:rsidRPr="00FC4D5E" w:rsidRDefault="006E0F59" w:rsidP="00FC4D5E">
      <w:pPr>
        <w:pStyle w:val="NICCYBodyText"/>
        <w:rPr>
          <w:b/>
          <w:lang w:val="en-US"/>
        </w:rPr>
      </w:pPr>
      <w:r w:rsidRPr="00FC4D5E">
        <w:rPr>
          <w:b/>
          <w:lang w:val="en-US"/>
        </w:rPr>
        <w:t>Mr Poots:</w:t>
      </w:r>
    </w:p>
    <w:p w:rsidR="006E0F59" w:rsidRDefault="006E0F59" w:rsidP="00FC4D5E">
      <w:pPr>
        <w:pStyle w:val="NICCYBodyText"/>
        <w:rPr>
          <w:lang w:val="en-US"/>
        </w:rPr>
      </w:pPr>
      <w:r w:rsidRPr="00FC4D5E">
        <w:rPr>
          <w:lang w:val="en-US"/>
        </w:rPr>
        <w:t>(i) Legislation requires those employing staff in a residential home or nursing home to carry out a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number of checks, irrespective of what qualifications they hold, to ensure, as far as possible,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 xml:space="preserve">that they are suitable </w:t>
      </w:r>
      <w:r w:rsidR="00FC4D5E">
        <w:rPr>
          <w:lang w:val="en-US"/>
        </w:rPr>
        <w:t xml:space="preserve">to work with vulnerable adults.  </w:t>
      </w:r>
      <w:r w:rsidRPr="00FC4D5E">
        <w:rPr>
          <w:lang w:val="en-US"/>
        </w:rPr>
        <w:t>These include, an enhanced criminal record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check, proof of identity, written references, verification of why any previous employment with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vulnerable adults or children ended, details and evidence of relevant qualifications or accredited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training, a full employment history and evidence that the person is physically and mentally fit for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the work they will be engaged in.</w:t>
      </w:r>
      <w:r w:rsidR="001A1C9C">
        <w:rPr>
          <w:lang w:val="en-US"/>
        </w:rPr>
        <w:t xml:space="preserve">  </w:t>
      </w:r>
      <w:r w:rsidRPr="00FC4D5E">
        <w:rPr>
          <w:lang w:val="en-US"/>
        </w:rPr>
        <w:t>In addition, under the Safeguarding Vulnerable Groups (Northern Ireland) Order 2007 it is an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offence for an employer to knowingly engage a barred person to work in regulated activity with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vulnerable adults.</w:t>
      </w:r>
    </w:p>
    <w:p w:rsidR="00FC4D5E" w:rsidRPr="00FC4D5E" w:rsidRDefault="00FC4D5E" w:rsidP="00FC4D5E">
      <w:pPr>
        <w:pStyle w:val="NICCYBodyText"/>
        <w:rPr>
          <w:lang w:val="en-US"/>
        </w:rPr>
      </w:pPr>
    </w:p>
    <w:p w:rsidR="00EE5BCF" w:rsidRDefault="006E0F59" w:rsidP="00EE5BCF">
      <w:pPr>
        <w:pStyle w:val="NICCYBodyText"/>
        <w:rPr>
          <w:lang w:val="en-US"/>
        </w:rPr>
      </w:pPr>
      <w:r w:rsidRPr="00FC4D5E">
        <w:rPr>
          <w:lang w:val="en-US"/>
        </w:rPr>
        <w:t>(ii) The Minimum Standards for Residential Care Homes and the Minimum Standards for Nursing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Homes require care homes and nursing homes to comply with my Department’s guidance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in relati</w:t>
      </w:r>
      <w:r w:rsidR="00FC4D5E">
        <w:rPr>
          <w:lang w:val="en-US"/>
        </w:rPr>
        <w:t xml:space="preserve">on to the recruitment of staff.  </w:t>
      </w:r>
      <w:r w:rsidRPr="00FC4D5E">
        <w:rPr>
          <w:lang w:val="en-US"/>
        </w:rPr>
        <w:t>My Department also commissioned and supported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the development of standards and guidance in relation to safeguarding vulnerable adults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(‘Safeguarding Vulnerable Adults – A Shared Responsibility’) for use by organisations across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the voluntary, com</w:t>
      </w:r>
      <w:r w:rsidR="00FC4D5E">
        <w:rPr>
          <w:lang w:val="en-US"/>
        </w:rPr>
        <w:t xml:space="preserve">munity and independent sectors.  </w:t>
      </w:r>
      <w:r w:rsidRPr="00FC4D5E">
        <w:rPr>
          <w:lang w:val="en-US"/>
        </w:rPr>
        <w:t>Standard 2 is specifically relevant to the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recru</w:t>
      </w:r>
      <w:r w:rsidR="00FC4D5E">
        <w:rPr>
          <w:lang w:val="en-US"/>
        </w:rPr>
        <w:t xml:space="preserve">itment of staff and volunteers.  </w:t>
      </w:r>
      <w:r w:rsidRPr="00FC4D5E">
        <w:rPr>
          <w:lang w:val="en-US"/>
        </w:rPr>
        <w:t>The criteria for meeting the standard includes that all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applicants should be asked to sign a declaration and consent form and declare any past (including</w:t>
      </w:r>
      <w:r w:rsidR="00FC4D5E">
        <w:rPr>
          <w:lang w:val="en-US"/>
        </w:rPr>
        <w:t xml:space="preserve"> </w:t>
      </w:r>
      <w:r w:rsidRPr="00FC4D5E">
        <w:rPr>
          <w:lang w:val="en-US"/>
        </w:rPr>
        <w:t>‘spent’) criminal convictions, cautions and bind-over orders and cases pending against them.</w:t>
      </w:r>
      <w:r w:rsidR="00EE5BCF">
        <w:rPr>
          <w:lang w:val="en-US"/>
        </w:rPr>
        <w:br/>
      </w:r>
    </w:p>
    <w:p w:rsidR="00EE5BCF" w:rsidRDefault="00EE5BCF" w:rsidP="00EE5BCF">
      <w:pPr>
        <w:pStyle w:val="NICCYBodyText"/>
        <w:rPr>
          <w:lang w:val="en-US"/>
        </w:rPr>
      </w:pPr>
      <w:r>
        <w:rPr>
          <w:lang w:val="en-US"/>
        </w:rPr>
        <w:lastRenderedPageBreak/>
        <w:t xml:space="preserve">(iii) </w:t>
      </w:r>
      <w:r w:rsidR="006E0F59" w:rsidRPr="00FC4D5E">
        <w:rPr>
          <w:lang w:val="en-US"/>
        </w:rPr>
        <w:t>Current residential care homes regulations and nursing home regulations were made in 2005.</w:t>
      </w:r>
      <w:r>
        <w:rPr>
          <w:lang w:val="en-US"/>
        </w:rPr>
        <w:t xml:space="preserve">  </w:t>
      </w:r>
      <w:r w:rsidR="006E0F59" w:rsidRPr="00FC4D5E">
        <w:rPr>
          <w:lang w:val="en-US"/>
        </w:rPr>
        <w:t>The Safeguarding Vulnerable Groups (Northern I</w:t>
      </w:r>
      <w:r>
        <w:rPr>
          <w:lang w:val="en-US"/>
        </w:rPr>
        <w:t xml:space="preserve">reland) Order was made in 2007.  </w:t>
      </w:r>
      <w:r w:rsidR="006E0F59" w:rsidRPr="00FC4D5E">
        <w:rPr>
          <w:lang w:val="en-US"/>
        </w:rPr>
        <w:t>The Minimum</w:t>
      </w:r>
      <w:r>
        <w:rPr>
          <w:lang w:val="en-US"/>
        </w:rPr>
        <w:t xml:space="preserve"> </w:t>
      </w:r>
      <w:r w:rsidR="006E0F59" w:rsidRPr="00FC4D5E">
        <w:rPr>
          <w:lang w:val="en-US"/>
        </w:rPr>
        <w:t>Standards for Residential Care Homes were published in February 2008, the Minimum Standards</w:t>
      </w:r>
      <w:r>
        <w:rPr>
          <w:lang w:val="en-US"/>
        </w:rPr>
        <w:t xml:space="preserve"> </w:t>
      </w:r>
      <w:r w:rsidR="006E0F59" w:rsidRPr="00FC4D5E">
        <w:rPr>
          <w:lang w:val="en-US"/>
        </w:rPr>
        <w:t>for Nursing Homes in January 2008 and Safeguarding Vulnerable Adults – A Shared Responsibility</w:t>
      </w:r>
      <w:r>
        <w:rPr>
          <w:lang w:val="en-US"/>
        </w:rPr>
        <w:t xml:space="preserve"> </w:t>
      </w:r>
      <w:r w:rsidR="006E0F59" w:rsidRPr="00FC4D5E">
        <w:rPr>
          <w:lang w:val="en-US"/>
        </w:rPr>
        <w:t>was published in 2010.</w:t>
      </w:r>
    </w:p>
    <w:p w:rsidR="00EE5BCF" w:rsidRPr="00EE5BCF" w:rsidRDefault="00EE5BCF" w:rsidP="00EE5BCF">
      <w:pPr>
        <w:pStyle w:val="NICCYBodyText"/>
        <w:rPr>
          <w:lang w:val="en-US"/>
        </w:rPr>
      </w:pPr>
    </w:p>
    <w:p w:rsidR="006E0F59" w:rsidRDefault="001A1C9C" w:rsidP="00FC4D5E">
      <w:pPr>
        <w:pStyle w:val="NICCYBodyText"/>
        <w:rPr>
          <w:lang w:val="en-US"/>
        </w:rPr>
      </w:pPr>
      <w:r>
        <w:rPr>
          <w:lang w:val="en-US"/>
        </w:rPr>
        <w:t xml:space="preserve">(iv) </w:t>
      </w:r>
      <w:r w:rsidR="006E0F59" w:rsidRPr="00FC4D5E">
        <w:rPr>
          <w:lang w:val="en-US"/>
        </w:rPr>
        <w:t>The Minimum Standards for Residential Care Homes were updated in August 2011. The vetting</w:t>
      </w:r>
      <w:r w:rsidR="00EE5BCF">
        <w:rPr>
          <w:lang w:val="en-US"/>
        </w:rPr>
        <w:t xml:space="preserve"> </w:t>
      </w:r>
      <w:r w:rsidR="006E0F59" w:rsidRPr="00FC4D5E">
        <w:rPr>
          <w:lang w:val="en-US"/>
        </w:rPr>
        <w:t>and barring scheme under the Safeguarding Vulnerable Groups (Northern Ireland) Order 2007</w:t>
      </w:r>
      <w:r w:rsidR="00EE5BCF">
        <w:rPr>
          <w:lang w:val="en-US"/>
        </w:rPr>
        <w:t xml:space="preserve"> </w:t>
      </w:r>
      <w:r w:rsidR="006E0F59" w:rsidRPr="00FC4D5E">
        <w:rPr>
          <w:lang w:val="en-US"/>
        </w:rPr>
        <w:t>was reviewed in 2010 and replaced by new disclosure and barring arrangements introduced by</w:t>
      </w:r>
      <w:r w:rsidR="00EE5BCF">
        <w:rPr>
          <w:lang w:val="en-US"/>
        </w:rPr>
        <w:t xml:space="preserve"> </w:t>
      </w:r>
      <w:r w:rsidR="006E0F59" w:rsidRPr="00FC4D5E">
        <w:rPr>
          <w:lang w:val="en-US"/>
        </w:rPr>
        <w:t>changes to the Safeguarding Vulnerable Groups (Northern Ireland) Order 2007 by the Protection</w:t>
      </w:r>
      <w:r w:rsidR="00EE5BCF">
        <w:rPr>
          <w:lang w:val="en-US"/>
        </w:rPr>
        <w:t xml:space="preserve"> of Freedoms Act 2012.  </w:t>
      </w:r>
      <w:r w:rsidR="006E0F59" w:rsidRPr="00FC4D5E">
        <w:rPr>
          <w:lang w:val="en-US"/>
        </w:rPr>
        <w:t>Safeguarding Vulnerable Adults – A Shared Responsibility was updated in</w:t>
      </w:r>
      <w:r w:rsidR="00EE5BCF">
        <w:rPr>
          <w:lang w:val="en-US"/>
        </w:rPr>
        <w:t xml:space="preserve"> </w:t>
      </w:r>
      <w:r w:rsidR="006E0F59" w:rsidRPr="00FC4D5E">
        <w:rPr>
          <w:lang w:val="en-US"/>
        </w:rPr>
        <w:t>August 2013.</w:t>
      </w:r>
    </w:p>
    <w:p w:rsidR="00EE5BCF" w:rsidRPr="00FC4D5E" w:rsidRDefault="00EE5BCF" w:rsidP="00FC4D5E">
      <w:pPr>
        <w:pStyle w:val="NICCYBodyText"/>
        <w:rPr>
          <w:lang w:val="en-US"/>
        </w:rPr>
      </w:pPr>
    </w:p>
    <w:p w:rsidR="00815822" w:rsidRPr="00FC4D5E" w:rsidRDefault="006E0F59" w:rsidP="00FC4D5E">
      <w:pPr>
        <w:pStyle w:val="NICCYBodyText"/>
        <w:rPr>
          <w:lang w:val="en-US"/>
        </w:rPr>
      </w:pPr>
      <w:r w:rsidRPr="00FC4D5E">
        <w:rPr>
          <w:lang w:val="en-US"/>
        </w:rPr>
        <w:t>(v) The legislation and minimum standards apply to all nursing homes and residential care homes,</w:t>
      </w:r>
      <w:r w:rsidR="00EE5BCF">
        <w:rPr>
          <w:lang w:val="en-US"/>
        </w:rPr>
        <w:t xml:space="preserve"> </w:t>
      </w:r>
      <w:r w:rsidRPr="00FC4D5E">
        <w:rPr>
          <w:lang w:val="en-US"/>
        </w:rPr>
        <w:t>including those run by</w:t>
      </w:r>
      <w:r w:rsidR="00EE5BCF">
        <w:rPr>
          <w:lang w:val="en-US"/>
        </w:rPr>
        <w:t xml:space="preserve"> Health and Social Care Trusts.  </w:t>
      </w:r>
      <w:r w:rsidRPr="00FC4D5E">
        <w:rPr>
          <w:lang w:val="en-US"/>
        </w:rPr>
        <w:t>Provisions under the Safeguarding</w:t>
      </w:r>
      <w:r w:rsidR="00EE5BCF">
        <w:rPr>
          <w:lang w:val="en-US"/>
        </w:rPr>
        <w:t xml:space="preserve"> </w:t>
      </w:r>
      <w:r w:rsidRPr="00FC4D5E">
        <w:rPr>
          <w:lang w:val="en-US"/>
        </w:rPr>
        <w:t>Vulnerable Groups (Northern Ireland) Order 2007 apply to the Trusts where they are engaging</w:t>
      </w:r>
      <w:r w:rsidR="00EE5BCF">
        <w:rPr>
          <w:lang w:val="en-US"/>
        </w:rPr>
        <w:t xml:space="preserve"> </w:t>
      </w:r>
      <w:r w:rsidRPr="00FC4D5E">
        <w:rPr>
          <w:lang w:val="en-US"/>
        </w:rPr>
        <w:t>individuals to work in regulated activity and the Order also makes provisions that apply to Trusts</w:t>
      </w:r>
      <w:r w:rsidR="00EE5BCF">
        <w:rPr>
          <w:lang w:val="en-US"/>
        </w:rPr>
        <w:t xml:space="preserve"> </w:t>
      </w:r>
      <w:r w:rsidRPr="00FC4D5E">
        <w:rPr>
          <w:lang w:val="en-US"/>
        </w:rPr>
        <w:t>as Health and Social Care Bodies, including a power to refer to the Disclosure and Barring Service</w:t>
      </w:r>
      <w:r w:rsidR="00EE5BCF">
        <w:rPr>
          <w:lang w:val="en-US"/>
        </w:rPr>
        <w:t xml:space="preserve"> </w:t>
      </w:r>
      <w:r w:rsidRPr="00FC4D5E">
        <w:rPr>
          <w:lang w:val="en-US"/>
        </w:rPr>
        <w:t>information where it thinks that a person has committed an offence, engaged in conduct or may</w:t>
      </w:r>
      <w:r w:rsidR="00EE5BCF">
        <w:rPr>
          <w:lang w:val="en-US"/>
        </w:rPr>
        <w:t xml:space="preserve"> </w:t>
      </w:r>
      <w:r w:rsidRPr="00FC4D5E">
        <w:rPr>
          <w:lang w:val="en-US"/>
        </w:rPr>
        <w:t>engage in conduct likely to harm a child or vulnerable adult.</w:t>
      </w:r>
      <w:r w:rsidR="00EE5BCF">
        <w:rPr>
          <w:lang w:val="en-US"/>
        </w:rPr>
        <w:t xml:space="preserve">  </w:t>
      </w:r>
      <w:r w:rsidRPr="00FC4D5E">
        <w:rPr>
          <w:lang w:val="en-US"/>
        </w:rPr>
        <w:t>‘Safeguarding Vulnerable Adults – A Shared Responsibility’ was developed in consultation with</w:t>
      </w:r>
      <w:r w:rsidR="00EE5BCF">
        <w:rPr>
          <w:lang w:val="en-US"/>
        </w:rPr>
        <w:t xml:space="preserve"> </w:t>
      </w:r>
      <w:r w:rsidRPr="00FC4D5E">
        <w:rPr>
          <w:lang w:val="en-US"/>
        </w:rPr>
        <w:t>the Trusts.</w:t>
      </w:r>
    </w:p>
    <w:p w:rsidR="006E0F59" w:rsidRDefault="006E0F59" w:rsidP="006E0F59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EE5BCF" w:rsidRDefault="00B4315F" w:rsidP="00EE5BCF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  <w:hyperlink w:anchor="_top" w:history="1">
        <w:r w:rsidR="00EE5BCF" w:rsidRPr="00A92D13">
          <w:rPr>
            <w:rStyle w:val="Hyperlink"/>
          </w:rPr>
          <w:t>Back to Top</w:t>
        </w:r>
      </w:hyperlink>
    </w:p>
    <w:p w:rsidR="006E0F59" w:rsidRDefault="006E0F59" w:rsidP="006E0F59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6E0F59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6E0F59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6E0F59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6E0F59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6E0F59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6E0F59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6E0F59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6E0F59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6E0F59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6E0F59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6E0F59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9D45AC" w:rsidRDefault="009602F0" w:rsidP="00EE5BCF">
      <w:pPr>
        <w:pStyle w:val="Heading2"/>
        <w:rPr>
          <w:rFonts w:eastAsiaTheme="minorEastAsia"/>
          <w:lang w:val="en-US"/>
        </w:rPr>
      </w:pPr>
      <w:bookmarkStart w:id="18" w:name="_Child_Mortality_Rates"/>
      <w:bookmarkEnd w:id="18"/>
      <w:r>
        <w:rPr>
          <w:rFonts w:ascii="ITCFranklinGothicBook" w:eastAsiaTheme="minorEastAsia" w:hAnsi="ITCFranklinGothicBook" w:cs="ITCFranklinGothicBook"/>
          <w:b w:val="0"/>
          <w:bCs w:val="0"/>
          <w:color w:val="auto"/>
          <w:sz w:val="20"/>
          <w:szCs w:val="20"/>
          <w:lang w:val="en-US"/>
        </w:rPr>
        <w:lastRenderedPageBreak/>
        <w:br/>
      </w:r>
      <w:r w:rsidR="009D45AC">
        <w:rPr>
          <w:rFonts w:eastAsiaTheme="minorEastAsia"/>
          <w:lang w:val="en-US"/>
        </w:rPr>
        <w:t>Child Mortality Rates</w:t>
      </w:r>
    </w:p>
    <w:p w:rsidR="00EE5BCF" w:rsidRDefault="009D45AC" w:rsidP="00EE5BCF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Copeland </w:t>
      </w:r>
      <w:r>
        <w:rPr>
          <w:lang w:val="en-US"/>
        </w:rPr>
        <w:t>asked the Minister of Health, Social Services and Public Safety for his assessment of</w:t>
      </w:r>
      <w:r w:rsidR="00EE5BCF">
        <w:rPr>
          <w:lang w:val="en-US"/>
        </w:rPr>
        <w:t xml:space="preserve"> </w:t>
      </w:r>
      <w:r>
        <w:rPr>
          <w:lang w:val="en-US"/>
        </w:rPr>
        <w:t xml:space="preserve">child mortality rates compared with </w:t>
      </w:r>
    </w:p>
    <w:p w:rsidR="00EE5BCF" w:rsidRDefault="009D45AC" w:rsidP="00EE5BCF">
      <w:pPr>
        <w:pStyle w:val="NICCYBody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the Republic of Ireland; </w:t>
      </w:r>
    </w:p>
    <w:p w:rsidR="00EE5BCF" w:rsidRDefault="009D45AC" w:rsidP="00EE5BCF">
      <w:pPr>
        <w:pStyle w:val="NICCYBody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England; </w:t>
      </w:r>
    </w:p>
    <w:p w:rsidR="00EE5BCF" w:rsidRDefault="009D45AC" w:rsidP="00EE5BCF">
      <w:pPr>
        <w:pStyle w:val="NICCYBody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Scotland; </w:t>
      </w:r>
    </w:p>
    <w:p w:rsidR="00EE5BCF" w:rsidRDefault="009D45AC" w:rsidP="00EE5BCF">
      <w:pPr>
        <w:pStyle w:val="NICCYBody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>Wales; and</w:t>
      </w:r>
    </w:p>
    <w:p w:rsidR="009D45AC" w:rsidRPr="00EE5BCF" w:rsidRDefault="009D45AC" w:rsidP="00EE5BCF">
      <w:pPr>
        <w:pStyle w:val="NICCYBodyText"/>
        <w:numPr>
          <w:ilvl w:val="0"/>
          <w:numId w:val="25"/>
        </w:numPr>
        <w:rPr>
          <w:lang w:val="en-US"/>
        </w:rPr>
      </w:pPr>
      <w:r w:rsidRPr="00EE5BCF">
        <w:rPr>
          <w:lang w:val="en-US"/>
        </w:rPr>
        <w:t>Europe.</w:t>
      </w:r>
    </w:p>
    <w:p w:rsidR="009D45AC" w:rsidRDefault="009D45AC" w:rsidP="00EE5BCF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31396/11-15)</w:t>
      </w:r>
    </w:p>
    <w:p w:rsidR="00EE5BCF" w:rsidRDefault="00EE5BCF" w:rsidP="00EE5BCF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84311A" w:rsidRDefault="009D45AC" w:rsidP="00EE5BCF">
      <w:pPr>
        <w:pStyle w:val="NICCYBodyText"/>
        <w:rPr>
          <w:lang w:val="en-US"/>
        </w:rPr>
      </w:pPr>
      <w:r w:rsidRPr="00EE5BCF">
        <w:rPr>
          <w:rFonts w:ascii="ITCFranklinGothicDemi" w:hAnsi="ITCFranklinGothicDemi" w:cs="ITCFranklinGothicDemi"/>
          <w:b/>
          <w:lang w:val="en-US"/>
        </w:rPr>
        <w:t>Mr Poots: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Comparison of child mortality rates across Europe based on the World Health Organisation</w:t>
      </w:r>
      <w:r w:rsidR="00EE5BCF">
        <w:rPr>
          <w:lang w:val="en-US"/>
        </w:rPr>
        <w:t xml:space="preserve"> </w:t>
      </w:r>
      <w:r>
        <w:rPr>
          <w:lang w:val="en-US"/>
        </w:rPr>
        <w:t>data shows that for children from birth to 15th birthday mortality rates range from England with 23</w:t>
      </w:r>
      <w:r w:rsidR="00EE5BCF">
        <w:rPr>
          <w:lang w:val="en-US"/>
        </w:rPr>
        <w:t xml:space="preserve"> </w:t>
      </w:r>
      <w:r>
        <w:rPr>
          <w:lang w:val="en-US"/>
        </w:rPr>
        <w:t>deaths/100,000 population aged 0-14 to Ukraine with 101 deaths/100,000 population aged 0-14.</w:t>
      </w:r>
      <w:r w:rsidR="007C0AD5">
        <w:rPr>
          <w:lang w:val="en-US"/>
        </w:rPr>
        <w:t xml:space="preserve">  </w:t>
      </w:r>
      <w:r>
        <w:rPr>
          <w:lang w:val="en-US"/>
        </w:rPr>
        <w:t xml:space="preserve">Northern Ireland has a child mortality rate from birth to 15th birthday of 36.7 per 100,000. This is </w:t>
      </w:r>
      <w:r w:rsidR="0084311A">
        <w:rPr>
          <w:lang w:val="en-US"/>
        </w:rPr>
        <w:t>similar to Scotland at 36.3 and The Republic of Ireland at 38.5 but higher than England at 23 and</w:t>
      </w:r>
      <w:r w:rsidR="00EE5BCF">
        <w:rPr>
          <w:lang w:val="en-US"/>
        </w:rPr>
        <w:t xml:space="preserve"> </w:t>
      </w:r>
      <w:r w:rsidR="0084311A">
        <w:rPr>
          <w:lang w:val="en-US"/>
        </w:rPr>
        <w:t>Wales at 22.2.</w:t>
      </w:r>
    </w:p>
    <w:p w:rsidR="00EE5BCF" w:rsidRDefault="00EE5BCF" w:rsidP="00EE5BCF">
      <w:pPr>
        <w:pStyle w:val="NICCYBodyText"/>
        <w:rPr>
          <w:lang w:val="en-US"/>
        </w:rPr>
      </w:pPr>
    </w:p>
    <w:p w:rsidR="006E0F59" w:rsidRDefault="0084311A" w:rsidP="00EE5BCF">
      <w:pPr>
        <w:pStyle w:val="NICCYBodyText"/>
        <w:rPr>
          <w:lang w:val="en-US"/>
        </w:rPr>
      </w:pPr>
      <w:r>
        <w:rPr>
          <w:lang w:val="en-US"/>
        </w:rPr>
        <w:t>The recent overview of child deaths in the four UK countries showed that overall child deaths had</w:t>
      </w:r>
      <w:r w:rsidR="00EE5BCF">
        <w:rPr>
          <w:lang w:val="en-US"/>
        </w:rPr>
        <w:t xml:space="preserve"> </w:t>
      </w:r>
      <w:r>
        <w:rPr>
          <w:lang w:val="en-US"/>
        </w:rPr>
        <w:t>reduced by between</w:t>
      </w:r>
      <w:r w:rsidR="00EE5BCF">
        <w:rPr>
          <w:lang w:val="en-US"/>
        </w:rPr>
        <w:t xml:space="preserve"> 50% and 70% from 1980 to 2010.  </w:t>
      </w:r>
      <w:r>
        <w:rPr>
          <w:lang w:val="en-US"/>
        </w:rPr>
        <w:t>While deaths in Northern Ireland have</w:t>
      </w:r>
      <w:r w:rsidR="00EE5BCF">
        <w:rPr>
          <w:lang w:val="en-US"/>
        </w:rPr>
        <w:t xml:space="preserve"> </w:t>
      </w:r>
      <w:r>
        <w:rPr>
          <w:lang w:val="en-US"/>
        </w:rPr>
        <w:t>decreased during this time the rate of deaths including injury related deaths here is higher than in</w:t>
      </w:r>
      <w:r w:rsidR="00EE5BCF">
        <w:rPr>
          <w:lang w:val="en-US"/>
        </w:rPr>
        <w:t xml:space="preserve"> England.  </w:t>
      </w:r>
      <w:r>
        <w:rPr>
          <w:lang w:val="en-US"/>
        </w:rPr>
        <w:t>My Department continues to work to reduce child death including the development of the</w:t>
      </w:r>
      <w:r w:rsidR="00EE5BCF">
        <w:rPr>
          <w:lang w:val="en-US"/>
        </w:rPr>
        <w:t xml:space="preserve"> </w:t>
      </w:r>
      <w:r>
        <w:rPr>
          <w:lang w:val="en-US"/>
        </w:rPr>
        <w:t>current consultation on paediatric services and strategies to reduce suicides and home accidents</w:t>
      </w:r>
      <w:r w:rsidR="00EE5BCF">
        <w:rPr>
          <w:lang w:val="en-US"/>
        </w:rPr>
        <w:t xml:space="preserve"> </w:t>
      </w:r>
      <w:r>
        <w:rPr>
          <w:lang w:val="en-US"/>
        </w:rPr>
        <w:t>including cord blind related deaths in young children.</w:t>
      </w:r>
    </w:p>
    <w:p w:rsidR="0084311A" w:rsidRDefault="0084311A" w:rsidP="0084311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EE5BCF" w:rsidRDefault="00B4315F" w:rsidP="00EE5BCF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  <w:hyperlink w:anchor="_top" w:history="1">
        <w:r w:rsidR="00EE5BCF" w:rsidRPr="00A92D13">
          <w:rPr>
            <w:rStyle w:val="Hyperlink"/>
          </w:rPr>
          <w:t>Back to Top</w:t>
        </w:r>
      </w:hyperlink>
    </w:p>
    <w:p w:rsidR="00EE5BCF" w:rsidRDefault="00EE5BCF" w:rsidP="0084311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84311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84311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84311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84311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84311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84311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84311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84311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7C0AD5" w:rsidRDefault="007C0AD5" w:rsidP="0084311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84311A" w:rsidRDefault="0084311A" w:rsidP="0084311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2D4075" w:rsidRDefault="002D4075" w:rsidP="00EE5BCF">
      <w:pPr>
        <w:pStyle w:val="Heading2"/>
        <w:rPr>
          <w:rFonts w:eastAsiaTheme="minorEastAsia"/>
          <w:lang w:val="en-US"/>
        </w:rPr>
      </w:pPr>
      <w:bookmarkStart w:id="19" w:name="_Family_Proceedings_Case"/>
      <w:bookmarkEnd w:id="19"/>
      <w:r>
        <w:rPr>
          <w:rFonts w:eastAsiaTheme="minorEastAsia"/>
          <w:lang w:val="en-US"/>
        </w:rPr>
        <w:lastRenderedPageBreak/>
        <w:t>Family Proceedings Case Involving the Placement of Children</w:t>
      </w:r>
    </w:p>
    <w:p w:rsidR="002D4075" w:rsidRDefault="002D4075" w:rsidP="00EE5BCF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Weir </w:t>
      </w:r>
      <w:r>
        <w:rPr>
          <w:lang w:val="en-US"/>
        </w:rPr>
        <w:t>asked the Minister of Justice to detail why issues of domestic and sexual violence are not</w:t>
      </w:r>
      <w:r w:rsidR="00EE5BCF">
        <w:rPr>
          <w:lang w:val="en-US"/>
        </w:rPr>
        <w:t xml:space="preserve"> </w:t>
      </w:r>
      <w:r>
        <w:rPr>
          <w:lang w:val="en-US"/>
        </w:rPr>
        <w:t>investigated and resolved at the start of a family proceedings case involving the placement of children.</w:t>
      </w:r>
    </w:p>
    <w:p w:rsidR="002D4075" w:rsidRDefault="002D4075" w:rsidP="00EE5BCF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31093/11-15)</w:t>
      </w:r>
    </w:p>
    <w:p w:rsidR="00EE5BCF" w:rsidRDefault="00EE5BCF" w:rsidP="00EE5BCF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6E0F59" w:rsidRDefault="002D4075" w:rsidP="00EE5BCF">
      <w:pPr>
        <w:pStyle w:val="NICCYBodyText"/>
        <w:rPr>
          <w:lang w:val="en-US"/>
        </w:rPr>
      </w:pPr>
      <w:r w:rsidRPr="00EE5BCF">
        <w:rPr>
          <w:rFonts w:ascii="ITCFranklinGothicDemi" w:hAnsi="ITCFranklinGothicDemi" w:cs="ITCFranklinGothicDemi"/>
          <w:b/>
          <w:lang w:val="en-US"/>
        </w:rPr>
        <w:t>Mr Ford: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 conduct of a family proceedings case is a matter for the presiding Judge and it would</w:t>
      </w:r>
      <w:r w:rsidR="00EE5BCF">
        <w:rPr>
          <w:lang w:val="en-US"/>
        </w:rPr>
        <w:t xml:space="preserve"> </w:t>
      </w:r>
      <w:r>
        <w:rPr>
          <w:lang w:val="en-US"/>
        </w:rPr>
        <w:t>not be</w:t>
      </w:r>
      <w:r w:rsidR="0011055A">
        <w:rPr>
          <w:lang w:val="en-US"/>
        </w:rPr>
        <w:t xml:space="preserve"> appropriate for me to comment.  </w:t>
      </w:r>
      <w:r>
        <w:rPr>
          <w:lang w:val="en-US"/>
        </w:rPr>
        <w:t>However, I understand that the application process under the</w:t>
      </w:r>
      <w:r w:rsidR="0011055A">
        <w:rPr>
          <w:lang w:val="en-US"/>
        </w:rPr>
        <w:t xml:space="preserve"> </w:t>
      </w:r>
      <w:r>
        <w:rPr>
          <w:lang w:val="en-US"/>
        </w:rPr>
        <w:t>Children (Northern Ireland) Order provides the opportunity for either party or their legal representatives</w:t>
      </w:r>
      <w:r w:rsidR="0011055A">
        <w:rPr>
          <w:lang w:val="en-US"/>
        </w:rPr>
        <w:t xml:space="preserve"> </w:t>
      </w:r>
      <w:r>
        <w:rPr>
          <w:lang w:val="en-US"/>
        </w:rPr>
        <w:t>to raise any such issues at the earliest possible stage.</w:t>
      </w:r>
    </w:p>
    <w:p w:rsidR="002D4075" w:rsidRDefault="002D4075" w:rsidP="002D4075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11055A" w:rsidRDefault="00B4315F" w:rsidP="0011055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  <w:hyperlink w:anchor="_top" w:history="1">
        <w:r w:rsidR="0011055A" w:rsidRPr="00A92D13">
          <w:rPr>
            <w:rStyle w:val="Hyperlink"/>
          </w:rPr>
          <w:t>Back to Top</w:t>
        </w:r>
      </w:hyperlink>
    </w:p>
    <w:p w:rsidR="0011055A" w:rsidRDefault="0011055A" w:rsidP="002D4075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CB7801" w:rsidRDefault="00CB7801" w:rsidP="0011055A">
      <w:pPr>
        <w:pStyle w:val="Heading2"/>
        <w:rPr>
          <w:rFonts w:eastAsiaTheme="minorEastAsia"/>
          <w:lang w:val="en-US"/>
        </w:rPr>
      </w:pPr>
      <w:bookmarkStart w:id="20" w:name="_Children_(Northern_Ireland)"/>
      <w:bookmarkEnd w:id="20"/>
      <w:r>
        <w:rPr>
          <w:rFonts w:eastAsiaTheme="minorEastAsia"/>
          <w:lang w:val="en-US"/>
        </w:rPr>
        <w:t>Children (Northern Ireland) Order 1995</w:t>
      </w:r>
    </w:p>
    <w:p w:rsidR="00CB7801" w:rsidRDefault="00CB7801" w:rsidP="0011055A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Weir </w:t>
      </w:r>
      <w:r>
        <w:rPr>
          <w:lang w:val="en-US"/>
        </w:rPr>
        <w:t>asked the Minister of Justice how the recommendations made by the Family Justice Council</w:t>
      </w:r>
      <w:r w:rsidR="0011055A">
        <w:rPr>
          <w:lang w:val="en-US"/>
        </w:rPr>
        <w:t xml:space="preserve"> </w:t>
      </w:r>
      <w:r>
        <w:rPr>
          <w:lang w:val="en-US"/>
        </w:rPr>
        <w:t>(2007), in relation to the Children (Northern Ireland) Order 1995, influence judicial decisions in family</w:t>
      </w:r>
      <w:r w:rsidR="0011055A">
        <w:rPr>
          <w:lang w:val="en-US"/>
        </w:rPr>
        <w:t xml:space="preserve"> </w:t>
      </w:r>
      <w:r>
        <w:rPr>
          <w:lang w:val="en-US"/>
        </w:rPr>
        <w:t>proceedings.</w:t>
      </w:r>
    </w:p>
    <w:p w:rsidR="00CB7801" w:rsidRDefault="00CB7801" w:rsidP="0011055A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31098/11-15)</w:t>
      </w:r>
    </w:p>
    <w:p w:rsidR="0011055A" w:rsidRDefault="0011055A" w:rsidP="0011055A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2D4075" w:rsidRDefault="00CB7801" w:rsidP="0011055A">
      <w:pPr>
        <w:pStyle w:val="NICCYBodyText"/>
        <w:rPr>
          <w:lang w:val="en-US"/>
        </w:rPr>
      </w:pPr>
      <w:r w:rsidRPr="0011055A">
        <w:rPr>
          <w:rFonts w:ascii="ITCFranklinGothicDemi" w:hAnsi="ITCFranklinGothicDemi" w:cs="ITCFranklinGothicDemi"/>
          <w:b/>
          <w:lang w:val="en-US"/>
        </w:rPr>
        <w:t>Mr Ford:</w:t>
      </w:r>
      <w:r w:rsidRPr="0011055A">
        <w:rPr>
          <w:rFonts w:ascii="ITCFranklinGothicDemi" w:hAnsi="ITCFranklinGothicDemi" w:cs="ITCFranklinGothicDemi"/>
          <w:lang w:val="en-US"/>
        </w:rPr>
        <w:t xml:space="preserve"> </w:t>
      </w:r>
      <w:r w:rsidRPr="0011055A">
        <w:rPr>
          <w:lang w:val="en-US"/>
        </w:rPr>
        <w:t>I</w:t>
      </w:r>
      <w:r>
        <w:rPr>
          <w:lang w:val="en-US"/>
        </w:rPr>
        <w:t xml:space="preserve"> cannot comment on how ju</w:t>
      </w:r>
      <w:r w:rsidR="0011055A">
        <w:rPr>
          <w:lang w:val="en-US"/>
        </w:rPr>
        <w:t xml:space="preserve">dges arrive at their decisions.  </w:t>
      </w:r>
      <w:r>
        <w:rPr>
          <w:lang w:val="en-US"/>
        </w:rPr>
        <w:t>The Children Order Advisory</w:t>
      </w:r>
      <w:r w:rsidR="0011055A">
        <w:rPr>
          <w:lang w:val="en-US"/>
        </w:rPr>
        <w:t xml:space="preserve"> </w:t>
      </w:r>
      <w:r>
        <w:rPr>
          <w:lang w:val="en-US"/>
        </w:rPr>
        <w:t>Committee (COAC) provides a similar role to the Family Justic</w:t>
      </w:r>
      <w:r w:rsidR="0011055A">
        <w:rPr>
          <w:lang w:val="en-US"/>
        </w:rPr>
        <w:t xml:space="preserve">e Council in England and Wales.  </w:t>
      </w:r>
      <w:r>
        <w:rPr>
          <w:lang w:val="en-US"/>
        </w:rPr>
        <w:t>Guidance</w:t>
      </w:r>
      <w:r w:rsidR="0011055A">
        <w:rPr>
          <w:lang w:val="en-US"/>
        </w:rPr>
        <w:t xml:space="preserve"> </w:t>
      </w:r>
      <w:r>
        <w:rPr>
          <w:lang w:val="en-US"/>
        </w:rPr>
        <w:t>on child contact and residence cases involving domestic violence is included in COAC’s best practice</w:t>
      </w:r>
      <w:r w:rsidR="0011055A">
        <w:rPr>
          <w:lang w:val="en-US"/>
        </w:rPr>
        <w:t xml:space="preserve"> guidance.  </w:t>
      </w:r>
      <w:r>
        <w:rPr>
          <w:lang w:val="en-US"/>
        </w:rPr>
        <w:t>The Children (Northern Ireland) Order 1995 requires family courts to ensure that the welfare</w:t>
      </w:r>
      <w:r w:rsidR="0011055A">
        <w:rPr>
          <w:lang w:val="en-US"/>
        </w:rPr>
        <w:t xml:space="preserve"> </w:t>
      </w:r>
      <w:r>
        <w:rPr>
          <w:lang w:val="en-US"/>
        </w:rPr>
        <w:t>of the child is the paramount consideration.</w:t>
      </w:r>
    </w:p>
    <w:p w:rsidR="00CB7801" w:rsidRDefault="00CB7801" w:rsidP="00CB7801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11055A" w:rsidRDefault="00B4315F" w:rsidP="0011055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  <w:hyperlink w:anchor="_top" w:history="1">
        <w:r w:rsidR="0011055A" w:rsidRPr="00A92D13">
          <w:rPr>
            <w:rStyle w:val="Hyperlink"/>
          </w:rPr>
          <w:t>Back to Top</w:t>
        </w:r>
      </w:hyperlink>
    </w:p>
    <w:p w:rsidR="00CA1F41" w:rsidRDefault="00CA1F41" w:rsidP="0011055A">
      <w:pPr>
        <w:pStyle w:val="Heading2"/>
        <w:rPr>
          <w:rFonts w:eastAsiaTheme="minorEastAsia"/>
          <w:lang w:val="en-US"/>
        </w:rPr>
      </w:pPr>
      <w:bookmarkStart w:id="21" w:name="_Children_Order_Advisory"/>
      <w:bookmarkEnd w:id="21"/>
      <w:r>
        <w:rPr>
          <w:rFonts w:eastAsiaTheme="minorEastAsia"/>
          <w:lang w:val="en-US"/>
        </w:rPr>
        <w:t>Children Order Advisory Committee</w:t>
      </w:r>
    </w:p>
    <w:p w:rsidR="00CA1F41" w:rsidRDefault="00CA1F41" w:rsidP="0011055A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Weir </w:t>
      </w:r>
      <w:r>
        <w:rPr>
          <w:lang w:val="en-US"/>
        </w:rPr>
        <w:t>asked the Minister of Justice what status the guidelines from the Children Order Advisory</w:t>
      </w:r>
      <w:r w:rsidR="0011055A">
        <w:rPr>
          <w:lang w:val="en-US"/>
        </w:rPr>
        <w:t xml:space="preserve"> </w:t>
      </w:r>
      <w:r>
        <w:rPr>
          <w:lang w:val="en-US"/>
        </w:rPr>
        <w:t>Committee have in family proceedings decisions.</w:t>
      </w:r>
    </w:p>
    <w:p w:rsidR="00CA1F41" w:rsidRDefault="00CA1F41" w:rsidP="0011055A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31168/11-15)</w:t>
      </w:r>
    </w:p>
    <w:p w:rsidR="0011055A" w:rsidRDefault="0011055A" w:rsidP="0011055A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CB7801" w:rsidRDefault="00CA1F41" w:rsidP="0011055A">
      <w:pPr>
        <w:pStyle w:val="NICCYBodyText"/>
        <w:rPr>
          <w:lang w:val="en-US"/>
        </w:rPr>
      </w:pPr>
      <w:r w:rsidRPr="0011055A">
        <w:rPr>
          <w:rFonts w:ascii="ITCFranklinGothicDemi" w:hAnsi="ITCFranklinGothicDemi" w:cs="ITCFranklinGothicDemi"/>
          <w:b/>
          <w:lang w:val="en-US"/>
        </w:rPr>
        <w:t>Mr Ford: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The Judiciary have access to the Children Order Advisory Committee Best Practice Guidance</w:t>
      </w:r>
      <w:r w:rsidR="0011055A">
        <w:rPr>
          <w:lang w:val="en-US"/>
        </w:rPr>
        <w:t xml:space="preserve"> and may take account of it.  </w:t>
      </w:r>
      <w:r>
        <w:rPr>
          <w:lang w:val="en-US"/>
        </w:rPr>
        <w:t>However, it is not legally binding.</w:t>
      </w:r>
    </w:p>
    <w:p w:rsidR="0011055A" w:rsidRDefault="0011055A" w:rsidP="0011055A">
      <w:pPr>
        <w:pStyle w:val="NICCYBodyText"/>
        <w:rPr>
          <w:lang w:val="en-US"/>
        </w:rPr>
      </w:pPr>
    </w:p>
    <w:p w:rsidR="0011055A" w:rsidRDefault="00B4315F" w:rsidP="0011055A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  <w:hyperlink w:anchor="_top" w:history="1">
        <w:r w:rsidR="0011055A" w:rsidRPr="00A92D13">
          <w:rPr>
            <w:rStyle w:val="Hyperlink"/>
          </w:rPr>
          <w:t>Back to Top</w:t>
        </w:r>
      </w:hyperlink>
    </w:p>
    <w:p w:rsidR="00142BB1" w:rsidRDefault="00142BB1" w:rsidP="0011055A">
      <w:pPr>
        <w:pStyle w:val="Heading2"/>
        <w:rPr>
          <w:rFonts w:eastAsiaTheme="minorEastAsia"/>
          <w:lang w:val="en-US"/>
        </w:rPr>
      </w:pPr>
      <w:bookmarkStart w:id="22" w:name="_Child_Maintenance_Charging"/>
      <w:bookmarkEnd w:id="22"/>
      <w:r>
        <w:rPr>
          <w:rFonts w:eastAsiaTheme="minorEastAsia"/>
          <w:lang w:val="en-US"/>
        </w:rPr>
        <w:lastRenderedPageBreak/>
        <w:t>Child Maintenance Charging</w:t>
      </w:r>
    </w:p>
    <w:p w:rsidR="00142BB1" w:rsidRDefault="00142BB1" w:rsidP="0011055A">
      <w:pPr>
        <w:pStyle w:val="NICCYBodyText"/>
        <w:rPr>
          <w:lang w:val="en-US"/>
        </w:rPr>
      </w:pPr>
      <w:r>
        <w:rPr>
          <w:rFonts w:ascii="ITCFranklinGothicDemi" w:hAnsi="ITCFranklinGothicDemi" w:cs="ITCFranklinGothicDemi"/>
          <w:lang w:val="en-US"/>
        </w:rPr>
        <w:t xml:space="preserve">Mr Cree </w:t>
      </w:r>
      <w:r>
        <w:rPr>
          <w:lang w:val="en-US"/>
        </w:rPr>
        <w:t>asked the Minister for Social Development to outline the current position on child</w:t>
      </w:r>
    </w:p>
    <w:p w:rsidR="00142BB1" w:rsidRDefault="00142BB1" w:rsidP="0011055A">
      <w:pPr>
        <w:pStyle w:val="NICCYBodyText"/>
        <w:rPr>
          <w:lang w:val="en-US"/>
        </w:rPr>
      </w:pPr>
      <w:r>
        <w:rPr>
          <w:lang w:val="en-US"/>
        </w:rPr>
        <w:t>maintenance charging; and whether any changes are planned.</w:t>
      </w:r>
    </w:p>
    <w:p w:rsidR="00142BB1" w:rsidRDefault="00142BB1" w:rsidP="0011055A">
      <w:pPr>
        <w:pStyle w:val="NICCYBodyText"/>
        <w:rPr>
          <w:rFonts w:ascii="ITCFranklinGothicDemi" w:hAnsi="ITCFranklinGothicDemi" w:cs="ITCFranklinGothicDemi"/>
          <w:lang w:val="en-US"/>
        </w:rPr>
      </w:pPr>
      <w:r>
        <w:rPr>
          <w:rFonts w:ascii="ITCFranklinGothicDemi" w:hAnsi="ITCFranklinGothicDemi" w:cs="ITCFranklinGothicDemi"/>
          <w:lang w:val="en-US"/>
        </w:rPr>
        <w:t>(AQW 31387/11-15)</w:t>
      </w:r>
    </w:p>
    <w:p w:rsidR="0011055A" w:rsidRDefault="0011055A" w:rsidP="0011055A">
      <w:pPr>
        <w:pStyle w:val="NICCYBodyText"/>
        <w:rPr>
          <w:rFonts w:ascii="ITCFranklinGothicDemi" w:hAnsi="ITCFranklinGothicDemi" w:cs="ITCFranklinGothicDemi"/>
          <w:lang w:val="en-US"/>
        </w:rPr>
      </w:pPr>
    </w:p>
    <w:p w:rsidR="00142BB1" w:rsidRDefault="00142BB1" w:rsidP="0011055A">
      <w:pPr>
        <w:pStyle w:val="NICCYBodyText"/>
        <w:rPr>
          <w:lang w:val="en-US"/>
        </w:rPr>
      </w:pPr>
      <w:r w:rsidRPr="0011055A">
        <w:rPr>
          <w:rFonts w:ascii="ITCFranklinGothicDemi" w:hAnsi="ITCFranklinGothicDemi" w:cs="ITCFranklinGothicDemi"/>
          <w:b/>
          <w:lang w:val="en-US"/>
        </w:rPr>
        <w:t>Mr McCausland:</w:t>
      </w:r>
      <w:r>
        <w:rPr>
          <w:rFonts w:ascii="ITCFranklinGothicDemi" w:hAnsi="ITCFranklinGothicDemi" w:cs="ITCFranklinGothicDemi"/>
          <w:lang w:val="en-US"/>
        </w:rPr>
        <w:t xml:space="preserve"> </w:t>
      </w:r>
      <w:r>
        <w:rPr>
          <w:lang w:val="en-US"/>
        </w:rPr>
        <w:t>Child Maintenance fees are designed to act as an incentive for parents to consider</w:t>
      </w:r>
      <w:r w:rsidR="0011055A">
        <w:rPr>
          <w:lang w:val="en-US"/>
        </w:rPr>
        <w:t xml:space="preserve"> </w:t>
      </w:r>
      <w:r>
        <w:rPr>
          <w:lang w:val="en-US"/>
        </w:rPr>
        <w:t>their options and, where possible, work together to m</w:t>
      </w:r>
      <w:r w:rsidR="0011055A">
        <w:rPr>
          <w:lang w:val="en-US"/>
        </w:rPr>
        <w:t xml:space="preserve">ake a family based arrangement.  </w:t>
      </w:r>
      <w:r>
        <w:rPr>
          <w:lang w:val="en-US"/>
        </w:rPr>
        <w:t>It is however</w:t>
      </w:r>
      <w:r w:rsidR="0011055A">
        <w:rPr>
          <w:lang w:val="en-US"/>
        </w:rPr>
        <w:t xml:space="preserve"> </w:t>
      </w:r>
      <w:r>
        <w:rPr>
          <w:lang w:val="en-US"/>
        </w:rPr>
        <w:t>fair and in line with the principles of parental responsibility to ask parents to contribute to the cost of</w:t>
      </w:r>
      <w:r w:rsidR="0011055A">
        <w:rPr>
          <w:lang w:val="en-US"/>
        </w:rPr>
        <w:t xml:space="preserve"> </w:t>
      </w:r>
      <w:r>
        <w:rPr>
          <w:lang w:val="en-US"/>
        </w:rPr>
        <w:t>processing/administering ongoing maintenance payments where they choose to use the collect and pay</w:t>
      </w:r>
      <w:r w:rsidR="0011055A">
        <w:rPr>
          <w:lang w:val="en-US"/>
        </w:rPr>
        <w:t xml:space="preserve"> service.  </w:t>
      </w:r>
      <w:r>
        <w:rPr>
          <w:lang w:val="en-US"/>
        </w:rPr>
        <w:t>There is no fee to pay if parents make a family based arrangement or use Direct Pay.</w:t>
      </w:r>
    </w:p>
    <w:p w:rsidR="0011055A" w:rsidRDefault="0011055A" w:rsidP="0011055A">
      <w:pPr>
        <w:pStyle w:val="NICCYBodyText"/>
        <w:rPr>
          <w:lang w:val="en-US"/>
        </w:rPr>
      </w:pPr>
    </w:p>
    <w:p w:rsidR="0011055A" w:rsidRDefault="00142BB1" w:rsidP="0011055A">
      <w:pPr>
        <w:pStyle w:val="NICCYBodyText"/>
        <w:rPr>
          <w:lang w:val="en-US"/>
        </w:rPr>
      </w:pPr>
      <w:r>
        <w:rPr>
          <w:lang w:val="en-US"/>
        </w:rPr>
        <w:t>On the 20th of September 2013, as part of the ongoing reform of child maintenance, I announced the</w:t>
      </w:r>
      <w:r w:rsidR="0011055A">
        <w:rPr>
          <w:lang w:val="en-US"/>
        </w:rPr>
        <w:t xml:space="preserve"> </w:t>
      </w:r>
      <w:r>
        <w:rPr>
          <w:lang w:val="en-US"/>
        </w:rPr>
        <w:t>introduction of collection fees as a way of encouraging separated families to consider making their own</w:t>
      </w:r>
      <w:r w:rsidR="0011055A">
        <w:rPr>
          <w:lang w:val="en-US"/>
        </w:rPr>
        <w:t xml:space="preserve"> arrangements from the outset.  </w:t>
      </w:r>
      <w:r>
        <w:rPr>
          <w:lang w:val="en-US"/>
        </w:rPr>
        <w:t>The level of collection fees I have set will minimise the impact on the</w:t>
      </w:r>
      <w:r w:rsidR="0011055A">
        <w:rPr>
          <w:lang w:val="en-US"/>
        </w:rPr>
        <w:t xml:space="preserve"> </w:t>
      </w:r>
      <w:r>
        <w:rPr>
          <w:lang w:val="en-US"/>
        </w:rPr>
        <w:t>amount of money flowing to children, while providing an incentive to ensure parents seriously consider</w:t>
      </w:r>
      <w:r w:rsidR="0011055A">
        <w:rPr>
          <w:lang w:val="en-US"/>
        </w:rPr>
        <w:t xml:space="preserve"> </w:t>
      </w:r>
      <w:r>
        <w:rPr>
          <w:lang w:val="en-US"/>
        </w:rPr>
        <w:t>their responsibilities and the options available to them before opting into the Child Maintenance Collect</w:t>
      </w:r>
      <w:r w:rsidR="0011055A">
        <w:rPr>
          <w:lang w:val="en-US"/>
        </w:rPr>
        <w:t xml:space="preserve"> </w:t>
      </w:r>
      <w:r>
        <w:rPr>
          <w:lang w:val="en-US"/>
        </w:rPr>
        <w:t>and Pay service.</w:t>
      </w:r>
      <w:r w:rsidR="0011055A">
        <w:rPr>
          <w:lang w:val="en-US"/>
        </w:rPr>
        <w:t xml:space="preserve">  </w:t>
      </w:r>
      <w:r>
        <w:rPr>
          <w:lang w:val="en-US"/>
        </w:rPr>
        <w:t>In addition, I have decided that unlike in Great Britain there will be no £20 application fee for Northern</w:t>
      </w:r>
      <w:r w:rsidR="0011055A">
        <w:rPr>
          <w:lang w:val="en-US"/>
        </w:rPr>
        <w:t xml:space="preserve"> </w:t>
      </w:r>
      <w:r>
        <w:rPr>
          <w:lang w:val="en-US"/>
        </w:rPr>
        <w:t xml:space="preserve">Ireland </w:t>
      </w:r>
      <w:r w:rsidR="0011055A">
        <w:rPr>
          <w:lang w:val="en-US"/>
        </w:rPr>
        <w:t xml:space="preserve">residents.  </w:t>
      </w:r>
      <w:r>
        <w:rPr>
          <w:lang w:val="en-US"/>
        </w:rPr>
        <w:t>This should ensure that the child maintenance statutory service remains accessible</w:t>
      </w:r>
      <w:r w:rsidR="0011055A">
        <w:rPr>
          <w:lang w:val="en-US"/>
        </w:rPr>
        <w:t xml:space="preserve"> </w:t>
      </w:r>
      <w:r>
        <w:rPr>
          <w:lang w:val="en-US"/>
        </w:rPr>
        <w:t>to those who need it.</w:t>
      </w:r>
      <w:r w:rsidR="0011055A">
        <w:rPr>
          <w:lang w:val="en-US"/>
        </w:rPr>
        <w:t xml:space="preserve">  </w:t>
      </w:r>
      <w:r>
        <w:rPr>
          <w:lang w:val="en-US"/>
        </w:rPr>
        <w:t>I must emphasise that there is no fee to pay if parents make their own family based arrangements or</w:t>
      </w:r>
      <w:r w:rsidR="0011055A">
        <w:rPr>
          <w:lang w:val="en-US"/>
        </w:rPr>
        <w:t xml:space="preserve"> </w:t>
      </w:r>
      <w:r>
        <w:rPr>
          <w:lang w:val="en-US"/>
        </w:rPr>
        <w:t>use the Child Maintenance Direct Pay Service.</w:t>
      </w:r>
      <w:r w:rsidR="0011055A">
        <w:rPr>
          <w:lang w:val="en-US"/>
        </w:rPr>
        <w:t xml:space="preserve"> </w:t>
      </w:r>
    </w:p>
    <w:p w:rsidR="0011055A" w:rsidRDefault="0011055A" w:rsidP="0011055A">
      <w:pPr>
        <w:pStyle w:val="NICCYBodyText"/>
        <w:rPr>
          <w:lang w:val="en-US"/>
        </w:rPr>
      </w:pPr>
    </w:p>
    <w:p w:rsidR="00EF602F" w:rsidRDefault="00142BB1" w:rsidP="0011055A">
      <w:pPr>
        <w:pStyle w:val="NICCYBodyText"/>
        <w:rPr>
          <w:lang w:val="en-US"/>
        </w:rPr>
      </w:pPr>
      <w:r>
        <w:rPr>
          <w:lang w:val="en-US"/>
        </w:rPr>
        <w:t>No further changes are planned to this policy and these reforms are likely to be introduced from the</w:t>
      </w:r>
      <w:r w:rsidR="0011055A">
        <w:rPr>
          <w:lang w:val="en-US"/>
        </w:rPr>
        <w:t xml:space="preserve"> </w:t>
      </w:r>
      <w:r>
        <w:rPr>
          <w:lang w:val="en-US"/>
        </w:rPr>
        <w:t>summer of this year, when the new scheme has been fully phased in and is working well.</w:t>
      </w:r>
    </w:p>
    <w:p w:rsidR="006E0F59" w:rsidRDefault="006E0F59" w:rsidP="006E0F59">
      <w:pPr>
        <w:autoSpaceDE w:val="0"/>
        <w:autoSpaceDN w:val="0"/>
        <w:adjustRightInd w:val="0"/>
        <w:rPr>
          <w:rFonts w:ascii="ITCFranklinGothicBook" w:eastAsiaTheme="minorEastAsia" w:hAnsi="ITCFranklinGothicBook" w:cs="ITCFranklinGothicBook"/>
          <w:color w:val="auto"/>
          <w:sz w:val="20"/>
          <w:szCs w:val="20"/>
          <w:lang w:val="en-US"/>
        </w:rPr>
      </w:pPr>
    </w:p>
    <w:p w:rsidR="00D97231" w:rsidRPr="006F3A42" w:rsidRDefault="00B4315F" w:rsidP="00883F0E">
      <w:pPr>
        <w:autoSpaceDE w:val="0"/>
        <w:autoSpaceDN w:val="0"/>
        <w:adjustRightInd w:val="0"/>
        <w:spacing w:line="288" w:lineRule="auto"/>
      </w:pPr>
      <w:hyperlink w:anchor="_top" w:history="1">
        <w:r w:rsidR="00883F0E" w:rsidRPr="00A92D13">
          <w:rPr>
            <w:rStyle w:val="Hyperlink"/>
          </w:rPr>
          <w:t>Back to Top</w:t>
        </w:r>
      </w:hyperlink>
    </w:p>
    <w:sectPr w:rsidR="00D97231" w:rsidRPr="006F3A42" w:rsidSect="002B54AF">
      <w:headerReference w:type="default" r:id="rId11"/>
      <w:footerReference w:type="even" r:id="rId12"/>
      <w:footerReference w:type="default" r:id="rId13"/>
      <w:pgSz w:w="11900" w:h="16840"/>
      <w:pgMar w:top="2835" w:right="1134" w:bottom="2041" w:left="1134" w:header="39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DE" w:rsidRDefault="005B1FDE" w:rsidP="00CC53D4">
      <w:r>
        <w:separator/>
      </w:r>
    </w:p>
  </w:endnote>
  <w:endnote w:type="continuationSeparator" w:id="0">
    <w:p w:rsidR="005B1FDE" w:rsidRDefault="005B1FDE" w:rsidP="00CC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FranklinGothic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Boo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16" w:rsidRDefault="00B4315F" w:rsidP="00CC53D4">
    <w:pPr>
      <w:pStyle w:val="Footer"/>
      <w:rPr>
        <w:rStyle w:val="PageNumber"/>
      </w:rPr>
    </w:pPr>
    <w:r>
      <w:rPr>
        <w:rStyle w:val="PageNumber"/>
      </w:rPr>
      <w:fldChar w:fldCharType="begin"/>
    </w:r>
    <w:r w:rsidR="00C34E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E16" w:rsidRDefault="00C34E16" w:rsidP="00CC53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16" w:rsidRPr="00D81956" w:rsidRDefault="00B4315F" w:rsidP="00CC53D4">
    <w:pPr>
      <w:pStyle w:val="Footer"/>
      <w:rPr>
        <w:rStyle w:val="PageNumber"/>
        <w:rFonts w:ascii="Arial" w:hAnsi="Arial" w:cs="Arial"/>
        <w:sz w:val="16"/>
        <w:szCs w:val="16"/>
      </w:rPr>
    </w:pPr>
    <w:r w:rsidRPr="00D81956">
      <w:rPr>
        <w:rStyle w:val="PageNumber"/>
        <w:rFonts w:ascii="Arial" w:hAnsi="Arial" w:cs="Arial"/>
        <w:sz w:val="16"/>
        <w:szCs w:val="16"/>
      </w:rPr>
      <w:fldChar w:fldCharType="begin"/>
    </w:r>
    <w:r w:rsidR="00C34E16" w:rsidRPr="00D81956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81956">
      <w:rPr>
        <w:rStyle w:val="PageNumber"/>
        <w:rFonts w:ascii="Arial" w:hAnsi="Arial" w:cs="Arial"/>
        <w:sz w:val="16"/>
        <w:szCs w:val="16"/>
      </w:rPr>
      <w:fldChar w:fldCharType="separate"/>
    </w:r>
    <w:r w:rsidR="00D51877">
      <w:rPr>
        <w:rStyle w:val="PageNumber"/>
        <w:rFonts w:ascii="Arial" w:hAnsi="Arial" w:cs="Arial"/>
        <w:noProof/>
        <w:sz w:val="16"/>
        <w:szCs w:val="16"/>
      </w:rPr>
      <w:t>1</w:t>
    </w:r>
    <w:r w:rsidRPr="00D81956">
      <w:rPr>
        <w:rStyle w:val="PageNumber"/>
        <w:rFonts w:ascii="Arial" w:hAnsi="Arial" w:cs="Arial"/>
        <w:sz w:val="16"/>
        <w:szCs w:val="16"/>
      </w:rPr>
      <w:fldChar w:fldCharType="end"/>
    </w:r>
  </w:p>
  <w:p w:rsidR="00C34E16" w:rsidRPr="00D81956" w:rsidRDefault="00C34E16" w:rsidP="00CC53D4">
    <w:pPr>
      <w:pStyle w:val="Footer"/>
    </w:pPr>
    <w:r>
      <w:t xml:space="preserve"> </w:t>
    </w:r>
    <w:r w:rsidR="00B4315F">
      <w:rPr>
        <w:noProof/>
      </w:rPr>
      <w:pict>
        <v:group id="Group 10" o:spid="_x0000_s2049" style="position:absolute;margin-left:-71.95pt;margin-top:-26.9pt;width:595.25pt;height:5.45pt;z-index:251663360;mso-position-horizontal-relative:text;mso-position-vertical-relative:text" coordsize="8548079,136769" wrapcoords="-27 0 -27 18514 21600 18514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">
          <v:rect id="Rectangle 11" o:spid="_x0000_s2050" style="position:absolute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GzUwgAA&#10;ANsAAAAPAAAAZHJzL2Rvd25yZXYueG1sRE9Ni8IwEL0v+B/CCF5EU7sgUo1iXRa8eNBdUW9DM7bF&#10;ZlKbqN1/bwRhb/N4nzNbtKYSd2pcaVnBaBiBIM6sLjlX8PvzPZiAcB5ZY2WZFPyRg8W88zHDRNsH&#10;b+m+87kIIewSVFB4XydSuqwgg25oa+LAnW1j0AfY5FI3+AjhppJxFI2lwZJDQ4E1rQrKLrubUbAf&#10;13a/PVSrTVp+pafPY9xPr7FSvW67nILw1Pp/8du91mH+CF6/hAP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IbNTCAAAA2wAAAA8AAAAAAAAAAAAAAAAAlwIAAGRycy9kb3du&#10;cmV2LnhtbFBLBQYAAAAABAAEAPUAAACGAwAAAAA=&#10;" fillcolor="#008aca" stroked="f">
            <v:textbox style="mso-next-textbox:#Rectangle 11">
              <w:txbxContent>
                <w:p w:rsidR="00C34E16" w:rsidRDefault="00C34E16" w:rsidP="00CC53D4"/>
              </w:txbxContent>
            </v:textbox>
          </v:rect>
          <v:rect id="Rectangle 12" o:spid="_x0000_s2051" style="position:absolute;left:1709616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+QpwQAA&#10;ANsAAAAPAAAAZHJzL2Rvd25yZXYueG1sRE/NisIwEL4L+w5hFvam6XpQqUYpLoLuRfx5gLEZ22Iz&#10;KU1qs/v0RhC8zcf3O4tVMLW4U+sqywq+RwkI4tzqigsF59NmOAPhPLLG2jIp+CMHq+XHYIGptj0f&#10;6H70hYgh7FJUUHrfpFK6vCSDbmQb4shdbWvQR9gWUrfYx3BTy3GSTKTBimNDiQ2tS8pvx84o2O3d&#10;f5dN+8tl+jPpfrss7HdVUOrrM2RzEJ6Cf4tf7q2O88fw/CU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J/kKcEAAADbAAAADwAAAAAAAAAAAAAAAACXAgAAZHJzL2Rvd25y&#10;ZXYueG1sUEsFBgAAAAAEAAQA9QAAAIUDAAAAAA==&#10;" fillcolor="#cc006a" stroked="f">
            <v:textbox style="mso-next-textbox:#Rectangle 12">
              <w:txbxContent>
                <w:p w:rsidR="00C34E16" w:rsidRDefault="00C34E16" w:rsidP="00CC53D4"/>
              </w:txbxContent>
            </v:textbox>
          </v:rect>
          <v:rect id="Rectangle 13" o:spid="_x0000_s2052" style="position:absolute;left:3419231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CoWDxQAA&#10;ANsAAAAPAAAAZHJzL2Rvd25yZXYueG1sRI9Ba8JAEIXvgv9hGcGL1E0VtKSuIrbBnixV8Txkp0kw&#10;O5vurib213cLgrcZ3vvevFmsOlOLKzlfWVbwPE5AEOdWV1woOB6ypxcQPiBrrC2Tght5WC37vQWm&#10;2rb8Rdd9KEQMYZ+igjKEJpXS5yUZ9GPbEEft2zqDIa6ukNphG8NNLSdJMpMGK44XSmxoU1J+3l9M&#10;rHHK/PvaFWE7+pnnu8/ZWzZqf5UaDrr1K4hAXXiY7/SHjtwU/n+JA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KhYPFAAAA2wAAAA8AAAAAAAAAAAAAAAAAlwIAAGRycy9k&#10;b3ducmV2LnhtbFBLBQYAAAAABAAEAPUAAACJAwAAAAA=&#10;" fillcolor="#de6021" stroked="f">
            <v:textbox style="mso-next-textbox:#Rectangle 13">
              <w:txbxContent>
                <w:p w:rsidR="00C34E16" w:rsidRDefault="00C34E16" w:rsidP="00CC53D4"/>
              </w:txbxContent>
            </v:textbox>
          </v:rect>
          <v:rect id="Rectangle 14" o:spid="_x0000_s2053" style="position:absolute;left:5128847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HdpIwgAA&#10;ANsAAAAPAAAAZHJzL2Rvd25yZXYueG1sRE9LawIxEL4X+h/CCL3VrFJEVqMsFmkPRfHV9jhsppvg&#10;ZrJuUl3/fVMQvM3H95zpvHO1OFMbrGcFg34Ggrj02nKlYL9bPo9BhIissfZMCq4UYD57fJhirv2F&#10;N3TexkqkEA45KjAxNrmUoTTkMPR9Q5y4H986jAm2ldQtXlK4q+Uwy0bSoeXUYLChhaHyuP11Cmhn&#10;v+rvw9quhifzpl8/ik/MCqWeel0xARGpi3fxzf2u0/wX+P8lHSB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d2kjCAAAA2wAAAA8AAAAAAAAAAAAAAAAAlwIAAGRycy9kb3du&#10;cmV2LnhtbFBLBQYAAAAABAAEAPUAAACGAwAAAAA=&#10;" fillcolor="#5cac34" stroked="f">
            <v:textbox style="mso-next-textbox:#Rectangle 14">
              <w:txbxContent>
                <w:p w:rsidR="00C34E16" w:rsidRDefault="00C34E16" w:rsidP="00CC53D4"/>
              </w:txbxContent>
            </v:textbox>
          </v:rect>
          <v:rect id="Rectangle 15" o:spid="_x0000_s2054" style="position:absolute;left:6838463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cM7vwAA&#10;ANsAAAAPAAAAZHJzL2Rvd25yZXYueG1sRE9Ni8IwEL0L/ocwgjdN3aJI17SIsOBFxKoHb0Mz23a3&#10;mZQmav33RhC8zeN9zirrTSNu1LnasoLZNAJBXFhdc6ngdPyZLEE4j6yxsUwKHuQgS4eDFSba3vlA&#10;t9yXIoSwS1BB5X2bSOmKigy6qW2JA/drO4M+wK6UusN7CDeN/IqihTRYc2iosKVNRcV/fjUK4rO5&#10;UHPd5SZ+LEt0+1iv/1ip8ahff4Pw1PuP+O3e6jB/Dq9fwgEyf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sJwzu/AAAA2wAAAA8AAAAAAAAAAAAAAAAAlwIAAGRycy9kb3ducmV2&#10;LnhtbFBLBQYAAAAABAAEAPUAAACDAwAAAAA=&#10;" fillcolor="#cd0920" stroked="f">
            <v:textbox style="mso-next-textbox:#Rectangle 15">
              <w:txbxContent>
                <w:p w:rsidR="00C34E16" w:rsidRDefault="00C34E16" w:rsidP="00CC53D4"/>
              </w:txbxContent>
            </v:textbox>
          </v:rect>
          <w10:wrap type="tigh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DE" w:rsidRDefault="005B1FDE" w:rsidP="00CC53D4">
      <w:r>
        <w:separator/>
      </w:r>
    </w:p>
  </w:footnote>
  <w:footnote w:type="continuationSeparator" w:id="0">
    <w:p w:rsidR="005B1FDE" w:rsidRDefault="005B1FDE" w:rsidP="00CC5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/>
    </w:tblPr>
    <w:tblGrid>
      <w:gridCol w:w="5027"/>
      <w:gridCol w:w="4855"/>
    </w:tblGrid>
    <w:tr w:rsidR="00C34E16" w:rsidTr="000D52AB">
      <w:tc>
        <w:tcPr>
          <w:tcW w:w="5027" w:type="dxa"/>
          <w:shd w:val="clear" w:color="auto" w:fill="auto"/>
        </w:tcPr>
        <w:p w:rsidR="00C34E16" w:rsidRDefault="00C34E16" w:rsidP="00CC53D4">
          <w:pPr>
            <w:pStyle w:val="CompanyName"/>
          </w:pPr>
        </w:p>
      </w:tc>
      <w:tc>
        <w:tcPr>
          <w:tcW w:w="4855" w:type="dxa"/>
          <w:shd w:val="clear" w:color="auto" w:fill="auto"/>
        </w:tcPr>
        <w:p w:rsidR="00C34E16" w:rsidRDefault="00C34E16" w:rsidP="00CC53D4">
          <w:pPr>
            <w:pStyle w:val="CompanyName"/>
          </w:pPr>
        </w:p>
      </w:tc>
    </w:tr>
  </w:tbl>
  <w:p w:rsidR="00C34E16" w:rsidRDefault="00C34E16" w:rsidP="00CC53D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4639945</wp:posOffset>
          </wp:positionH>
          <wp:positionV relativeFrom="paragraph">
            <wp:posOffset>190500</wp:posOffset>
          </wp:positionV>
          <wp:extent cx="1536700" cy="635000"/>
          <wp:effectExtent l="0" t="0" r="12700" b="0"/>
          <wp:wrapTight wrapText="bothSides">
            <wp:wrapPolygon edited="0">
              <wp:start x="0" y="0"/>
              <wp:lineTo x="0" y="20736"/>
              <wp:lineTo x="20350" y="20736"/>
              <wp:lineTo x="21421" y="12096"/>
              <wp:lineTo x="21421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E53"/>
    <w:multiLevelType w:val="hybridMultilevel"/>
    <w:tmpl w:val="4764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4853"/>
    <w:multiLevelType w:val="hybridMultilevel"/>
    <w:tmpl w:val="74B6EA14"/>
    <w:lvl w:ilvl="0" w:tplc="C0C49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1207"/>
    <w:multiLevelType w:val="hybridMultilevel"/>
    <w:tmpl w:val="A90497D2"/>
    <w:lvl w:ilvl="0" w:tplc="B148AD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78CF"/>
    <w:multiLevelType w:val="hybridMultilevel"/>
    <w:tmpl w:val="6BF4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66F2B"/>
    <w:multiLevelType w:val="hybridMultilevel"/>
    <w:tmpl w:val="DB5C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05AD"/>
    <w:multiLevelType w:val="hybridMultilevel"/>
    <w:tmpl w:val="9BE0468A"/>
    <w:lvl w:ilvl="0" w:tplc="ACC6AE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5B0D"/>
    <w:multiLevelType w:val="hybridMultilevel"/>
    <w:tmpl w:val="0568C250"/>
    <w:lvl w:ilvl="0" w:tplc="63448F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668A0"/>
    <w:multiLevelType w:val="hybridMultilevel"/>
    <w:tmpl w:val="3D30A800"/>
    <w:lvl w:ilvl="0" w:tplc="8468F2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16421"/>
    <w:multiLevelType w:val="hybridMultilevel"/>
    <w:tmpl w:val="3BBE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800E2"/>
    <w:multiLevelType w:val="hybridMultilevel"/>
    <w:tmpl w:val="FD7C3EAA"/>
    <w:lvl w:ilvl="0" w:tplc="892CBD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327E0"/>
    <w:multiLevelType w:val="hybridMultilevel"/>
    <w:tmpl w:val="E4947E6A"/>
    <w:lvl w:ilvl="0" w:tplc="5E9A9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7641B"/>
    <w:multiLevelType w:val="hybridMultilevel"/>
    <w:tmpl w:val="FE70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14802"/>
    <w:multiLevelType w:val="hybridMultilevel"/>
    <w:tmpl w:val="59A2189C"/>
    <w:lvl w:ilvl="0" w:tplc="63C880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0C10"/>
    <w:multiLevelType w:val="hybridMultilevel"/>
    <w:tmpl w:val="E0780A24"/>
    <w:lvl w:ilvl="0" w:tplc="CC78AB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473A4"/>
    <w:multiLevelType w:val="hybridMultilevel"/>
    <w:tmpl w:val="CE38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0360D"/>
    <w:multiLevelType w:val="hybridMultilevel"/>
    <w:tmpl w:val="FBDCCEC0"/>
    <w:lvl w:ilvl="0" w:tplc="2D66F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34ED7"/>
    <w:multiLevelType w:val="hybridMultilevel"/>
    <w:tmpl w:val="788E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5636E"/>
    <w:multiLevelType w:val="hybridMultilevel"/>
    <w:tmpl w:val="03761006"/>
    <w:lvl w:ilvl="0" w:tplc="6194D5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1777A"/>
    <w:multiLevelType w:val="hybridMultilevel"/>
    <w:tmpl w:val="FF6A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47755"/>
    <w:multiLevelType w:val="hybridMultilevel"/>
    <w:tmpl w:val="97A4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303AB"/>
    <w:multiLevelType w:val="hybridMultilevel"/>
    <w:tmpl w:val="C242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661CB"/>
    <w:multiLevelType w:val="hybridMultilevel"/>
    <w:tmpl w:val="5C84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9235F"/>
    <w:multiLevelType w:val="hybridMultilevel"/>
    <w:tmpl w:val="5CF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1564B"/>
    <w:multiLevelType w:val="hybridMultilevel"/>
    <w:tmpl w:val="92AECB44"/>
    <w:lvl w:ilvl="0" w:tplc="27706CC0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1D4159C"/>
    <w:multiLevelType w:val="hybridMultilevel"/>
    <w:tmpl w:val="3FCE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22"/>
  </w:num>
  <w:num w:numId="5">
    <w:abstractNumId w:val="17"/>
  </w:num>
  <w:num w:numId="6">
    <w:abstractNumId w:val="18"/>
  </w:num>
  <w:num w:numId="7">
    <w:abstractNumId w:val="12"/>
  </w:num>
  <w:num w:numId="8">
    <w:abstractNumId w:val="10"/>
  </w:num>
  <w:num w:numId="9">
    <w:abstractNumId w:val="8"/>
  </w:num>
  <w:num w:numId="10">
    <w:abstractNumId w:val="23"/>
  </w:num>
  <w:num w:numId="11">
    <w:abstractNumId w:val="14"/>
  </w:num>
  <w:num w:numId="12">
    <w:abstractNumId w:val="0"/>
  </w:num>
  <w:num w:numId="13">
    <w:abstractNumId w:val="2"/>
  </w:num>
  <w:num w:numId="14">
    <w:abstractNumId w:val="15"/>
  </w:num>
  <w:num w:numId="15">
    <w:abstractNumId w:val="19"/>
  </w:num>
  <w:num w:numId="16">
    <w:abstractNumId w:val="24"/>
  </w:num>
  <w:num w:numId="17">
    <w:abstractNumId w:val="4"/>
  </w:num>
  <w:num w:numId="18">
    <w:abstractNumId w:val="5"/>
  </w:num>
  <w:num w:numId="19">
    <w:abstractNumId w:val="1"/>
  </w:num>
  <w:num w:numId="20">
    <w:abstractNumId w:val="11"/>
  </w:num>
  <w:num w:numId="21">
    <w:abstractNumId w:val="16"/>
  </w:num>
  <w:num w:numId="22">
    <w:abstractNumId w:val="3"/>
  </w:num>
  <w:num w:numId="23">
    <w:abstractNumId w:val="7"/>
  </w:num>
  <w:num w:numId="24">
    <w:abstractNumId w:val="13"/>
  </w:num>
  <w:num w:numId="25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2B30"/>
    <w:rsid w:val="000211FE"/>
    <w:rsid w:val="000234A1"/>
    <w:rsid w:val="000444A3"/>
    <w:rsid w:val="00044D88"/>
    <w:rsid w:val="00045BD8"/>
    <w:rsid w:val="00055EA0"/>
    <w:rsid w:val="000566FA"/>
    <w:rsid w:val="00056CB0"/>
    <w:rsid w:val="000837F5"/>
    <w:rsid w:val="00093189"/>
    <w:rsid w:val="000A5C4F"/>
    <w:rsid w:val="000D174A"/>
    <w:rsid w:val="000D2AEB"/>
    <w:rsid w:val="000D52AB"/>
    <w:rsid w:val="000E3D86"/>
    <w:rsid w:val="000F1CDD"/>
    <w:rsid w:val="000F7DDE"/>
    <w:rsid w:val="0011055A"/>
    <w:rsid w:val="00110962"/>
    <w:rsid w:val="0011386A"/>
    <w:rsid w:val="00115282"/>
    <w:rsid w:val="00122DAF"/>
    <w:rsid w:val="001324EB"/>
    <w:rsid w:val="00133E56"/>
    <w:rsid w:val="00135AEE"/>
    <w:rsid w:val="00136B0B"/>
    <w:rsid w:val="00140FB5"/>
    <w:rsid w:val="00142718"/>
    <w:rsid w:val="00142BB1"/>
    <w:rsid w:val="00155105"/>
    <w:rsid w:val="00156DAF"/>
    <w:rsid w:val="00162F1C"/>
    <w:rsid w:val="0017007C"/>
    <w:rsid w:val="00177FC5"/>
    <w:rsid w:val="00190478"/>
    <w:rsid w:val="001911A0"/>
    <w:rsid w:val="001936E2"/>
    <w:rsid w:val="001A1C9C"/>
    <w:rsid w:val="001A2759"/>
    <w:rsid w:val="001D710B"/>
    <w:rsid w:val="001E0551"/>
    <w:rsid w:val="001E2FD9"/>
    <w:rsid w:val="001F008E"/>
    <w:rsid w:val="00222A16"/>
    <w:rsid w:val="002411E9"/>
    <w:rsid w:val="00245FC8"/>
    <w:rsid w:val="00252BCB"/>
    <w:rsid w:val="00253DF5"/>
    <w:rsid w:val="00257738"/>
    <w:rsid w:val="00266801"/>
    <w:rsid w:val="002721BD"/>
    <w:rsid w:val="002759C4"/>
    <w:rsid w:val="00280C3B"/>
    <w:rsid w:val="00283DC8"/>
    <w:rsid w:val="002A3F21"/>
    <w:rsid w:val="002B4C9F"/>
    <w:rsid w:val="002B54AF"/>
    <w:rsid w:val="002D4075"/>
    <w:rsid w:val="002D63CA"/>
    <w:rsid w:val="002E1D4A"/>
    <w:rsid w:val="002F37EE"/>
    <w:rsid w:val="00311BBE"/>
    <w:rsid w:val="00327C24"/>
    <w:rsid w:val="003313EA"/>
    <w:rsid w:val="00342A06"/>
    <w:rsid w:val="003505C8"/>
    <w:rsid w:val="00360609"/>
    <w:rsid w:val="00370212"/>
    <w:rsid w:val="00382E2D"/>
    <w:rsid w:val="00394F1A"/>
    <w:rsid w:val="003B0C0B"/>
    <w:rsid w:val="003B2D9B"/>
    <w:rsid w:val="003B34CD"/>
    <w:rsid w:val="003B38FB"/>
    <w:rsid w:val="003D01E3"/>
    <w:rsid w:val="003D29FE"/>
    <w:rsid w:val="003E0D0A"/>
    <w:rsid w:val="003E6232"/>
    <w:rsid w:val="003F38D5"/>
    <w:rsid w:val="003F5501"/>
    <w:rsid w:val="00410724"/>
    <w:rsid w:val="00431AA0"/>
    <w:rsid w:val="00432B30"/>
    <w:rsid w:val="00451456"/>
    <w:rsid w:val="00483941"/>
    <w:rsid w:val="00486653"/>
    <w:rsid w:val="00494024"/>
    <w:rsid w:val="00497AD4"/>
    <w:rsid w:val="004B7D02"/>
    <w:rsid w:val="004C026E"/>
    <w:rsid w:val="004E21FE"/>
    <w:rsid w:val="004E3955"/>
    <w:rsid w:val="004F54DD"/>
    <w:rsid w:val="004F785C"/>
    <w:rsid w:val="0050043B"/>
    <w:rsid w:val="00502CBF"/>
    <w:rsid w:val="00520D65"/>
    <w:rsid w:val="0052135F"/>
    <w:rsid w:val="00522437"/>
    <w:rsid w:val="005318DD"/>
    <w:rsid w:val="00534EB5"/>
    <w:rsid w:val="00542EC1"/>
    <w:rsid w:val="005525FB"/>
    <w:rsid w:val="00560EC9"/>
    <w:rsid w:val="00585AA5"/>
    <w:rsid w:val="00594766"/>
    <w:rsid w:val="00596D71"/>
    <w:rsid w:val="005B1107"/>
    <w:rsid w:val="005B1FDE"/>
    <w:rsid w:val="005B6EA5"/>
    <w:rsid w:val="005C465F"/>
    <w:rsid w:val="005C4D0D"/>
    <w:rsid w:val="005D2D33"/>
    <w:rsid w:val="005F4C21"/>
    <w:rsid w:val="006013F5"/>
    <w:rsid w:val="006127FB"/>
    <w:rsid w:val="006240F5"/>
    <w:rsid w:val="0062524B"/>
    <w:rsid w:val="006373CF"/>
    <w:rsid w:val="00655558"/>
    <w:rsid w:val="006608EA"/>
    <w:rsid w:val="006754C4"/>
    <w:rsid w:val="00676A55"/>
    <w:rsid w:val="00694F6B"/>
    <w:rsid w:val="006A5470"/>
    <w:rsid w:val="006B22BB"/>
    <w:rsid w:val="006B33DC"/>
    <w:rsid w:val="006B7F4A"/>
    <w:rsid w:val="006C3DFB"/>
    <w:rsid w:val="006D395F"/>
    <w:rsid w:val="006E0F59"/>
    <w:rsid w:val="006E5A88"/>
    <w:rsid w:val="006E6E52"/>
    <w:rsid w:val="006F3562"/>
    <w:rsid w:val="006F3A42"/>
    <w:rsid w:val="006F3F8A"/>
    <w:rsid w:val="006F5620"/>
    <w:rsid w:val="006F77CB"/>
    <w:rsid w:val="0070315A"/>
    <w:rsid w:val="007035A8"/>
    <w:rsid w:val="00705080"/>
    <w:rsid w:val="0070635F"/>
    <w:rsid w:val="0070725E"/>
    <w:rsid w:val="00712D51"/>
    <w:rsid w:val="00727D62"/>
    <w:rsid w:val="007401AD"/>
    <w:rsid w:val="00751ADC"/>
    <w:rsid w:val="0076185E"/>
    <w:rsid w:val="00764644"/>
    <w:rsid w:val="00773FE9"/>
    <w:rsid w:val="00786AF4"/>
    <w:rsid w:val="007902A6"/>
    <w:rsid w:val="007910C9"/>
    <w:rsid w:val="007915E7"/>
    <w:rsid w:val="007A5E2D"/>
    <w:rsid w:val="007B6113"/>
    <w:rsid w:val="007C0AD5"/>
    <w:rsid w:val="007C339F"/>
    <w:rsid w:val="007D1642"/>
    <w:rsid w:val="007F70D3"/>
    <w:rsid w:val="00800D3F"/>
    <w:rsid w:val="008131FD"/>
    <w:rsid w:val="00815822"/>
    <w:rsid w:val="00815A2F"/>
    <w:rsid w:val="00831BDB"/>
    <w:rsid w:val="0084311A"/>
    <w:rsid w:val="008654D4"/>
    <w:rsid w:val="00873EBD"/>
    <w:rsid w:val="00874602"/>
    <w:rsid w:val="008822D4"/>
    <w:rsid w:val="00883F0E"/>
    <w:rsid w:val="008860ED"/>
    <w:rsid w:val="00894865"/>
    <w:rsid w:val="008A31A5"/>
    <w:rsid w:val="008A32FE"/>
    <w:rsid w:val="008A6859"/>
    <w:rsid w:val="008B4F31"/>
    <w:rsid w:val="008D5DE4"/>
    <w:rsid w:val="008E3945"/>
    <w:rsid w:val="008F3863"/>
    <w:rsid w:val="008F7CA7"/>
    <w:rsid w:val="00902C18"/>
    <w:rsid w:val="009108C4"/>
    <w:rsid w:val="0091265E"/>
    <w:rsid w:val="009472F8"/>
    <w:rsid w:val="009513FD"/>
    <w:rsid w:val="00951984"/>
    <w:rsid w:val="00955B1B"/>
    <w:rsid w:val="009602F0"/>
    <w:rsid w:val="009675A2"/>
    <w:rsid w:val="00971DFA"/>
    <w:rsid w:val="00974E5A"/>
    <w:rsid w:val="00997DF0"/>
    <w:rsid w:val="009A5DED"/>
    <w:rsid w:val="009A721A"/>
    <w:rsid w:val="009B7234"/>
    <w:rsid w:val="009C59C9"/>
    <w:rsid w:val="009D0054"/>
    <w:rsid w:val="009D45AC"/>
    <w:rsid w:val="009D7DCD"/>
    <w:rsid w:val="009E4733"/>
    <w:rsid w:val="009E54FC"/>
    <w:rsid w:val="009E6D40"/>
    <w:rsid w:val="00A03AF5"/>
    <w:rsid w:val="00A17E57"/>
    <w:rsid w:val="00A206DA"/>
    <w:rsid w:val="00A361B1"/>
    <w:rsid w:val="00A468ED"/>
    <w:rsid w:val="00A57C15"/>
    <w:rsid w:val="00A66FCA"/>
    <w:rsid w:val="00A721B1"/>
    <w:rsid w:val="00A80E8D"/>
    <w:rsid w:val="00A870AC"/>
    <w:rsid w:val="00A92D13"/>
    <w:rsid w:val="00A971BA"/>
    <w:rsid w:val="00AA2943"/>
    <w:rsid w:val="00AA760B"/>
    <w:rsid w:val="00AB1E8E"/>
    <w:rsid w:val="00AC7EF9"/>
    <w:rsid w:val="00AD6E4D"/>
    <w:rsid w:val="00AF1137"/>
    <w:rsid w:val="00B04461"/>
    <w:rsid w:val="00B23B32"/>
    <w:rsid w:val="00B356B1"/>
    <w:rsid w:val="00B41B46"/>
    <w:rsid w:val="00B4315F"/>
    <w:rsid w:val="00B51076"/>
    <w:rsid w:val="00B5127A"/>
    <w:rsid w:val="00B5656D"/>
    <w:rsid w:val="00B5740E"/>
    <w:rsid w:val="00B63A85"/>
    <w:rsid w:val="00B906EB"/>
    <w:rsid w:val="00BA2319"/>
    <w:rsid w:val="00BA52E3"/>
    <w:rsid w:val="00BA6CBA"/>
    <w:rsid w:val="00BB3142"/>
    <w:rsid w:val="00BB603F"/>
    <w:rsid w:val="00BD589F"/>
    <w:rsid w:val="00BE13B4"/>
    <w:rsid w:val="00BE4944"/>
    <w:rsid w:val="00C0081D"/>
    <w:rsid w:val="00C06BD6"/>
    <w:rsid w:val="00C24F32"/>
    <w:rsid w:val="00C31FED"/>
    <w:rsid w:val="00C34E16"/>
    <w:rsid w:val="00C67A2B"/>
    <w:rsid w:val="00C749C1"/>
    <w:rsid w:val="00C74ADB"/>
    <w:rsid w:val="00CA1F41"/>
    <w:rsid w:val="00CA27CA"/>
    <w:rsid w:val="00CB2B12"/>
    <w:rsid w:val="00CB7801"/>
    <w:rsid w:val="00CC2DCC"/>
    <w:rsid w:val="00CC488F"/>
    <w:rsid w:val="00CC53D4"/>
    <w:rsid w:val="00CC7A32"/>
    <w:rsid w:val="00CE176D"/>
    <w:rsid w:val="00CE29B6"/>
    <w:rsid w:val="00CF0D19"/>
    <w:rsid w:val="00CF5821"/>
    <w:rsid w:val="00CF702F"/>
    <w:rsid w:val="00D01C7F"/>
    <w:rsid w:val="00D13D8B"/>
    <w:rsid w:val="00D13EA0"/>
    <w:rsid w:val="00D26C7C"/>
    <w:rsid w:val="00D366DD"/>
    <w:rsid w:val="00D51877"/>
    <w:rsid w:val="00D64233"/>
    <w:rsid w:val="00D65745"/>
    <w:rsid w:val="00D72A9F"/>
    <w:rsid w:val="00D81956"/>
    <w:rsid w:val="00D83956"/>
    <w:rsid w:val="00D94E0A"/>
    <w:rsid w:val="00D97231"/>
    <w:rsid w:val="00DA03B1"/>
    <w:rsid w:val="00DB2477"/>
    <w:rsid w:val="00DB56DD"/>
    <w:rsid w:val="00DB7E5C"/>
    <w:rsid w:val="00DC2FE2"/>
    <w:rsid w:val="00DC417B"/>
    <w:rsid w:val="00DD4FEF"/>
    <w:rsid w:val="00DD689D"/>
    <w:rsid w:val="00DE5264"/>
    <w:rsid w:val="00E03CDC"/>
    <w:rsid w:val="00E12DB7"/>
    <w:rsid w:val="00E16583"/>
    <w:rsid w:val="00E347A1"/>
    <w:rsid w:val="00E41050"/>
    <w:rsid w:val="00E44493"/>
    <w:rsid w:val="00E5734F"/>
    <w:rsid w:val="00E62C60"/>
    <w:rsid w:val="00E65508"/>
    <w:rsid w:val="00E84CEC"/>
    <w:rsid w:val="00E85371"/>
    <w:rsid w:val="00E86E0A"/>
    <w:rsid w:val="00EA55B7"/>
    <w:rsid w:val="00EA62B6"/>
    <w:rsid w:val="00EB0A62"/>
    <w:rsid w:val="00EB7847"/>
    <w:rsid w:val="00ED3594"/>
    <w:rsid w:val="00EE20AD"/>
    <w:rsid w:val="00EE39A4"/>
    <w:rsid w:val="00EE5BCF"/>
    <w:rsid w:val="00EE7908"/>
    <w:rsid w:val="00EF5E54"/>
    <w:rsid w:val="00EF602F"/>
    <w:rsid w:val="00EF62E7"/>
    <w:rsid w:val="00F231CF"/>
    <w:rsid w:val="00F255DF"/>
    <w:rsid w:val="00F2595C"/>
    <w:rsid w:val="00F334D8"/>
    <w:rsid w:val="00F3674D"/>
    <w:rsid w:val="00F6320A"/>
    <w:rsid w:val="00F90386"/>
    <w:rsid w:val="00FB1413"/>
    <w:rsid w:val="00FC3476"/>
    <w:rsid w:val="00FC4D5E"/>
    <w:rsid w:val="00FD0556"/>
    <w:rsid w:val="00FE2FBC"/>
    <w:rsid w:val="00FE7E6C"/>
    <w:rsid w:val="00FF0277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Message Header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ritten Assembly Answers body"/>
    <w:qFormat/>
    <w:rsid w:val="00CC53D4"/>
    <w:rPr>
      <w:rFonts w:ascii="Arial" w:eastAsia="Times New Roman" w:hAnsi="Arial" w:cs="Arial"/>
      <w:color w:val="262626" w:themeColor="text1" w:themeTint="D9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A06"/>
    <w:pPr>
      <w:keepNext/>
      <w:keepLines/>
      <w:spacing w:before="200"/>
      <w:outlineLvl w:val="1"/>
    </w:pPr>
    <w:rPr>
      <w:rFonts w:eastAsiaTheme="majorEastAsia" w:cstheme="majorBidi"/>
      <w:b/>
      <w:bCs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C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C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42A06"/>
    <w:rPr>
      <w:rFonts w:ascii="Arial" w:eastAsiaTheme="majorEastAsia" w:hAnsi="Arial" w:cstheme="majorBidi"/>
      <w:b/>
      <w:bCs/>
      <w:color w:val="00B0F0"/>
      <w:sz w:val="28"/>
      <w:szCs w:val="26"/>
      <w:lang w:val="en-GB"/>
    </w:rPr>
  </w:style>
  <w:style w:type="paragraph" w:styleId="NoSpacing">
    <w:name w:val="No Spacing"/>
    <w:aliases w:val="Written Answers Heading"/>
    <w:next w:val="Heading2"/>
    <w:uiPriority w:val="1"/>
    <w:qFormat/>
    <w:rsid w:val="00CC53D4"/>
    <w:rPr>
      <w:rFonts w:ascii="Arial" w:eastAsia="Times New Roman" w:hAnsi="Arial" w:cs="Arial"/>
      <w:b/>
      <w:color w:val="008ACA"/>
      <w:lang w:val="en-GB"/>
    </w:rPr>
  </w:style>
  <w:style w:type="character" w:styleId="Hyperlink">
    <w:name w:val="Hyperlink"/>
    <w:basedOn w:val="DefaultParagraphFont"/>
    <w:uiPriority w:val="99"/>
    <w:rsid w:val="00245F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FC8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5127A"/>
  </w:style>
  <w:style w:type="paragraph" w:styleId="ListParagraph">
    <w:name w:val="List Paragraph"/>
    <w:basedOn w:val="Normal"/>
    <w:uiPriority w:val="34"/>
    <w:rsid w:val="007B61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54D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NICCYBodyText">
    <w:name w:val="NICCY Body Text"/>
    <w:basedOn w:val="BasicParagraph"/>
    <w:link w:val="NICCYBodyTextChar"/>
    <w:qFormat/>
    <w:rsid w:val="00BE13B4"/>
    <w:rPr>
      <w:rFonts w:ascii="Arial" w:hAnsi="Arial" w:cs="Arial"/>
      <w:color w:val="414042"/>
    </w:rPr>
  </w:style>
  <w:style w:type="character" w:customStyle="1" w:styleId="NICCYBodyTextChar">
    <w:name w:val="NICCY Body Text Char"/>
    <w:basedOn w:val="DefaultParagraphFont"/>
    <w:link w:val="NICCYBodyText"/>
    <w:rsid w:val="00BE13B4"/>
    <w:rPr>
      <w:rFonts w:ascii="Arial" w:hAnsi="Arial" w:cs="Arial"/>
      <w:color w:val="41404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F1CD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F1CDD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rFonts w:ascii="Arial" w:hAnsi="Arial"/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rFonts w:ascii="Arial" w:hAnsi="Arial"/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3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7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8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9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5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50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0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04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8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8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70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5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58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0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90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84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85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6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92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08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0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98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4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84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23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12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07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08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0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719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6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121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75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77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762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50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06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52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27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83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89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6097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361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01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290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25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541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9937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87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809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482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949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375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7969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01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347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2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3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3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9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0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67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83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64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36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42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33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2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46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82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26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31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81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43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06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33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49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49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4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60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3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82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66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2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02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22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07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3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99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50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9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05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07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93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44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64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08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68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29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05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04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7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26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98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01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57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52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08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54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0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6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43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05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1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4165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6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454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416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882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284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26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3110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58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132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6682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7310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60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7580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19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817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712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5891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363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410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630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231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531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3873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980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289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510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19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447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952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051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1145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2170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6623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124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7314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6394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859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0669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7265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1431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492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116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84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5697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8583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35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9806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1874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9468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4140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46079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77418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8800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067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9710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0810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0499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03898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541189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2759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90299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79238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0609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7402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55397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7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3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50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77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76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4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4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06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8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75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83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78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4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45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04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04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69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16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i.gov.uk/summary_of_key_proposals_july_201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6EB8C-DB2D-4EAD-A77D-A779562B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29578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Scott</dc:creator>
  <cp:lastModifiedBy>Joanne.Allen</cp:lastModifiedBy>
  <cp:revision>2</cp:revision>
  <cp:lastPrinted>2013-09-30T10:53:00Z</cp:lastPrinted>
  <dcterms:created xsi:type="dcterms:W3CDTF">2014-03-10T16:13:00Z</dcterms:created>
  <dcterms:modified xsi:type="dcterms:W3CDTF">2014-03-10T16:13:00Z</dcterms:modified>
</cp:coreProperties>
</file>