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5A" w:rsidRPr="000E415A" w:rsidRDefault="000E415A" w:rsidP="000E415A">
      <w:pPr>
        <w:pStyle w:val="Heading2"/>
        <w:jc w:val="center"/>
      </w:pPr>
      <w:r w:rsidRPr="000E415A">
        <w:t>NICCY Summary: NI Assembly Written Answers for Week Ending 4</w:t>
      </w:r>
      <w:r w:rsidRPr="000E415A">
        <w:rPr>
          <w:vertAlign w:val="superscript"/>
        </w:rPr>
        <w:t>th</w:t>
      </w:r>
      <w:r w:rsidRPr="000E415A">
        <w:t xml:space="preserve"> April 2014</w:t>
      </w:r>
    </w:p>
    <w:p w:rsidR="000E415A" w:rsidRDefault="000E415A" w:rsidP="000E415A">
      <w:pPr>
        <w:pStyle w:val="NICCYBodyText"/>
      </w:pPr>
    </w:p>
    <w:p w:rsidR="000E415A" w:rsidRDefault="000E415A" w:rsidP="000E415A">
      <w:pPr>
        <w:pStyle w:val="NICCYBodyText"/>
      </w:pPr>
    </w:p>
    <w:p w:rsidR="000E415A" w:rsidRDefault="000E415A" w:rsidP="000E415A">
      <w:pPr>
        <w:pStyle w:val="Heading2"/>
        <w:numPr>
          <w:ilvl w:val="0"/>
          <w:numId w:val="13"/>
        </w:numPr>
      </w:pPr>
      <w:hyperlink w:anchor="_Play_and_Leisure" w:history="1">
        <w:r w:rsidRPr="000E415A">
          <w:t>Play and Leisure</w:t>
        </w:r>
        <w:r w:rsidRPr="000E415A">
          <w:t xml:space="preserve"> </w:t>
        </w:r>
        <w:r w:rsidRPr="000E415A">
          <w:t>P</w:t>
        </w:r>
        <w:r w:rsidRPr="000E415A">
          <w:t>o</w:t>
        </w:r>
        <w:r w:rsidRPr="000E415A">
          <w:t>licy</w:t>
        </w:r>
      </w:hyperlink>
    </w:p>
    <w:p w:rsidR="000E415A" w:rsidRDefault="000E415A" w:rsidP="000E415A">
      <w:pPr>
        <w:rPr>
          <w:rFonts w:eastAsiaTheme="minorEastAsia"/>
        </w:rPr>
      </w:pPr>
    </w:p>
    <w:p w:rsidR="000E415A" w:rsidRDefault="000E415A" w:rsidP="000E415A">
      <w:pPr>
        <w:pStyle w:val="Heading2"/>
        <w:numPr>
          <w:ilvl w:val="0"/>
          <w:numId w:val="13"/>
        </w:numPr>
      </w:pPr>
      <w:hyperlink w:anchor="_Schools_and_Youth" w:history="1">
        <w:r w:rsidRPr="000E415A">
          <w:t>Schools and Youth Serv</w:t>
        </w:r>
        <w:r w:rsidRPr="000E415A">
          <w:t>i</w:t>
        </w:r>
        <w:r w:rsidRPr="000E415A">
          <w:t xml:space="preserve">ces: </w:t>
        </w:r>
        <w:r w:rsidRPr="000E415A">
          <w:t>I</w:t>
        </w:r>
        <w:r w:rsidRPr="000E415A">
          <w:t>nvestment</w:t>
        </w:r>
      </w:hyperlink>
    </w:p>
    <w:p w:rsidR="003A1BB8" w:rsidRDefault="003A1BB8" w:rsidP="003A1BB8"/>
    <w:p w:rsidR="003A1BB8" w:rsidRDefault="003A1BB8" w:rsidP="003A1BB8">
      <w:pPr>
        <w:pStyle w:val="Heading2"/>
        <w:numPr>
          <w:ilvl w:val="0"/>
          <w:numId w:val="13"/>
        </w:numPr>
      </w:pPr>
      <w:hyperlink w:anchor="_Youth_Training_Review" w:history="1">
        <w:r w:rsidRPr="003A1BB8">
          <w:t>Youth Tra</w:t>
        </w:r>
        <w:r w:rsidRPr="003A1BB8">
          <w:t>i</w:t>
        </w:r>
        <w:r w:rsidRPr="003A1BB8">
          <w:t>ning</w:t>
        </w:r>
        <w:r w:rsidRPr="003A1BB8">
          <w:t xml:space="preserve"> </w:t>
        </w:r>
        <w:r w:rsidRPr="003A1BB8">
          <w:t>Review</w:t>
        </w:r>
      </w:hyperlink>
    </w:p>
    <w:p w:rsidR="003A1BB8" w:rsidRDefault="003A1BB8" w:rsidP="003A1BB8">
      <w:pPr>
        <w:rPr>
          <w:rFonts w:eastAsiaTheme="minorEastAsia"/>
        </w:rPr>
      </w:pPr>
    </w:p>
    <w:p w:rsidR="003A1BB8" w:rsidRDefault="003A1BB8" w:rsidP="003A1BB8">
      <w:pPr>
        <w:pStyle w:val="Heading2"/>
        <w:numPr>
          <w:ilvl w:val="0"/>
          <w:numId w:val="13"/>
        </w:numPr>
      </w:pPr>
      <w:hyperlink w:anchor="_Obesity_Levels_among" w:history="1">
        <w:r w:rsidRPr="003A1BB8">
          <w:t>Obesity Levels amo</w:t>
        </w:r>
        <w:r w:rsidRPr="003A1BB8">
          <w:t>n</w:t>
        </w:r>
        <w:r w:rsidRPr="003A1BB8">
          <w:t>g</w:t>
        </w:r>
        <w:r w:rsidRPr="003A1BB8">
          <w:t xml:space="preserve"> </w:t>
        </w:r>
        <w:r w:rsidRPr="003A1BB8">
          <w:t>Young People</w:t>
        </w:r>
      </w:hyperlink>
    </w:p>
    <w:p w:rsidR="003A1BB8" w:rsidRDefault="003A1BB8" w:rsidP="003A1BB8">
      <w:pPr>
        <w:rPr>
          <w:rFonts w:eastAsiaTheme="minorEastAsia"/>
        </w:rPr>
      </w:pPr>
    </w:p>
    <w:p w:rsidR="003A1BB8" w:rsidRDefault="003A1BB8" w:rsidP="003A1BB8">
      <w:pPr>
        <w:pStyle w:val="Heading2"/>
        <w:numPr>
          <w:ilvl w:val="0"/>
          <w:numId w:val="13"/>
        </w:numPr>
      </w:pPr>
      <w:hyperlink w:anchor="_Reductions_in_Legal" w:history="1">
        <w:r w:rsidRPr="003A1BB8">
          <w:t>Reductio</w:t>
        </w:r>
        <w:r w:rsidRPr="003A1BB8">
          <w:t>n</w:t>
        </w:r>
        <w:r w:rsidRPr="003A1BB8">
          <w:t>s</w:t>
        </w:r>
        <w:r w:rsidRPr="003A1BB8">
          <w:t xml:space="preserve"> </w:t>
        </w:r>
        <w:r w:rsidRPr="003A1BB8">
          <w:t>in Legal Aid B</w:t>
        </w:r>
        <w:r w:rsidRPr="003A1BB8">
          <w:t>u</w:t>
        </w:r>
        <w:r w:rsidRPr="003A1BB8">
          <w:t>dgets</w:t>
        </w:r>
      </w:hyperlink>
    </w:p>
    <w:p w:rsidR="003A1BB8" w:rsidRDefault="003A1BB8" w:rsidP="003A1BB8">
      <w:pPr>
        <w:rPr>
          <w:rFonts w:eastAsiaTheme="minorEastAsia"/>
        </w:rPr>
      </w:pPr>
    </w:p>
    <w:p w:rsidR="003A1BB8" w:rsidRDefault="003A1BB8" w:rsidP="003A1BB8">
      <w:pPr>
        <w:pStyle w:val="Heading2"/>
        <w:numPr>
          <w:ilvl w:val="0"/>
          <w:numId w:val="13"/>
        </w:numPr>
      </w:pPr>
      <w:hyperlink w:anchor="_Hydebank_Wood_Young" w:history="1">
        <w:r w:rsidRPr="003A1BB8">
          <w:t>Hydebank</w:t>
        </w:r>
        <w:r w:rsidRPr="003A1BB8">
          <w:t xml:space="preserve"> </w:t>
        </w:r>
        <w:r w:rsidRPr="003A1BB8">
          <w:t>Wood Young</w:t>
        </w:r>
        <w:r w:rsidRPr="003A1BB8">
          <w:t xml:space="preserve"> </w:t>
        </w:r>
        <w:r w:rsidRPr="003A1BB8">
          <w:t>Offenders Centre: Visit</w:t>
        </w:r>
      </w:hyperlink>
    </w:p>
    <w:p w:rsidR="00F81B86" w:rsidRDefault="00F81B86" w:rsidP="00F81B86"/>
    <w:p w:rsidR="00F81B86" w:rsidRDefault="00F81B86" w:rsidP="00F81B86">
      <w:pPr>
        <w:pStyle w:val="Heading2"/>
        <w:numPr>
          <w:ilvl w:val="0"/>
          <w:numId w:val="13"/>
        </w:numPr>
      </w:pPr>
      <w:hyperlink w:anchor="_Age_Limit_for" w:history="1">
        <w:r w:rsidRPr="00F81B86">
          <w:t>Age Limit fo</w:t>
        </w:r>
        <w:r w:rsidRPr="00F81B86">
          <w:t>r</w:t>
        </w:r>
        <w:r w:rsidRPr="00F81B86">
          <w:t xml:space="preserve"> </w:t>
        </w:r>
        <w:r w:rsidRPr="00F81B86">
          <w:t>the Use of Firearms</w:t>
        </w:r>
      </w:hyperlink>
    </w:p>
    <w:p w:rsidR="00F81B86" w:rsidRDefault="00F81B86" w:rsidP="00F81B86">
      <w:pPr>
        <w:rPr>
          <w:rFonts w:eastAsiaTheme="minorEastAsia"/>
        </w:rPr>
      </w:pPr>
    </w:p>
    <w:p w:rsidR="00F81B86" w:rsidRPr="00F81B86" w:rsidRDefault="00F81B86" w:rsidP="00F81B86">
      <w:pPr>
        <w:pStyle w:val="Heading2"/>
        <w:numPr>
          <w:ilvl w:val="0"/>
          <w:numId w:val="13"/>
        </w:numPr>
      </w:pPr>
      <w:hyperlink w:anchor="_Fuel_Poverty" w:history="1">
        <w:r w:rsidRPr="00F81B86">
          <w:t>Fuel P</w:t>
        </w:r>
        <w:r w:rsidRPr="00F81B86">
          <w:t>o</w:t>
        </w:r>
        <w:r w:rsidRPr="00F81B86">
          <w:t>verty</w:t>
        </w:r>
      </w:hyperlink>
    </w:p>
    <w:p w:rsidR="00F81B86" w:rsidRPr="00F81B86" w:rsidRDefault="00F81B86" w:rsidP="00F81B86">
      <w:pPr>
        <w:rPr>
          <w:rFonts w:eastAsiaTheme="minorEastAsia"/>
        </w:rPr>
      </w:pPr>
    </w:p>
    <w:p w:rsidR="00F81B86" w:rsidRPr="00F81B86" w:rsidRDefault="00F81B86" w:rsidP="00F81B86"/>
    <w:p w:rsidR="003A1BB8" w:rsidRPr="003A1BB8" w:rsidRDefault="003A1BB8" w:rsidP="003A1BB8">
      <w:pPr>
        <w:rPr>
          <w:rFonts w:eastAsiaTheme="minorEastAsia"/>
        </w:rPr>
      </w:pPr>
    </w:p>
    <w:p w:rsidR="003A1BB8" w:rsidRPr="003A1BB8" w:rsidRDefault="003A1BB8" w:rsidP="003A1BB8">
      <w:pPr>
        <w:rPr>
          <w:rFonts w:eastAsiaTheme="minorEastAsia"/>
        </w:rPr>
      </w:pPr>
    </w:p>
    <w:p w:rsidR="003A1BB8" w:rsidRPr="003A1BB8" w:rsidRDefault="003A1BB8" w:rsidP="003A1BB8">
      <w:pPr>
        <w:rPr>
          <w:rFonts w:eastAsiaTheme="minorEastAsia"/>
        </w:rPr>
      </w:pPr>
    </w:p>
    <w:p w:rsidR="003A1BB8" w:rsidRPr="003A1BB8" w:rsidRDefault="003A1BB8" w:rsidP="003A1BB8"/>
    <w:p w:rsidR="000E415A" w:rsidRPr="000E415A" w:rsidRDefault="000E415A" w:rsidP="000E415A">
      <w:pPr>
        <w:rPr>
          <w:rFonts w:eastAsiaTheme="minorEastAsia"/>
        </w:rPr>
      </w:pPr>
    </w:p>
    <w:p w:rsidR="000E415A" w:rsidRDefault="000E415A" w:rsidP="000E415A">
      <w:pPr>
        <w:pStyle w:val="NICCYBodyText"/>
      </w:pPr>
    </w:p>
    <w:p w:rsidR="000E415A" w:rsidRDefault="000E415A" w:rsidP="000E415A">
      <w:pPr>
        <w:pStyle w:val="NICCYBodyText"/>
      </w:pPr>
    </w:p>
    <w:p w:rsidR="000E415A" w:rsidRDefault="000E415A" w:rsidP="000E415A">
      <w:pPr>
        <w:pStyle w:val="NICCYBodyText"/>
      </w:pPr>
    </w:p>
    <w:p w:rsidR="000E415A" w:rsidRDefault="000E415A" w:rsidP="000E415A">
      <w:pPr>
        <w:pStyle w:val="NICCYBodyText"/>
      </w:pPr>
    </w:p>
    <w:p w:rsidR="000E415A" w:rsidRDefault="000E415A" w:rsidP="000E415A">
      <w:pPr>
        <w:pStyle w:val="NICCYBodyText"/>
      </w:pPr>
    </w:p>
    <w:p w:rsidR="000E415A" w:rsidRDefault="000E415A" w:rsidP="000E415A">
      <w:pPr>
        <w:pStyle w:val="Heading2"/>
        <w:rPr>
          <w:rFonts w:eastAsiaTheme="minorEastAsia"/>
          <w:lang w:val="en-US"/>
        </w:rPr>
      </w:pPr>
      <w:bookmarkStart w:id="0" w:name="_Play_and_Leisure"/>
      <w:bookmarkEnd w:id="0"/>
      <w:r>
        <w:rPr>
          <w:rFonts w:eastAsiaTheme="minorEastAsia"/>
          <w:lang w:val="en-US"/>
        </w:rPr>
        <w:lastRenderedPageBreak/>
        <w:t>Play and Leisure Policy</w:t>
      </w:r>
    </w:p>
    <w:p w:rsidR="000E415A" w:rsidRPr="000E415A" w:rsidRDefault="000E415A" w:rsidP="000E415A">
      <w:pPr>
        <w:pStyle w:val="NICCYBodyText"/>
      </w:pPr>
      <w:r w:rsidRPr="000E415A">
        <w:t>Mr Sheehan asked the First Minister and deputy First Minister for an update on the Play and Leisure Policy.</w:t>
      </w:r>
    </w:p>
    <w:p w:rsidR="000E415A" w:rsidRPr="000E415A" w:rsidRDefault="000E415A" w:rsidP="000E415A">
      <w:pPr>
        <w:pStyle w:val="NICCYBodyText"/>
      </w:pPr>
      <w:r w:rsidRPr="000E415A">
        <w:t>(AQO 5827/11-15)</w:t>
      </w:r>
    </w:p>
    <w:p w:rsidR="000E415A" w:rsidRDefault="000E415A" w:rsidP="000E415A">
      <w:pPr>
        <w:pStyle w:val="NICCYBodyText"/>
        <w:rPr>
          <w:rFonts w:ascii="ITCFranklinGothicDemi" w:hAnsi="ITCFranklinGothicDemi" w:cs="ITCFranklinGothicDemi"/>
          <w:lang w:val="en-US"/>
        </w:rPr>
      </w:pPr>
    </w:p>
    <w:p w:rsidR="000E415A" w:rsidRPr="000E415A" w:rsidRDefault="000E415A" w:rsidP="000E415A">
      <w:pPr>
        <w:pStyle w:val="NICCYBodyText"/>
      </w:pPr>
      <w:proofErr w:type="spellStart"/>
      <w:r w:rsidRPr="000E415A">
        <w:rPr>
          <w:rFonts w:ascii="ITCFranklinGothicDemi" w:hAnsi="ITCFranklinGothicDemi" w:cs="ITCFranklinGothicDemi"/>
          <w:b/>
          <w:lang w:val="en-US"/>
        </w:rPr>
        <w:t>Mr</w:t>
      </w:r>
      <w:proofErr w:type="spellEnd"/>
      <w:r w:rsidRPr="000E415A">
        <w:rPr>
          <w:rFonts w:ascii="ITCFranklinGothicDemi" w:hAnsi="ITCFranklinGothicDemi" w:cs="ITCFranklinGothicDemi"/>
          <w:b/>
          <w:lang w:val="en-US"/>
        </w:rPr>
        <w:t xml:space="preserve"> P Robinson and </w:t>
      </w:r>
      <w:proofErr w:type="spellStart"/>
      <w:r w:rsidRPr="000E415A">
        <w:rPr>
          <w:rFonts w:ascii="ITCFranklinGothicDemi" w:hAnsi="ITCFranklinGothicDemi" w:cs="ITCFranklinGothicDemi"/>
          <w:b/>
          <w:lang w:val="en-US"/>
        </w:rPr>
        <w:t>Mr</w:t>
      </w:r>
      <w:proofErr w:type="spellEnd"/>
      <w:r w:rsidRPr="000E415A">
        <w:rPr>
          <w:rFonts w:ascii="ITCFranklinGothicDemi" w:hAnsi="ITCFranklinGothicDemi" w:cs="ITCFranklinGothicDemi"/>
          <w:b/>
          <w:lang w:val="en-US"/>
        </w:rPr>
        <w:t xml:space="preserve"> M </w:t>
      </w:r>
      <w:proofErr w:type="spellStart"/>
      <w:r w:rsidRPr="000E415A">
        <w:rPr>
          <w:rFonts w:ascii="ITCFranklinGothicDemi" w:hAnsi="ITCFranklinGothicDemi" w:cs="ITCFranklinGothicDemi"/>
          <w:b/>
          <w:lang w:val="en-US"/>
        </w:rPr>
        <w:t>McGuinness</w:t>
      </w:r>
      <w:proofErr w:type="spellEnd"/>
      <w:r w:rsidRPr="000E415A">
        <w:rPr>
          <w:rFonts w:ascii="ITCFranklinGothicDemi" w:hAnsi="ITCFranklinGothicDemi" w:cs="ITCFranklinGothicDemi"/>
          <w:b/>
          <w:lang w:val="en-US"/>
        </w:rPr>
        <w:t>:</w:t>
      </w:r>
      <w:r>
        <w:rPr>
          <w:rFonts w:ascii="ITCFranklinGothicDemi" w:hAnsi="ITCFranklinGothicDemi" w:cs="ITCFranklinGothicDemi"/>
          <w:lang w:val="en-US"/>
        </w:rPr>
        <w:t xml:space="preserve"> </w:t>
      </w:r>
      <w:r w:rsidRPr="000E415A">
        <w:t>The Executive’s Play and Leisure Policy Statement published in 2009 has been delivered through the Play and Leisure Implementation Plan which runs until 2016.  Delivery against the Plan is progressing well.</w:t>
      </w:r>
    </w:p>
    <w:p w:rsidR="000E415A" w:rsidRPr="000E415A" w:rsidRDefault="000E415A" w:rsidP="000E415A">
      <w:pPr>
        <w:pStyle w:val="NICCYBodyText"/>
      </w:pPr>
      <w:r w:rsidRPr="000E415A">
        <w:t>To further support the Implementation Plan and build on its achievements, Junior Ministers Bell and McCann announced on 8 October our agreement to invest up to £1.6 million over three years to enhance opportunities for play and leisure across Northern Ireland.  This will be provided as a Signature Programme through the Delivering Social Change framework, details of which will be announced in summer 2014.</w:t>
      </w:r>
    </w:p>
    <w:p w:rsidR="000E415A" w:rsidRDefault="000E415A" w:rsidP="000E415A">
      <w:pPr>
        <w:pStyle w:val="NICCYBodyText"/>
        <w:rPr>
          <w:lang w:val="en-US"/>
        </w:rPr>
      </w:pPr>
    </w:p>
    <w:p w:rsidR="000E415A" w:rsidRDefault="000E415A" w:rsidP="000E415A">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0E415A" w:rsidRDefault="000E415A" w:rsidP="000E415A">
      <w:pPr>
        <w:pStyle w:val="NICCYBodyText"/>
        <w:rPr>
          <w:lang w:val="en-US"/>
        </w:rPr>
      </w:pPr>
    </w:p>
    <w:p w:rsidR="000E415A" w:rsidRDefault="000E415A" w:rsidP="000E415A">
      <w:pPr>
        <w:pStyle w:val="Heading2"/>
        <w:rPr>
          <w:rFonts w:eastAsiaTheme="minorEastAsia"/>
          <w:lang w:val="en-US"/>
        </w:rPr>
      </w:pPr>
      <w:bookmarkStart w:id="1" w:name="_Schools_and_Youth"/>
      <w:bookmarkEnd w:id="1"/>
      <w:r>
        <w:rPr>
          <w:rFonts w:eastAsiaTheme="minorEastAsia"/>
          <w:lang w:val="en-US"/>
        </w:rPr>
        <w:t>Schools and Youth Services: Investment</w:t>
      </w:r>
    </w:p>
    <w:p w:rsidR="000E415A" w:rsidRDefault="000E415A" w:rsidP="000E415A">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Maskey</w:t>
      </w:r>
      <w:proofErr w:type="spellEnd"/>
      <w:r>
        <w:rPr>
          <w:rFonts w:ascii="ITCFranklinGothicDemi" w:hAnsi="ITCFranklinGothicDemi" w:cs="ITCFranklinGothicDemi"/>
          <w:lang w:val="en-US"/>
        </w:rPr>
        <w:t xml:space="preserve"> </w:t>
      </w:r>
      <w:r>
        <w:rPr>
          <w:lang w:val="en-US"/>
        </w:rPr>
        <w:t>asked the Minister of Education how much his Department has invested in schools and youth services since 2011.</w:t>
      </w:r>
    </w:p>
    <w:p w:rsidR="000E415A" w:rsidRDefault="000E415A" w:rsidP="000E415A">
      <w:pPr>
        <w:pStyle w:val="NICCYBodyText"/>
        <w:rPr>
          <w:rFonts w:ascii="ITCFranklinGothicDemi" w:hAnsi="ITCFranklinGothicDemi" w:cs="ITCFranklinGothicDemi"/>
          <w:lang w:val="en-US"/>
        </w:rPr>
      </w:pPr>
      <w:r>
        <w:rPr>
          <w:rFonts w:ascii="ITCFranklinGothicDemi" w:hAnsi="ITCFranklinGothicDemi" w:cs="ITCFranklinGothicDemi"/>
          <w:lang w:val="en-US"/>
        </w:rPr>
        <w:t>(AQW 32228/11-15)</w:t>
      </w:r>
    </w:p>
    <w:p w:rsidR="000E415A" w:rsidRDefault="000E415A" w:rsidP="000E415A">
      <w:pPr>
        <w:rPr>
          <w:rFonts w:ascii="ITCFranklinGothicDemi" w:eastAsiaTheme="minorEastAsia" w:hAnsi="ITCFranklinGothicDemi" w:cs="ITCFranklinGothicDemi"/>
          <w:lang w:val="en-US"/>
        </w:rPr>
      </w:pPr>
    </w:p>
    <w:p w:rsidR="000E415A" w:rsidRDefault="000E415A" w:rsidP="000E415A">
      <w:pPr>
        <w:rPr>
          <w:rStyle w:val="NICCYBodyTextChar"/>
        </w:rPr>
      </w:pPr>
      <w:proofErr w:type="spellStart"/>
      <w:r w:rsidRPr="000E415A">
        <w:rPr>
          <w:rFonts w:ascii="ITCFranklinGothicDemi" w:hAnsi="ITCFranklinGothicDemi" w:cs="ITCFranklinGothicDemi"/>
          <w:b/>
          <w:lang w:val="en-US"/>
        </w:rPr>
        <w:t>Mr</w:t>
      </w:r>
      <w:proofErr w:type="spellEnd"/>
      <w:r w:rsidRPr="000E415A">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sidRPr="000E415A">
        <w:rPr>
          <w:rStyle w:val="NICCYBodyTextChar"/>
        </w:rPr>
        <w:t>The amount of capital investment in schools and youth services since 2011 is follows:</w:t>
      </w:r>
    </w:p>
    <w:p w:rsidR="000E415A" w:rsidRDefault="000E415A" w:rsidP="000E415A">
      <w:pPr>
        <w:rPr>
          <w:lang w:val="en-US"/>
        </w:rPr>
      </w:pPr>
    </w:p>
    <w:p w:rsidR="000E415A" w:rsidRDefault="000E415A" w:rsidP="000E415A">
      <w:pPr>
        <w:pStyle w:val="NICCYBodyText"/>
      </w:pPr>
      <w:r>
        <w:rPr>
          <w:noProof/>
          <w:lang w:val="en-US"/>
        </w:rPr>
        <w:drawing>
          <wp:inline distT="0" distB="0" distL="0" distR="0">
            <wp:extent cx="6116320" cy="1691385"/>
            <wp:effectExtent l="19050" t="0" r="0" b="0"/>
            <wp:docPr id="1" name="Picture 1"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Capture.JPG"/>
                    <pic:cNvPicPr>
                      <a:picLocks noChangeAspect="1" noChangeArrowheads="1"/>
                    </pic:cNvPicPr>
                  </pic:nvPicPr>
                  <pic:blipFill>
                    <a:blip r:embed="rId8"/>
                    <a:srcRect/>
                    <a:stretch>
                      <a:fillRect/>
                    </a:stretch>
                  </pic:blipFill>
                  <pic:spPr bwMode="auto">
                    <a:xfrm>
                      <a:off x="0" y="0"/>
                      <a:ext cx="6116320" cy="1691385"/>
                    </a:xfrm>
                    <a:prstGeom prst="rect">
                      <a:avLst/>
                    </a:prstGeom>
                    <a:noFill/>
                    <a:ln w="9525">
                      <a:noFill/>
                      <a:miter lim="800000"/>
                      <a:headEnd/>
                      <a:tailEnd/>
                    </a:ln>
                  </pic:spPr>
                </pic:pic>
              </a:graphicData>
            </a:graphic>
          </wp:inline>
        </w:drawing>
      </w:r>
    </w:p>
    <w:p w:rsidR="000E415A" w:rsidRDefault="000E415A" w:rsidP="000E415A">
      <w:pPr>
        <w:autoSpaceDE w:val="0"/>
        <w:autoSpaceDN w:val="0"/>
        <w:adjustRightInd w:val="0"/>
        <w:rPr>
          <w:rFonts w:ascii="ITCFranklinGothicDemi" w:eastAsiaTheme="minorEastAsia" w:hAnsi="ITCFranklinGothicDemi" w:cs="ITCFranklinGothicDemi"/>
          <w:lang w:val="en-US"/>
        </w:rPr>
      </w:pPr>
    </w:p>
    <w:p w:rsidR="000E415A" w:rsidRDefault="000E415A" w:rsidP="000E415A">
      <w:pPr>
        <w:pStyle w:val="NICCYBodyText"/>
      </w:pPr>
      <w:hyperlink w:anchor="_top" w:history="1">
        <w:r w:rsidRPr="007715F2">
          <w:rPr>
            <w:rStyle w:val="Hyperlink"/>
          </w:rPr>
          <w:t>Ba</w:t>
        </w:r>
        <w:r w:rsidRPr="007715F2">
          <w:rPr>
            <w:rStyle w:val="Hyperlink"/>
          </w:rPr>
          <w:t>c</w:t>
        </w:r>
        <w:r w:rsidRPr="007715F2">
          <w:rPr>
            <w:rStyle w:val="Hyperlink"/>
          </w:rPr>
          <w:t>k to Top</w:t>
        </w:r>
      </w:hyperlink>
    </w:p>
    <w:p w:rsidR="000E415A" w:rsidRDefault="000E415A" w:rsidP="000E415A">
      <w:pPr>
        <w:autoSpaceDE w:val="0"/>
        <w:autoSpaceDN w:val="0"/>
        <w:adjustRightInd w:val="0"/>
        <w:rPr>
          <w:rFonts w:ascii="ITCFranklinGothicDemi" w:eastAsiaTheme="minorEastAsia" w:hAnsi="ITCFranklinGothicDemi" w:cs="ITCFranklinGothicDemi"/>
          <w:lang w:val="en-US"/>
        </w:rPr>
      </w:pPr>
    </w:p>
    <w:p w:rsidR="000E415A" w:rsidRDefault="000E415A" w:rsidP="000E415A">
      <w:pPr>
        <w:pStyle w:val="Heading2"/>
        <w:rPr>
          <w:rFonts w:eastAsiaTheme="minorEastAsia"/>
          <w:lang w:val="en-US"/>
        </w:rPr>
      </w:pPr>
      <w:bookmarkStart w:id="2" w:name="_Youth_Training_Review"/>
      <w:bookmarkEnd w:id="2"/>
      <w:r>
        <w:rPr>
          <w:rFonts w:eastAsiaTheme="minorEastAsia"/>
          <w:lang w:val="en-US"/>
        </w:rPr>
        <w:lastRenderedPageBreak/>
        <w:t>Youth Training Review</w:t>
      </w:r>
    </w:p>
    <w:p w:rsidR="000E415A" w:rsidRDefault="000E415A" w:rsidP="000E415A">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Douglas </w:t>
      </w:r>
      <w:r>
        <w:rPr>
          <w:lang w:val="en-US"/>
        </w:rPr>
        <w:t xml:space="preserve">asked the Minister for Employment and Learning for an update on the Review </w:t>
      </w:r>
      <w:r w:rsidRPr="000E415A">
        <w:t>of Youth</w:t>
      </w:r>
      <w:r>
        <w:rPr>
          <w:lang w:val="en-US"/>
        </w:rPr>
        <w:t xml:space="preserve"> Training which was announced in February 2013.</w:t>
      </w:r>
    </w:p>
    <w:p w:rsidR="000E415A" w:rsidRDefault="000E415A" w:rsidP="000E415A">
      <w:pPr>
        <w:pStyle w:val="NICCYBodyText"/>
        <w:rPr>
          <w:rFonts w:ascii="ITCFranklinGothicDemi" w:hAnsi="ITCFranklinGothicDemi" w:cs="ITCFranklinGothicDemi"/>
          <w:lang w:val="en-US"/>
        </w:rPr>
      </w:pPr>
      <w:r>
        <w:rPr>
          <w:rFonts w:ascii="ITCFranklinGothicDemi" w:hAnsi="ITCFranklinGothicDemi" w:cs="ITCFranklinGothicDemi"/>
          <w:lang w:val="en-US"/>
        </w:rPr>
        <w:t>(AQO 5884/11-15)</w:t>
      </w:r>
    </w:p>
    <w:p w:rsidR="000E415A" w:rsidRDefault="000E415A" w:rsidP="000E415A">
      <w:pPr>
        <w:pStyle w:val="NICCYBodyText"/>
        <w:rPr>
          <w:rFonts w:ascii="ITCFranklinGothicDemi" w:hAnsi="ITCFranklinGothicDemi" w:cs="ITCFranklinGothicDemi"/>
          <w:lang w:val="en-US"/>
        </w:rPr>
      </w:pPr>
    </w:p>
    <w:p w:rsidR="000E415A" w:rsidRDefault="000E415A" w:rsidP="000E415A">
      <w:pPr>
        <w:pStyle w:val="NICCYBodyText"/>
        <w:rPr>
          <w:lang w:val="en-US"/>
        </w:rPr>
      </w:pPr>
      <w:r w:rsidRPr="000E415A">
        <w:rPr>
          <w:rFonts w:ascii="ITCFranklinGothicDemi" w:hAnsi="ITCFranklinGothicDemi" w:cs="ITCFranklinGothicDemi"/>
          <w:b/>
          <w:lang w:val="en-US"/>
        </w:rPr>
        <w:t xml:space="preserve">Dr </w:t>
      </w:r>
      <w:proofErr w:type="spellStart"/>
      <w:r w:rsidRPr="000E415A">
        <w:rPr>
          <w:rFonts w:ascii="ITCFranklinGothicDemi" w:hAnsi="ITCFranklinGothicDemi" w:cs="ITCFranklinGothicDemi"/>
          <w:b/>
          <w:lang w:val="en-US"/>
        </w:rPr>
        <w:t>Farry</w:t>
      </w:r>
      <w:proofErr w:type="spellEnd"/>
      <w:r w:rsidRPr="000E415A">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aim of the youth training review is to provide a programme at level two, of sufficient breadth and depth to enable young people between the ages of 16 and 18 to progress to an apprenticeship programme at level three, a level three further education programme, or into employment.</w:t>
      </w:r>
    </w:p>
    <w:p w:rsidR="000E415A" w:rsidRDefault="000E415A" w:rsidP="000E415A">
      <w:pPr>
        <w:pStyle w:val="NICCYBodyText"/>
        <w:rPr>
          <w:lang w:val="en-US"/>
        </w:rPr>
      </w:pPr>
    </w:p>
    <w:p w:rsidR="000E415A" w:rsidRDefault="000E415A" w:rsidP="000E415A">
      <w:pPr>
        <w:pStyle w:val="NICCYBodyText"/>
        <w:rPr>
          <w:lang w:val="en-US"/>
        </w:rPr>
      </w:pPr>
      <w:r>
        <w:rPr>
          <w:lang w:val="en-US"/>
        </w:rPr>
        <w:t>I announced the review of apprenticeships and youth training in February 2013.   As you are aware, the review of apprenticeships published its interim report in January 2014, setting out a range of proposals for the future of apprenticeships.  As the youth training review needs to take account of the impact of these recommendations, it has operated to a longer timescale.  The review has progressed over the past few months, through both research and stakeholder engagement activities.</w:t>
      </w:r>
    </w:p>
    <w:p w:rsidR="003A1BB8" w:rsidRDefault="003A1BB8" w:rsidP="000E415A">
      <w:pPr>
        <w:pStyle w:val="NICCYBodyText"/>
        <w:rPr>
          <w:lang w:val="en-US"/>
        </w:rPr>
      </w:pPr>
    </w:p>
    <w:p w:rsidR="000E415A" w:rsidRDefault="000E415A" w:rsidP="000E415A">
      <w:pPr>
        <w:pStyle w:val="NICCYBodyText"/>
        <w:rPr>
          <w:lang w:val="en-US"/>
        </w:rPr>
      </w:pPr>
      <w:r>
        <w:rPr>
          <w:lang w:val="en-US"/>
        </w:rPr>
        <w:t>In terms of stakeholder engagement, I recently chaired a meeting of the review’s expert panel, to</w:t>
      </w:r>
      <w:r w:rsidR="003A1BB8">
        <w:rPr>
          <w:lang w:val="en-US"/>
        </w:rPr>
        <w:t xml:space="preserve"> </w:t>
      </w:r>
      <w:r>
        <w:rPr>
          <w:lang w:val="en-US"/>
        </w:rPr>
        <w:t>discuss findings and emerging issues to be a</w:t>
      </w:r>
      <w:r w:rsidR="003A1BB8">
        <w:rPr>
          <w:lang w:val="en-US"/>
        </w:rPr>
        <w:t xml:space="preserve">ddressed as part of the review.  </w:t>
      </w:r>
      <w:r>
        <w:rPr>
          <w:lang w:val="en-US"/>
        </w:rPr>
        <w:t>The Department also held</w:t>
      </w:r>
      <w:r w:rsidR="003A1BB8">
        <w:rPr>
          <w:lang w:val="en-US"/>
        </w:rPr>
        <w:t xml:space="preserve"> </w:t>
      </w:r>
      <w:r>
        <w:rPr>
          <w:lang w:val="en-US"/>
        </w:rPr>
        <w:t>a series of stakeholder engagement events to hear the views of employers, young people, and training</w:t>
      </w:r>
      <w:r w:rsidR="003A1BB8">
        <w:rPr>
          <w:lang w:val="en-US"/>
        </w:rPr>
        <w:t xml:space="preserve"> providers.  </w:t>
      </w:r>
      <w:r>
        <w:rPr>
          <w:lang w:val="en-US"/>
        </w:rPr>
        <w:t>These events coincided with a call for submissions, which was hosted on the Department’s</w:t>
      </w:r>
      <w:r w:rsidR="003A1BB8">
        <w:rPr>
          <w:lang w:val="en-US"/>
        </w:rPr>
        <w:t xml:space="preserve"> </w:t>
      </w:r>
      <w:r>
        <w:rPr>
          <w:lang w:val="en-US"/>
        </w:rPr>
        <w:t>website.</w:t>
      </w:r>
    </w:p>
    <w:p w:rsidR="003A1BB8" w:rsidRDefault="003A1BB8" w:rsidP="000E415A">
      <w:pPr>
        <w:pStyle w:val="NICCYBodyText"/>
        <w:rPr>
          <w:lang w:val="en-US"/>
        </w:rPr>
      </w:pPr>
    </w:p>
    <w:p w:rsidR="000E415A" w:rsidRDefault="000E415A" w:rsidP="000E415A">
      <w:pPr>
        <w:pStyle w:val="NICCYBodyText"/>
        <w:rPr>
          <w:lang w:val="en-US"/>
        </w:rPr>
      </w:pPr>
      <w:r>
        <w:rPr>
          <w:lang w:val="en-US"/>
        </w:rPr>
        <w:t>Officials in the department have also carried out research, and engaged with experts in the OECD, to</w:t>
      </w:r>
      <w:r w:rsidR="003A1BB8">
        <w:rPr>
          <w:lang w:val="en-US"/>
        </w:rPr>
        <w:t xml:space="preserve"> </w:t>
      </w:r>
      <w:r>
        <w:rPr>
          <w:lang w:val="en-US"/>
        </w:rPr>
        <w:t>investigate models of best practice in the delivery of voc</w:t>
      </w:r>
      <w:r w:rsidR="003A1BB8">
        <w:rPr>
          <w:lang w:val="en-US"/>
        </w:rPr>
        <w:t xml:space="preserve">ational education and training.  </w:t>
      </w:r>
      <w:r>
        <w:rPr>
          <w:lang w:val="en-US"/>
        </w:rPr>
        <w:t>Following the</w:t>
      </w:r>
      <w:r w:rsidR="003A1BB8">
        <w:rPr>
          <w:lang w:val="en-US"/>
        </w:rPr>
        <w:t xml:space="preserve"> </w:t>
      </w:r>
      <w:r>
        <w:rPr>
          <w:lang w:val="en-US"/>
        </w:rPr>
        <w:t>OECD’s recommendations, I re</w:t>
      </w:r>
      <w:r w:rsidR="003A1BB8">
        <w:rPr>
          <w:lang w:val="en-US"/>
        </w:rPr>
        <w:t xml:space="preserve">cently visited the Netherlands.  </w:t>
      </w:r>
      <w:r>
        <w:rPr>
          <w:lang w:val="en-US"/>
        </w:rPr>
        <w:t>Key elements of best practice observed</w:t>
      </w:r>
      <w:r w:rsidR="003A1BB8">
        <w:rPr>
          <w:lang w:val="en-US"/>
        </w:rPr>
        <w:t xml:space="preserve"> </w:t>
      </w:r>
      <w:r>
        <w:rPr>
          <w:lang w:val="en-US"/>
        </w:rPr>
        <w:t>through the visit were the matching of training and qualifications to the needs of local employers,</w:t>
      </w:r>
      <w:r w:rsidR="003A1BB8">
        <w:rPr>
          <w:lang w:val="en-US"/>
        </w:rPr>
        <w:t xml:space="preserve"> </w:t>
      </w:r>
      <w:r>
        <w:rPr>
          <w:lang w:val="en-US"/>
        </w:rPr>
        <w:t>and the willingness of employers to integrate those on work placements into their wider business</w:t>
      </w:r>
      <w:r w:rsidR="003A1BB8">
        <w:rPr>
          <w:lang w:val="en-US"/>
        </w:rPr>
        <w:t xml:space="preserve"> </w:t>
      </w:r>
      <w:r>
        <w:rPr>
          <w:lang w:val="en-US"/>
        </w:rPr>
        <w:t>operations.</w:t>
      </w:r>
      <w:r w:rsidR="003A1BB8">
        <w:rPr>
          <w:lang w:val="en-US"/>
        </w:rPr>
        <w:t xml:space="preserve">  </w:t>
      </w:r>
      <w:r>
        <w:rPr>
          <w:lang w:val="en-US"/>
        </w:rPr>
        <w:t>The feedback from stakeholders will be combined with these research findings to inform the review’s</w:t>
      </w:r>
      <w:r w:rsidR="003A1BB8">
        <w:rPr>
          <w:lang w:val="en-US"/>
        </w:rPr>
        <w:t xml:space="preserve"> </w:t>
      </w:r>
      <w:r>
        <w:rPr>
          <w:lang w:val="en-US"/>
        </w:rPr>
        <w:t>interim report, which is due for publication in early Summer 2014.</w:t>
      </w:r>
    </w:p>
    <w:p w:rsidR="003A1BB8" w:rsidRDefault="003A1BB8" w:rsidP="000E415A">
      <w:pPr>
        <w:pStyle w:val="NICCYBodyText"/>
        <w:rPr>
          <w:lang w:val="en-US"/>
        </w:rPr>
      </w:pPr>
    </w:p>
    <w:p w:rsidR="003A1BB8" w:rsidRDefault="003A1BB8" w:rsidP="003A1BB8">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F81B86" w:rsidRDefault="00F81B86" w:rsidP="003A1BB8">
      <w:pPr>
        <w:pStyle w:val="NICCYBodyText"/>
      </w:pPr>
    </w:p>
    <w:p w:rsidR="000E415A" w:rsidRDefault="000E415A" w:rsidP="003A1BB8">
      <w:pPr>
        <w:pStyle w:val="Heading2"/>
        <w:rPr>
          <w:rFonts w:eastAsiaTheme="minorEastAsia"/>
          <w:lang w:val="en-US"/>
        </w:rPr>
      </w:pPr>
      <w:bookmarkStart w:id="3" w:name="_Obesity_Levels_among"/>
      <w:bookmarkEnd w:id="3"/>
      <w:r>
        <w:rPr>
          <w:rFonts w:eastAsiaTheme="minorEastAsia"/>
          <w:lang w:val="en-US"/>
        </w:rPr>
        <w:lastRenderedPageBreak/>
        <w:t>Obesity Levels among Young People</w:t>
      </w:r>
    </w:p>
    <w:p w:rsidR="000E415A" w:rsidRDefault="000E415A" w:rsidP="003A1BB8">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McKay </w:t>
      </w:r>
      <w:r>
        <w:rPr>
          <w:lang w:val="en-US"/>
        </w:rPr>
        <w:t>asked the Minister of Health, Social Services and Public Safety to detail obesity levels</w:t>
      </w:r>
      <w:r w:rsidR="003A1BB8">
        <w:rPr>
          <w:lang w:val="en-US"/>
        </w:rPr>
        <w:t xml:space="preserve"> </w:t>
      </w:r>
      <w:r>
        <w:rPr>
          <w:lang w:val="en-US"/>
        </w:rPr>
        <w:t>among young people in each of the last five years.</w:t>
      </w:r>
    </w:p>
    <w:p w:rsidR="000E415A" w:rsidRDefault="000E415A" w:rsidP="003A1BB8">
      <w:pPr>
        <w:pStyle w:val="NICCYBodyText"/>
        <w:rPr>
          <w:rFonts w:ascii="ITCFranklinGothicDemi" w:hAnsi="ITCFranklinGothicDemi" w:cs="ITCFranklinGothicDemi"/>
          <w:lang w:val="en-US"/>
        </w:rPr>
      </w:pPr>
      <w:r>
        <w:rPr>
          <w:rFonts w:ascii="ITCFranklinGothicDemi" w:hAnsi="ITCFranklinGothicDemi" w:cs="ITCFranklinGothicDemi"/>
          <w:lang w:val="en-US"/>
        </w:rPr>
        <w:t>(AQW 32260/11-15)</w:t>
      </w:r>
    </w:p>
    <w:p w:rsidR="003A1BB8" w:rsidRDefault="003A1BB8" w:rsidP="003A1BB8">
      <w:pPr>
        <w:pStyle w:val="NICCYBodyText"/>
        <w:rPr>
          <w:rFonts w:ascii="ITCFranklinGothicDemi" w:hAnsi="ITCFranklinGothicDemi" w:cs="ITCFranklinGothicDemi"/>
          <w:lang w:val="en-US"/>
        </w:rPr>
      </w:pPr>
    </w:p>
    <w:p w:rsidR="000E415A" w:rsidRDefault="000E415A" w:rsidP="003A1BB8">
      <w:pPr>
        <w:pStyle w:val="NICCYBodyText"/>
        <w:rPr>
          <w:lang w:val="en-US"/>
        </w:rPr>
      </w:pPr>
      <w:proofErr w:type="spellStart"/>
      <w:r w:rsidRPr="003A1BB8">
        <w:rPr>
          <w:rFonts w:ascii="ITCFranklinGothicDemi" w:hAnsi="ITCFranklinGothicDemi" w:cs="ITCFranklinGothicDemi"/>
          <w:b/>
          <w:lang w:val="en-US"/>
        </w:rPr>
        <w:t>Mr</w:t>
      </w:r>
      <w:proofErr w:type="spellEnd"/>
      <w:r w:rsidRPr="003A1BB8">
        <w:rPr>
          <w:rFonts w:ascii="ITCFranklinGothicDemi" w:hAnsi="ITCFranklinGothicDemi" w:cs="ITCFranklinGothicDemi"/>
          <w:b/>
          <w:lang w:val="en-US"/>
        </w:rPr>
        <w:t xml:space="preserve"> </w:t>
      </w:r>
      <w:proofErr w:type="spellStart"/>
      <w:r w:rsidRPr="003A1BB8">
        <w:rPr>
          <w:rFonts w:ascii="ITCFranklinGothicDemi" w:hAnsi="ITCFranklinGothicDemi" w:cs="ITCFranklinGothicDemi"/>
          <w:b/>
          <w:lang w:val="en-US"/>
        </w:rPr>
        <w:t>Poots</w:t>
      </w:r>
      <w:proofErr w:type="spellEnd"/>
      <w:r w:rsidRPr="003A1BB8">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information is available from the Health Survey (NI) which has run from 2010/11</w:t>
      </w:r>
      <w:r w:rsidR="003A1BB8">
        <w:rPr>
          <w:lang w:val="en-US"/>
        </w:rPr>
        <w:t xml:space="preserve"> </w:t>
      </w:r>
      <w:r>
        <w:rPr>
          <w:lang w:val="en-US"/>
        </w:rPr>
        <w:t>onwards.</w:t>
      </w:r>
    </w:p>
    <w:p w:rsidR="000E415A" w:rsidRDefault="000E415A" w:rsidP="000E415A">
      <w:pPr>
        <w:pStyle w:val="NICCYBodyText"/>
        <w:rPr>
          <w:rFonts w:ascii="ITCFranklinGothicBook" w:hAnsi="ITCFranklinGothicBook" w:cs="ITCFranklinGothicBook"/>
          <w:lang w:val="en-US"/>
        </w:rPr>
      </w:pPr>
    </w:p>
    <w:p w:rsidR="000E415A" w:rsidRDefault="000E415A" w:rsidP="000E415A">
      <w:pPr>
        <w:pStyle w:val="NICCYBodyText"/>
        <w:rPr>
          <w:rFonts w:ascii="ITCFranklinGothicBook" w:hAnsi="ITCFranklinGothicBook" w:cs="ITCFranklinGothicBook"/>
          <w:lang w:val="en-US"/>
        </w:rPr>
      </w:pPr>
      <w:r>
        <w:rPr>
          <w:rFonts w:ascii="ITCFranklinGothicBook" w:hAnsi="ITCFranklinGothicBook" w:cs="ITCFranklinGothicBook"/>
          <w:noProof/>
          <w:lang w:val="en-US"/>
        </w:rPr>
        <w:drawing>
          <wp:inline distT="0" distB="0" distL="0" distR="0">
            <wp:extent cx="6116320" cy="2714547"/>
            <wp:effectExtent l="19050" t="0" r="0" b="0"/>
            <wp:docPr id="2" name="Picture 2"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McGall\Desktop\Capture.JPG"/>
                    <pic:cNvPicPr>
                      <a:picLocks noChangeAspect="1" noChangeArrowheads="1"/>
                    </pic:cNvPicPr>
                  </pic:nvPicPr>
                  <pic:blipFill>
                    <a:blip r:embed="rId9"/>
                    <a:srcRect/>
                    <a:stretch>
                      <a:fillRect/>
                    </a:stretch>
                  </pic:blipFill>
                  <pic:spPr bwMode="auto">
                    <a:xfrm>
                      <a:off x="0" y="0"/>
                      <a:ext cx="6116320" cy="2714547"/>
                    </a:xfrm>
                    <a:prstGeom prst="rect">
                      <a:avLst/>
                    </a:prstGeom>
                    <a:noFill/>
                    <a:ln w="9525">
                      <a:noFill/>
                      <a:miter lim="800000"/>
                      <a:headEnd/>
                      <a:tailEnd/>
                    </a:ln>
                  </pic:spPr>
                </pic:pic>
              </a:graphicData>
            </a:graphic>
          </wp:inline>
        </w:drawing>
      </w:r>
    </w:p>
    <w:p w:rsidR="000E415A" w:rsidRDefault="000E415A" w:rsidP="000E415A">
      <w:pPr>
        <w:pStyle w:val="NICCYBodyText"/>
        <w:rPr>
          <w:rFonts w:ascii="ITCFranklinGothicBook" w:hAnsi="ITCFranklinGothicBook" w:cs="ITCFranklinGothicBook"/>
          <w:lang w:val="en-US"/>
        </w:rPr>
      </w:pPr>
    </w:p>
    <w:p w:rsidR="003A1BB8" w:rsidRDefault="003A1BB8" w:rsidP="003A1BB8">
      <w:pPr>
        <w:pStyle w:val="NICCYBodyText"/>
      </w:pPr>
      <w:hyperlink w:anchor="_top" w:history="1">
        <w:r w:rsidRPr="007715F2">
          <w:rPr>
            <w:rStyle w:val="Hyperlink"/>
          </w:rPr>
          <w:t>Back</w:t>
        </w:r>
        <w:r w:rsidRPr="007715F2">
          <w:rPr>
            <w:rStyle w:val="Hyperlink"/>
          </w:rPr>
          <w:t xml:space="preserve"> </w:t>
        </w:r>
        <w:r w:rsidRPr="007715F2">
          <w:rPr>
            <w:rStyle w:val="Hyperlink"/>
          </w:rPr>
          <w:t>t</w:t>
        </w:r>
        <w:r w:rsidRPr="007715F2">
          <w:rPr>
            <w:rStyle w:val="Hyperlink"/>
          </w:rPr>
          <w:t>o Top</w:t>
        </w:r>
      </w:hyperlink>
    </w:p>
    <w:p w:rsidR="003A1BB8" w:rsidRDefault="003A1BB8" w:rsidP="000E415A">
      <w:pPr>
        <w:pStyle w:val="NICCYBodyText"/>
        <w:rPr>
          <w:rFonts w:ascii="ITCFranklinGothicBook" w:hAnsi="ITCFranklinGothicBook" w:cs="ITCFranklinGothicBook"/>
          <w:b/>
          <w:lang w:val="en-US"/>
        </w:rPr>
      </w:pPr>
    </w:p>
    <w:p w:rsidR="00635A59" w:rsidRDefault="00635A59" w:rsidP="000E415A">
      <w:pPr>
        <w:pStyle w:val="NICCYBodyText"/>
        <w:rPr>
          <w:rFonts w:ascii="ITCFranklinGothicBook" w:hAnsi="ITCFranklinGothicBook" w:cs="ITCFranklinGothicBook"/>
          <w:b/>
          <w:lang w:val="en-US"/>
        </w:rPr>
      </w:pPr>
    </w:p>
    <w:p w:rsidR="00635A59" w:rsidRDefault="00635A59" w:rsidP="000E415A">
      <w:pPr>
        <w:pStyle w:val="NICCYBodyText"/>
        <w:rPr>
          <w:rFonts w:ascii="ITCFranklinGothicBook" w:hAnsi="ITCFranklinGothicBook" w:cs="ITCFranklinGothicBook"/>
          <w:b/>
          <w:lang w:val="en-US"/>
        </w:rPr>
      </w:pPr>
    </w:p>
    <w:p w:rsidR="00635A59" w:rsidRDefault="00635A59" w:rsidP="000E415A">
      <w:pPr>
        <w:pStyle w:val="NICCYBodyText"/>
        <w:rPr>
          <w:rFonts w:ascii="ITCFranklinGothicBook" w:hAnsi="ITCFranklinGothicBook" w:cs="ITCFranklinGothicBook"/>
          <w:b/>
          <w:lang w:val="en-US"/>
        </w:rPr>
      </w:pPr>
    </w:p>
    <w:p w:rsidR="00635A59" w:rsidRDefault="00635A59" w:rsidP="000E415A">
      <w:pPr>
        <w:pStyle w:val="NICCYBodyText"/>
        <w:rPr>
          <w:rFonts w:ascii="ITCFranklinGothicBook" w:hAnsi="ITCFranklinGothicBook" w:cs="ITCFranklinGothicBook"/>
          <w:b/>
          <w:lang w:val="en-US"/>
        </w:rPr>
      </w:pPr>
    </w:p>
    <w:p w:rsidR="00635A59" w:rsidRDefault="00635A59" w:rsidP="000E415A">
      <w:pPr>
        <w:pStyle w:val="NICCYBodyText"/>
        <w:rPr>
          <w:rFonts w:ascii="ITCFranklinGothicBook" w:hAnsi="ITCFranklinGothicBook" w:cs="ITCFranklinGothicBook"/>
          <w:b/>
          <w:lang w:val="en-US"/>
        </w:rPr>
      </w:pPr>
    </w:p>
    <w:p w:rsidR="00635A59" w:rsidRDefault="00635A59" w:rsidP="000E415A">
      <w:pPr>
        <w:pStyle w:val="NICCYBodyText"/>
        <w:rPr>
          <w:rFonts w:ascii="ITCFranklinGothicBook" w:hAnsi="ITCFranklinGothicBook" w:cs="ITCFranklinGothicBook"/>
          <w:b/>
          <w:lang w:val="en-US"/>
        </w:rPr>
      </w:pPr>
    </w:p>
    <w:p w:rsidR="00635A59" w:rsidRDefault="00635A59" w:rsidP="000E415A">
      <w:pPr>
        <w:pStyle w:val="NICCYBodyText"/>
        <w:rPr>
          <w:rFonts w:ascii="ITCFranklinGothicBook" w:hAnsi="ITCFranklinGothicBook" w:cs="ITCFranklinGothicBook"/>
          <w:b/>
          <w:lang w:val="en-US"/>
        </w:rPr>
      </w:pPr>
    </w:p>
    <w:p w:rsidR="00635A59" w:rsidRDefault="00635A59" w:rsidP="000E415A">
      <w:pPr>
        <w:pStyle w:val="NICCYBodyText"/>
        <w:rPr>
          <w:rFonts w:ascii="ITCFranklinGothicBook" w:hAnsi="ITCFranklinGothicBook" w:cs="ITCFranklinGothicBook"/>
          <w:b/>
          <w:lang w:val="en-US"/>
        </w:rPr>
      </w:pPr>
    </w:p>
    <w:p w:rsidR="00635A59" w:rsidRDefault="00635A59" w:rsidP="000E415A">
      <w:pPr>
        <w:pStyle w:val="NICCYBodyText"/>
        <w:rPr>
          <w:rFonts w:ascii="ITCFranklinGothicBook" w:hAnsi="ITCFranklinGothicBook" w:cs="ITCFranklinGothicBook"/>
          <w:b/>
          <w:lang w:val="en-US"/>
        </w:rPr>
      </w:pPr>
    </w:p>
    <w:p w:rsidR="00635A59" w:rsidRPr="003A1BB8" w:rsidRDefault="00635A59" w:rsidP="000E415A">
      <w:pPr>
        <w:pStyle w:val="NICCYBodyText"/>
        <w:rPr>
          <w:rFonts w:ascii="ITCFranklinGothicBook" w:hAnsi="ITCFranklinGothicBook" w:cs="ITCFranklinGothicBook"/>
          <w:b/>
          <w:lang w:val="en-US"/>
        </w:rPr>
      </w:pPr>
    </w:p>
    <w:p w:rsidR="000E415A" w:rsidRDefault="000E415A" w:rsidP="003A1BB8">
      <w:pPr>
        <w:pStyle w:val="Heading2"/>
        <w:rPr>
          <w:rFonts w:eastAsiaTheme="minorEastAsia"/>
          <w:lang w:val="en-US"/>
        </w:rPr>
      </w:pPr>
      <w:bookmarkStart w:id="4" w:name="_Reductions_in_Legal"/>
      <w:bookmarkEnd w:id="4"/>
      <w:r>
        <w:rPr>
          <w:rFonts w:eastAsiaTheme="minorEastAsia"/>
          <w:lang w:val="en-US"/>
        </w:rPr>
        <w:lastRenderedPageBreak/>
        <w:t>Reductions in Legal Aid Budgets</w:t>
      </w:r>
    </w:p>
    <w:p w:rsidR="000E415A" w:rsidRDefault="000E415A" w:rsidP="003A1BB8">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Campbell </w:t>
      </w:r>
      <w:r>
        <w:rPr>
          <w:lang w:val="en-US"/>
        </w:rPr>
        <w:t>asked the Minister of Justice how the policy of reducing the Legal Aid budget compares,</w:t>
      </w:r>
      <w:r w:rsidR="003A1BB8">
        <w:rPr>
          <w:lang w:val="en-US"/>
        </w:rPr>
        <w:t xml:space="preserve"> </w:t>
      </w:r>
      <w:r>
        <w:rPr>
          <w:lang w:val="en-US"/>
        </w:rPr>
        <w:t>in financial terms, with recently introduced changes to Legal Aid in Great Britain.</w:t>
      </w:r>
    </w:p>
    <w:p w:rsidR="000E415A" w:rsidRDefault="000E415A" w:rsidP="003A1BB8">
      <w:pPr>
        <w:pStyle w:val="NICCYBodyText"/>
        <w:rPr>
          <w:rFonts w:ascii="ITCFranklinGothicDemi" w:hAnsi="ITCFranklinGothicDemi" w:cs="ITCFranklinGothicDemi"/>
          <w:lang w:val="en-US"/>
        </w:rPr>
      </w:pPr>
      <w:r>
        <w:rPr>
          <w:rFonts w:ascii="ITCFranklinGothicDemi" w:hAnsi="ITCFranklinGothicDemi" w:cs="ITCFranklinGothicDemi"/>
          <w:lang w:val="en-US"/>
        </w:rPr>
        <w:t>(AQW 32147/11-15)</w:t>
      </w:r>
    </w:p>
    <w:p w:rsidR="003A1BB8" w:rsidRDefault="003A1BB8" w:rsidP="003A1BB8">
      <w:pPr>
        <w:pStyle w:val="NICCYBodyText"/>
        <w:rPr>
          <w:rFonts w:ascii="ITCFranklinGothicDemi" w:hAnsi="ITCFranklinGothicDemi" w:cs="ITCFranklinGothicDemi"/>
          <w:lang w:val="en-US"/>
        </w:rPr>
      </w:pPr>
    </w:p>
    <w:p w:rsidR="000E415A" w:rsidRDefault="000E415A" w:rsidP="003A1BB8">
      <w:pPr>
        <w:pStyle w:val="NICCYBodyText"/>
        <w:rPr>
          <w:lang w:val="en-US"/>
        </w:rPr>
      </w:pPr>
      <w:proofErr w:type="spellStart"/>
      <w:r w:rsidRPr="003A1BB8">
        <w:rPr>
          <w:rFonts w:ascii="ITCFranklinGothicDemi" w:hAnsi="ITCFranklinGothicDemi" w:cs="ITCFranklinGothicDemi"/>
          <w:b/>
          <w:lang w:val="en-US"/>
        </w:rPr>
        <w:t>Mr</w:t>
      </w:r>
      <w:proofErr w:type="spellEnd"/>
      <w:r w:rsidRPr="003A1BB8">
        <w:rPr>
          <w:rFonts w:ascii="ITCFranklinGothicDemi" w:hAnsi="ITCFranklinGothicDemi" w:cs="ITCFranklinGothicDemi"/>
          <w:b/>
          <w:lang w:val="en-US"/>
        </w:rPr>
        <w:t xml:space="preserve"> Ford:</w:t>
      </w:r>
      <w:r>
        <w:rPr>
          <w:rFonts w:ascii="ITCFranklinGothicDemi" w:hAnsi="ITCFranklinGothicDemi" w:cs="ITCFranklinGothicDemi"/>
          <w:lang w:val="en-US"/>
        </w:rPr>
        <w:t xml:space="preserve"> </w:t>
      </w:r>
      <w:r>
        <w:rPr>
          <w:lang w:val="en-US"/>
        </w:rPr>
        <w:t>The Legal Aid landscape across Great Britain differs greatly and therefore it is not accurate to</w:t>
      </w:r>
      <w:r w:rsidR="003A1BB8">
        <w:rPr>
          <w:lang w:val="en-US"/>
        </w:rPr>
        <w:t xml:space="preserve"> </w:t>
      </w:r>
      <w:r>
        <w:rPr>
          <w:lang w:val="en-US"/>
        </w:rPr>
        <w:t>directly compare the reforms in Northern Irel</w:t>
      </w:r>
      <w:r w:rsidR="003A1BB8">
        <w:rPr>
          <w:lang w:val="en-US"/>
        </w:rPr>
        <w:t xml:space="preserve">and with the reforms elsewhere.  </w:t>
      </w:r>
      <w:r>
        <w:rPr>
          <w:lang w:val="en-US"/>
        </w:rPr>
        <w:t>In developing any reforms</w:t>
      </w:r>
      <w:r w:rsidR="003A1BB8">
        <w:rPr>
          <w:lang w:val="en-US"/>
        </w:rPr>
        <w:t xml:space="preserve"> </w:t>
      </w:r>
      <w:r>
        <w:rPr>
          <w:lang w:val="en-US"/>
        </w:rPr>
        <w:t>to legal aid in this jurisdiction my Department examines and benchmarks how legal aid is administered</w:t>
      </w:r>
      <w:r w:rsidR="003A1BB8">
        <w:rPr>
          <w:lang w:val="en-US"/>
        </w:rPr>
        <w:t xml:space="preserve"> </w:t>
      </w:r>
      <w:r>
        <w:rPr>
          <w:lang w:val="en-US"/>
        </w:rPr>
        <w:t>in England and Wales, in Scotland and in the R</w:t>
      </w:r>
      <w:r w:rsidR="003A1BB8">
        <w:rPr>
          <w:lang w:val="en-US"/>
        </w:rPr>
        <w:t xml:space="preserve">epublic of Ireland.  </w:t>
      </w:r>
      <w:r>
        <w:rPr>
          <w:lang w:val="en-US"/>
        </w:rPr>
        <w:t>My officials engage with Departmental</w:t>
      </w:r>
    </w:p>
    <w:p w:rsidR="000E415A" w:rsidRDefault="000E415A" w:rsidP="003A1BB8">
      <w:pPr>
        <w:pStyle w:val="NICCYBodyText"/>
        <w:rPr>
          <w:lang w:val="en-US"/>
        </w:rPr>
      </w:pPr>
      <w:r>
        <w:rPr>
          <w:lang w:val="en-US"/>
        </w:rPr>
        <w:t>colleagues across the jurisdictions and, where appropriate, we have tailored individual aspects of the</w:t>
      </w:r>
      <w:r w:rsidR="003A1BB8">
        <w:rPr>
          <w:lang w:val="en-US"/>
        </w:rPr>
        <w:t xml:space="preserve"> </w:t>
      </w:r>
      <w:r>
        <w:rPr>
          <w:lang w:val="en-US"/>
        </w:rPr>
        <w:t>reforms elsewhere to them to meet our specific needs.</w:t>
      </w:r>
    </w:p>
    <w:p w:rsidR="003A1BB8" w:rsidRDefault="003A1BB8" w:rsidP="003A1BB8">
      <w:pPr>
        <w:pStyle w:val="NICCYBodyText"/>
        <w:rPr>
          <w:lang w:val="en-US"/>
        </w:rPr>
      </w:pPr>
    </w:p>
    <w:p w:rsidR="000E415A" w:rsidRDefault="000E415A" w:rsidP="003A1BB8">
      <w:pPr>
        <w:pStyle w:val="NICCYBodyText"/>
        <w:rPr>
          <w:lang w:val="en-US"/>
        </w:rPr>
      </w:pPr>
      <w:r>
        <w:rPr>
          <w:lang w:val="en-US"/>
        </w:rPr>
        <w:t>The reforms I have introduced in relation to Criminal Legal Aid are already yielding savings in the region</w:t>
      </w:r>
      <w:r w:rsidR="003A1BB8">
        <w:rPr>
          <w:lang w:val="en-US"/>
        </w:rPr>
        <w:t xml:space="preserve"> of £20 million per year.  </w:t>
      </w:r>
      <w:r>
        <w:rPr>
          <w:lang w:val="en-US"/>
        </w:rPr>
        <w:t>A further reform to Crown Court fees has been subject to consultation and</w:t>
      </w:r>
      <w:r w:rsidR="003A1BB8">
        <w:rPr>
          <w:lang w:val="en-US"/>
        </w:rPr>
        <w:t xml:space="preserve"> </w:t>
      </w:r>
      <w:r>
        <w:rPr>
          <w:lang w:val="en-US"/>
        </w:rPr>
        <w:t>may yield further</w:t>
      </w:r>
      <w:r w:rsidR="003A1BB8">
        <w:rPr>
          <w:lang w:val="en-US"/>
        </w:rPr>
        <w:t xml:space="preserve"> savings of up to £5.6 million.  </w:t>
      </w:r>
      <w:r>
        <w:rPr>
          <w:lang w:val="en-US"/>
        </w:rPr>
        <w:t>Reforms to Civil Legal Aid will also deliver significant</w:t>
      </w:r>
      <w:r w:rsidR="003A1BB8">
        <w:rPr>
          <w:lang w:val="en-US"/>
        </w:rPr>
        <w:t xml:space="preserve"> savings.  </w:t>
      </w:r>
      <w:r>
        <w:rPr>
          <w:lang w:val="en-US"/>
        </w:rPr>
        <w:t>The first of these changes, relating to the reform of publicly funded legal representation in the</w:t>
      </w:r>
      <w:r w:rsidR="003A1BB8">
        <w:rPr>
          <w:lang w:val="en-US"/>
        </w:rPr>
        <w:t xml:space="preserve"> </w:t>
      </w:r>
      <w:r>
        <w:rPr>
          <w:lang w:val="en-US"/>
        </w:rPr>
        <w:t>civil and family courts, will, when fully implemented, deliver savings of some £3.4 million per year.</w:t>
      </w:r>
    </w:p>
    <w:p w:rsidR="003A1BB8" w:rsidRDefault="003A1BB8" w:rsidP="003A1BB8">
      <w:pPr>
        <w:pStyle w:val="NICCYBodyText"/>
        <w:rPr>
          <w:lang w:val="en-US"/>
        </w:rPr>
      </w:pPr>
    </w:p>
    <w:p w:rsidR="000E415A" w:rsidRDefault="000E415A" w:rsidP="003A1BB8">
      <w:pPr>
        <w:pStyle w:val="NICCYBodyText"/>
        <w:rPr>
          <w:lang w:val="en-US"/>
        </w:rPr>
      </w:pPr>
      <w:r>
        <w:rPr>
          <w:lang w:val="en-US"/>
        </w:rPr>
        <w:t>I am committed to bringing legal aid spend within budget while ensuring that the money is targeted</w:t>
      </w:r>
      <w:r w:rsidR="003A1BB8">
        <w:rPr>
          <w:lang w:val="en-US"/>
        </w:rPr>
        <w:t xml:space="preserve"> </w:t>
      </w:r>
      <w:r>
        <w:rPr>
          <w:lang w:val="en-US"/>
        </w:rPr>
        <w:t>to ensure that the most vulnerable people in our society receive appropriate, cost effective,</w:t>
      </w:r>
      <w:r w:rsidR="003A1BB8">
        <w:rPr>
          <w:lang w:val="en-US"/>
        </w:rPr>
        <w:t xml:space="preserve"> </w:t>
      </w:r>
      <w:r>
        <w:rPr>
          <w:lang w:val="en-US"/>
        </w:rPr>
        <w:t>representation.</w:t>
      </w:r>
    </w:p>
    <w:p w:rsidR="003A1BB8" w:rsidRDefault="003A1BB8" w:rsidP="003A1BB8">
      <w:pPr>
        <w:pStyle w:val="NICCYBodyText"/>
        <w:rPr>
          <w:lang w:val="en-US"/>
        </w:rPr>
      </w:pPr>
    </w:p>
    <w:p w:rsidR="003A1BB8" w:rsidRDefault="003A1BB8" w:rsidP="003A1BB8">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0E415A" w:rsidRDefault="000E415A"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0E415A" w:rsidRDefault="000E415A" w:rsidP="003A1BB8">
      <w:pPr>
        <w:pStyle w:val="Heading2"/>
        <w:rPr>
          <w:rFonts w:eastAsiaTheme="minorEastAsia"/>
          <w:lang w:val="en-US"/>
        </w:rPr>
      </w:pPr>
      <w:bookmarkStart w:id="5" w:name="_Hydebank_Wood_Young"/>
      <w:bookmarkEnd w:id="5"/>
      <w:r>
        <w:rPr>
          <w:rFonts w:eastAsiaTheme="minorEastAsia"/>
          <w:lang w:val="en-US"/>
        </w:rPr>
        <w:lastRenderedPageBreak/>
        <w:t>Hydebank Wood Young Offenders Centre: Visit</w:t>
      </w:r>
    </w:p>
    <w:p w:rsidR="000E415A" w:rsidRDefault="000E415A" w:rsidP="003A1BB8">
      <w:pPr>
        <w:pStyle w:val="NICCYBodyText"/>
        <w:rPr>
          <w:lang w:val="en-US"/>
        </w:rPr>
      </w:pPr>
      <w:r>
        <w:rPr>
          <w:rFonts w:ascii="ITCFranklinGothicDemi" w:hAnsi="ITCFranklinGothicDemi" w:cs="ITCFranklinGothicDemi"/>
          <w:lang w:val="en-US"/>
        </w:rPr>
        <w:t xml:space="preserve">Mr Allister </w:t>
      </w:r>
      <w:r>
        <w:rPr>
          <w:lang w:val="en-US"/>
        </w:rPr>
        <w:t>asked the Minister of Justice, pursuant to AQW 30659/11-15, to detail the outcome of the</w:t>
      </w:r>
      <w:r w:rsidR="003A1BB8">
        <w:rPr>
          <w:lang w:val="en-US"/>
        </w:rPr>
        <w:t xml:space="preserve"> </w:t>
      </w:r>
      <w:r>
        <w:rPr>
          <w:lang w:val="en-US"/>
        </w:rPr>
        <w:t>review.</w:t>
      </w:r>
    </w:p>
    <w:p w:rsidR="000E415A" w:rsidRDefault="000E415A" w:rsidP="003A1BB8">
      <w:pPr>
        <w:pStyle w:val="NICCYBodyText"/>
        <w:rPr>
          <w:rFonts w:ascii="ITCFranklinGothicDemi" w:hAnsi="ITCFranklinGothicDemi" w:cs="ITCFranklinGothicDemi"/>
          <w:lang w:val="en-US"/>
        </w:rPr>
      </w:pPr>
      <w:r>
        <w:rPr>
          <w:rFonts w:ascii="ITCFranklinGothicDemi" w:hAnsi="ITCFranklinGothicDemi" w:cs="ITCFranklinGothicDemi"/>
          <w:lang w:val="en-US"/>
        </w:rPr>
        <w:t>(AQW 32158/11-15)</w:t>
      </w:r>
    </w:p>
    <w:p w:rsidR="003A1BB8" w:rsidRDefault="003A1BB8" w:rsidP="003A1BB8">
      <w:pPr>
        <w:pStyle w:val="NICCYBodyText"/>
        <w:rPr>
          <w:rFonts w:ascii="ITCFranklinGothicDemi" w:hAnsi="ITCFranklinGothicDemi" w:cs="ITCFranklinGothicDemi"/>
          <w:lang w:val="en-US"/>
        </w:rPr>
      </w:pPr>
    </w:p>
    <w:p w:rsidR="000E415A" w:rsidRDefault="000E415A" w:rsidP="003A1BB8">
      <w:pPr>
        <w:pStyle w:val="NICCYBodyText"/>
        <w:rPr>
          <w:lang w:val="en-US"/>
        </w:rPr>
      </w:pPr>
      <w:proofErr w:type="spellStart"/>
      <w:r w:rsidRPr="003A1BB8">
        <w:rPr>
          <w:rFonts w:ascii="ITCFranklinGothicDemi" w:hAnsi="ITCFranklinGothicDemi" w:cs="ITCFranklinGothicDemi"/>
          <w:b/>
          <w:lang w:val="en-US"/>
        </w:rPr>
        <w:t>Mr</w:t>
      </w:r>
      <w:proofErr w:type="spellEnd"/>
      <w:r w:rsidRPr="003A1BB8">
        <w:rPr>
          <w:rFonts w:ascii="ITCFranklinGothicDemi" w:hAnsi="ITCFranklinGothicDemi" w:cs="ITCFranklinGothicDemi"/>
          <w:b/>
          <w:lang w:val="en-US"/>
        </w:rPr>
        <w:t xml:space="preserve"> Ford:</w:t>
      </w:r>
      <w:r>
        <w:rPr>
          <w:rFonts w:ascii="ITCFranklinGothicDemi" w:hAnsi="ITCFranklinGothicDemi" w:cs="ITCFranklinGothicDemi"/>
          <w:lang w:val="en-US"/>
        </w:rPr>
        <w:t xml:space="preserve"> </w:t>
      </w:r>
      <w:r>
        <w:rPr>
          <w:lang w:val="en-US"/>
        </w:rPr>
        <w:t>The Governor of Hydebank Wood has completed his investigation into the circumstances</w:t>
      </w:r>
      <w:r w:rsidR="003A1BB8">
        <w:rPr>
          <w:lang w:val="en-US"/>
        </w:rPr>
        <w:t xml:space="preserve"> relating to a proposed visit.  </w:t>
      </w:r>
      <w:r>
        <w:rPr>
          <w:lang w:val="en-US"/>
        </w:rPr>
        <w:t>This has resulted in one individual mana</w:t>
      </w:r>
      <w:r w:rsidR="003A1BB8">
        <w:rPr>
          <w:lang w:val="en-US"/>
        </w:rPr>
        <w:t xml:space="preserve">ger being given written advice.  </w:t>
      </w:r>
      <w:r>
        <w:rPr>
          <w:lang w:val="en-US"/>
        </w:rPr>
        <w:t>The</w:t>
      </w:r>
      <w:r w:rsidR="003A1BB8">
        <w:rPr>
          <w:lang w:val="en-US"/>
        </w:rPr>
        <w:t xml:space="preserve"> </w:t>
      </w:r>
      <w:r>
        <w:rPr>
          <w:lang w:val="en-US"/>
        </w:rPr>
        <w:t>Governor has also written to all of the establishment’s managers instructing that the specific approval</w:t>
      </w:r>
      <w:r w:rsidR="003A1BB8">
        <w:rPr>
          <w:lang w:val="en-US"/>
        </w:rPr>
        <w:t xml:space="preserve"> </w:t>
      </w:r>
      <w:r>
        <w:rPr>
          <w:lang w:val="en-US"/>
        </w:rPr>
        <w:t>of the Governor or Deputy Governor must be obtained before any offer is made to an individual or</w:t>
      </w:r>
      <w:r w:rsidR="003A1BB8">
        <w:rPr>
          <w:lang w:val="en-US"/>
        </w:rPr>
        <w:t xml:space="preserve"> </w:t>
      </w:r>
      <w:r>
        <w:rPr>
          <w:lang w:val="en-US"/>
        </w:rPr>
        <w:t>organisation to visit the establishment, or contribute to any prisoner activity.</w:t>
      </w:r>
    </w:p>
    <w:p w:rsidR="000E415A" w:rsidRDefault="000E415A" w:rsidP="000E415A">
      <w:pPr>
        <w:pStyle w:val="NICCYBodyText"/>
        <w:rPr>
          <w:rFonts w:ascii="ITCFranklinGothicBook" w:hAnsi="ITCFranklinGothicBook" w:cs="ITCFranklinGothicBook"/>
          <w:lang w:val="en-US"/>
        </w:rPr>
      </w:pPr>
    </w:p>
    <w:p w:rsidR="003A1BB8" w:rsidRDefault="003A1BB8" w:rsidP="003A1BB8">
      <w:pPr>
        <w:pStyle w:val="NICCYBodyText"/>
      </w:pPr>
      <w:hyperlink w:anchor="_top" w:history="1">
        <w:r w:rsidRPr="007715F2">
          <w:rPr>
            <w:rStyle w:val="Hyperlink"/>
          </w:rPr>
          <w:t>B</w:t>
        </w:r>
        <w:r w:rsidRPr="007715F2">
          <w:rPr>
            <w:rStyle w:val="Hyperlink"/>
          </w:rPr>
          <w:t>a</w:t>
        </w:r>
        <w:r w:rsidRPr="007715F2">
          <w:rPr>
            <w:rStyle w:val="Hyperlink"/>
          </w:rPr>
          <w:t>ck to Top</w:t>
        </w:r>
      </w:hyperlink>
    </w:p>
    <w:p w:rsidR="003A1BB8" w:rsidRDefault="003A1BB8" w:rsidP="000E415A">
      <w:pPr>
        <w:pStyle w:val="NICCYBodyText"/>
        <w:rPr>
          <w:rFonts w:ascii="ITCFranklinGothicBook" w:hAnsi="ITCFranklinGothicBook" w:cs="ITCFranklinGothicBook"/>
          <w:lang w:val="en-US"/>
        </w:rPr>
      </w:pPr>
    </w:p>
    <w:p w:rsidR="000E415A" w:rsidRDefault="000E415A" w:rsidP="003A1BB8">
      <w:pPr>
        <w:pStyle w:val="Heading2"/>
        <w:rPr>
          <w:rFonts w:eastAsiaTheme="minorEastAsia"/>
          <w:lang w:val="en-US"/>
        </w:rPr>
      </w:pPr>
      <w:bookmarkStart w:id="6" w:name="_Age_Limit_for"/>
      <w:bookmarkEnd w:id="6"/>
      <w:r>
        <w:rPr>
          <w:rFonts w:eastAsiaTheme="minorEastAsia"/>
          <w:lang w:val="en-US"/>
        </w:rPr>
        <w:t>Age Limit for the Use of Firearms</w:t>
      </w:r>
    </w:p>
    <w:p w:rsidR="000E415A" w:rsidRDefault="000E415A" w:rsidP="003A1BB8">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Frew</w:t>
      </w:r>
      <w:proofErr w:type="spellEnd"/>
      <w:r>
        <w:rPr>
          <w:rFonts w:ascii="ITCFranklinGothicDemi" w:hAnsi="ITCFranklinGothicDemi" w:cs="ITCFranklinGothicDemi"/>
          <w:lang w:val="en-US"/>
        </w:rPr>
        <w:t xml:space="preserve"> </w:t>
      </w:r>
      <w:r>
        <w:rPr>
          <w:lang w:val="en-US"/>
        </w:rPr>
        <w:t>asked the Minister of Justice for an update on the proposed plan to lower the age limit for the</w:t>
      </w:r>
      <w:r w:rsidR="003A1BB8">
        <w:rPr>
          <w:lang w:val="en-US"/>
        </w:rPr>
        <w:t xml:space="preserve"> </w:t>
      </w:r>
      <w:r>
        <w:rPr>
          <w:lang w:val="en-US"/>
        </w:rPr>
        <w:t>use of firearms.</w:t>
      </w:r>
    </w:p>
    <w:p w:rsidR="000E415A" w:rsidRDefault="000E415A" w:rsidP="003A1BB8">
      <w:pPr>
        <w:pStyle w:val="NICCYBodyText"/>
        <w:rPr>
          <w:rFonts w:ascii="ITCFranklinGothicDemi" w:hAnsi="ITCFranklinGothicDemi" w:cs="ITCFranklinGothicDemi"/>
          <w:lang w:val="en-US"/>
        </w:rPr>
      </w:pPr>
      <w:r>
        <w:rPr>
          <w:rFonts w:ascii="ITCFranklinGothicDemi" w:hAnsi="ITCFranklinGothicDemi" w:cs="ITCFranklinGothicDemi"/>
          <w:lang w:val="en-US"/>
        </w:rPr>
        <w:t>(AQW 32188/11-15)</w:t>
      </w:r>
    </w:p>
    <w:p w:rsidR="003A1BB8" w:rsidRDefault="003A1BB8" w:rsidP="003A1BB8">
      <w:pPr>
        <w:pStyle w:val="NICCYBodyText"/>
        <w:rPr>
          <w:rFonts w:ascii="ITCFranklinGothicDemi" w:hAnsi="ITCFranklinGothicDemi" w:cs="ITCFranklinGothicDemi"/>
          <w:lang w:val="en-US"/>
        </w:rPr>
      </w:pPr>
    </w:p>
    <w:p w:rsidR="000E415A" w:rsidRPr="00F81B86" w:rsidRDefault="000E415A" w:rsidP="003A1BB8">
      <w:pPr>
        <w:pStyle w:val="NICCYBodyText"/>
        <w:rPr>
          <w:lang w:val="en-US"/>
        </w:rPr>
      </w:pPr>
      <w:proofErr w:type="spellStart"/>
      <w:r w:rsidRPr="003A1BB8">
        <w:rPr>
          <w:rFonts w:ascii="ITCFranklinGothicDemi" w:hAnsi="ITCFranklinGothicDemi" w:cs="ITCFranklinGothicDemi"/>
          <w:b/>
          <w:lang w:val="en-US"/>
        </w:rPr>
        <w:t>Mr</w:t>
      </w:r>
      <w:proofErr w:type="spellEnd"/>
      <w:r w:rsidRPr="003A1BB8">
        <w:rPr>
          <w:rFonts w:ascii="ITCFranklinGothicDemi" w:hAnsi="ITCFranklinGothicDemi" w:cs="ITCFranklinGothicDemi"/>
          <w:b/>
          <w:lang w:val="en-US"/>
        </w:rPr>
        <w:t xml:space="preserve"> Ford:</w:t>
      </w:r>
      <w:r>
        <w:rPr>
          <w:rFonts w:ascii="ITCFranklinGothicDemi" w:hAnsi="ITCFranklinGothicDemi" w:cs="ITCFranklinGothicDemi"/>
          <w:lang w:val="en-US"/>
        </w:rPr>
        <w:t xml:space="preserve"> </w:t>
      </w:r>
      <w:r>
        <w:rPr>
          <w:lang w:val="en-US"/>
        </w:rPr>
        <w:t>The proposal for an age limit of 12 years for the use of shotguns and certain airguns in</w:t>
      </w:r>
      <w:r w:rsidR="00F81B86">
        <w:rPr>
          <w:lang w:val="en-US"/>
        </w:rPr>
        <w:t xml:space="preserve"> </w:t>
      </w:r>
      <w:r>
        <w:rPr>
          <w:lang w:val="en-US"/>
        </w:rPr>
        <w:t>particular circumstances is part of a package of changes on</w:t>
      </w:r>
      <w:r w:rsidR="00F81B86">
        <w:rPr>
          <w:lang w:val="en-US"/>
        </w:rPr>
        <w:t xml:space="preserve"> firearms on which I consulted.  </w:t>
      </w:r>
      <w:r>
        <w:rPr>
          <w:lang w:val="en-US"/>
        </w:rPr>
        <w:t>Agreement</w:t>
      </w:r>
      <w:r w:rsidR="00F81B86">
        <w:rPr>
          <w:lang w:val="en-US"/>
        </w:rPr>
        <w:t xml:space="preserve"> </w:t>
      </w:r>
      <w:r>
        <w:rPr>
          <w:lang w:val="en-US"/>
        </w:rPr>
        <w:t>on all aspects of that package has not yet been reached.</w:t>
      </w:r>
    </w:p>
    <w:p w:rsidR="000E415A" w:rsidRDefault="000E415A" w:rsidP="000E415A">
      <w:pPr>
        <w:pStyle w:val="NICCYBodyText"/>
      </w:pPr>
    </w:p>
    <w:p w:rsidR="00F81B86" w:rsidRDefault="00F81B86" w:rsidP="00F81B86">
      <w:pPr>
        <w:pStyle w:val="NICCYBodyText"/>
      </w:pPr>
      <w:hyperlink w:anchor="_top" w:history="1">
        <w:r w:rsidRPr="007715F2">
          <w:rPr>
            <w:rStyle w:val="Hyperlink"/>
          </w:rPr>
          <w:t>Ba</w:t>
        </w:r>
        <w:r w:rsidRPr="007715F2">
          <w:rPr>
            <w:rStyle w:val="Hyperlink"/>
          </w:rPr>
          <w:t>c</w:t>
        </w:r>
        <w:r w:rsidRPr="007715F2">
          <w:rPr>
            <w:rStyle w:val="Hyperlink"/>
          </w:rPr>
          <w:t>k to</w:t>
        </w:r>
        <w:r w:rsidRPr="007715F2">
          <w:rPr>
            <w:rStyle w:val="Hyperlink"/>
          </w:rPr>
          <w:t xml:space="preserve"> </w:t>
        </w:r>
        <w:r w:rsidRPr="007715F2">
          <w:rPr>
            <w:rStyle w:val="Hyperlink"/>
          </w:rPr>
          <w:t>Top</w:t>
        </w:r>
      </w:hyperlink>
    </w:p>
    <w:p w:rsidR="00F81B86" w:rsidRDefault="00F81B86" w:rsidP="000E415A">
      <w:pPr>
        <w:pStyle w:val="NICCYBodyText"/>
      </w:pPr>
    </w:p>
    <w:p w:rsidR="000E415A" w:rsidRDefault="000E415A"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635A59" w:rsidRDefault="00635A59" w:rsidP="000E415A">
      <w:pPr>
        <w:pStyle w:val="NICCYBodyText"/>
      </w:pPr>
    </w:p>
    <w:p w:rsidR="000E415A" w:rsidRDefault="000E415A" w:rsidP="00F81B86">
      <w:pPr>
        <w:pStyle w:val="Heading2"/>
        <w:rPr>
          <w:rFonts w:eastAsiaTheme="minorEastAsia"/>
          <w:lang w:val="en-US"/>
        </w:rPr>
      </w:pPr>
      <w:bookmarkStart w:id="7" w:name="_Fuel_Poverty"/>
      <w:bookmarkEnd w:id="7"/>
      <w:r>
        <w:rPr>
          <w:rFonts w:eastAsiaTheme="minorEastAsia"/>
          <w:lang w:val="en-US"/>
        </w:rPr>
        <w:lastRenderedPageBreak/>
        <w:t>Fuel Poverty</w:t>
      </w:r>
    </w:p>
    <w:p w:rsidR="000E415A" w:rsidRDefault="000E415A" w:rsidP="00F81B86">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B McCrea </w:t>
      </w:r>
      <w:r>
        <w:rPr>
          <w:lang w:val="en-US"/>
        </w:rPr>
        <w:t>asked the Minister for Social Development, given that 42% of households across</w:t>
      </w:r>
      <w:r w:rsidR="00F81B86">
        <w:rPr>
          <w:lang w:val="en-US"/>
        </w:rPr>
        <w:t xml:space="preserve"> </w:t>
      </w:r>
      <w:r>
        <w:rPr>
          <w:lang w:val="en-US"/>
        </w:rPr>
        <w:t>Northern Ireland are in fuel poverty, whether he or his Department have had any discussions on the</w:t>
      </w:r>
      <w:r w:rsidR="00F81B86">
        <w:rPr>
          <w:lang w:val="en-US"/>
        </w:rPr>
        <w:t xml:space="preserve"> </w:t>
      </w:r>
      <w:r>
        <w:rPr>
          <w:lang w:val="en-US"/>
        </w:rPr>
        <w:t>Warm Home Discount Scheme with his counterparts in the rest of the United Kingdom.</w:t>
      </w:r>
    </w:p>
    <w:p w:rsidR="000E415A" w:rsidRDefault="000E415A" w:rsidP="00F81B86">
      <w:pPr>
        <w:pStyle w:val="NICCYBodyText"/>
        <w:rPr>
          <w:rFonts w:ascii="ITCFranklinGothicDemi" w:hAnsi="ITCFranklinGothicDemi" w:cs="ITCFranklinGothicDemi"/>
          <w:lang w:val="en-US"/>
        </w:rPr>
      </w:pPr>
      <w:r>
        <w:rPr>
          <w:rFonts w:ascii="ITCFranklinGothicDemi" w:hAnsi="ITCFranklinGothicDemi" w:cs="ITCFranklinGothicDemi"/>
          <w:lang w:val="en-US"/>
        </w:rPr>
        <w:t>(AQO 5902/11-15)</w:t>
      </w:r>
    </w:p>
    <w:p w:rsidR="00F81B86" w:rsidRDefault="00F81B86" w:rsidP="00F81B86">
      <w:pPr>
        <w:pStyle w:val="NICCYBodyText"/>
        <w:rPr>
          <w:rFonts w:ascii="ITCFranklinGothicDemi" w:hAnsi="ITCFranklinGothicDemi" w:cs="ITCFranklinGothicDemi"/>
          <w:lang w:val="en-US"/>
        </w:rPr>
      </w:pPr>
    </w:p>
    <w:p w:rsidR="000E415A" w:rsidRDefault="000E415A" w:rsidP="00F81B86">
      <w:pPr>
        <w:pStyle w:val="NICCYBodyText"/>
        <w:rPr>
          <w:lang w:val="en-US"/>
        </w:rPr>
      </w:pPr>
      <w:proofErr w:type="spellStart"/>
      <w:r w:rsidRPr="00F81B86">
        <w:rPr>
          <w:rFonts w:ascii="ITCFranklinGothicDemi" w:hAnsi="ITCFranklinGothicDemi" w:cs="ITCFranklinGothicDemi"/>
          <w:b/>
          <w:lang w:val="en-US"/>
        </w:rPr>
        <w:t>Mr</w:t>
      </w:r>
      <w:proofErr w:type="spellEnd"/>
      <w:r w:rsidRPr="00F81B86">
        <w:rPr>
          <w:rFonts w:ascii="ITCFranklinGothicDemi" w:hAnsi="ITCFranklinGothicDemi" w:cs="ITCFranklinGothicDemi"/>
          <w:b/>
          <w:lang w:val="en-US"/>
        </w:rPr>
        <w:t xml:space="preserve"> </w:t>
      </w:r>
      <w:proofErr w:type="spellStart"/>
      <w:r w:rsidRPr="00F81B86">
        <w:rPr>
          <w:rFonts w:ascii="ITCFranklinGothicDemi" w:hAnsi="ITCFranklinGothicDemi" w:cs="ITCFranklinGothicDemi"/>
          <w:b/>
          <w:lang w:val="en-US"/>
        </w:rPr>
        <w:t>McCausland</w:t>
      </w:r>
      <w:proofErr w:type="spellEnd"/>
      <w:r w:rsidRPr="00F81B86">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Warm Homes Discount Scheme is a four-year scheme operating in Great Britain,</w:t>
      </w:r>
      <w:r w:rsidR="00F81B86">
        <w:rPr>
          <w:lang w:val="en-US"/>
        </w:rPr>
        <w:t xml:space="preserve"> </w:t>
      </w:r>
      <w:r>
        <w:rPr>
          <w:lang w:val="en-US"/>
        </w:rPr>
        <w:t xml:space="preserve">which commenced in April 2011 and is </w:t>
      </w:r>
      <w:r w:rsidR="00F81B86">
        <w:rPr>
          <w:lang w:val="en-US"/>
        </w:rPr>
        <w:t xml:space="preserve">scheduled to run to March 2015.  </w:t>
      </w:r>
      <w:r>
        <w:rPr>
          <w:lang w:val="en-US"/>
        </w:rPr>
        <w:t>The purpose of the scheme</w:t>
      </w:r>
      <w:r w:rsidR="00F81B86">
        <w:rPr>
          <w:lang w:val="en-US"/>
        </w:rPr>
        <w:t xml:space="preserve"> </w:t>
      </w:r>
      <w:r>
        <w:rPr>
          <w:lang w:val="en-US"/>
        </w:rPr>
        <w:t>is to help low-income and vulnerabl</w:t>
      </w:r>
      <w:r w:rsidR="00F81B86">
        <w:rPr>
          <w:lang w:val="en-US"/>
        </w:rPr>
        <w:t xml:space="preserve">e households with energy costs.  </w:t>
      </w:r>
      <w:r>
        <w:rPr>
          <w:lang w:val="en-US"/>
        </w:rPr>
        <w:t>The Scheme requires participating</w:t>
      </w:r>
      <w:r w:rsidR="00F81B86">
        <w:rPr>
          <w:lang w:val="en-US"/>
        </w:rPr>
        <w:t xml:space="preserve"> </w:t>
      </w:r>
      <w:r>
        <w:rPr>
          <w:lang w:val="en-US"/>
        </w:rPr>
        <w:t>energy suppliers to give a rebate on their electricity bill to a specified group of their older customers</w:t>
      </w:r>
      <w:r w:rsidR="00F81B86">
        <w:rPr>
          <w:lang w:val="en-US"/>
        </w:rPr>
        <w:t xml:space="preserve"> on low incomes.  </w:t>
      </w:r>
      <w:r>
        <w:rPr>
          <w:lang w:val="en-US"/>
        </w:rPr>
        <w:t>The UK Government informs suppliers which households to support through sharing</w:t>
      </w:r>
      <w:r w:rsidR="00F81B86">
        <w:rPr>
          <w:lang w:val="en-US"/>
        </w:rPr>
        <w:t xml:space="preserve"> </w:t>
      </w:r>
      <w:r>
        <w:rPr>
          <w:lang w:val="en-US"/>
        </w:rPr>
        <w:t>limited data between the Department for Work and Pensions and the energy suppliers.</w:t>
      </w:r>
    </w:p>
    <w:p w:rsidR="00F81B86" w:rsidRDefault="00F81B86" w:rsidP="00F81B86">
      <w:pPr>
        <w:pStyle w:val="NICCYBodyText"/>
        <w:rPr>
          <w:lang w:val="en-US"/>
        </w:rPr>
      </w:pPr>
    </w:p>
    <w:p w:rsidR="000E415A" w:rsidRPr="00F81B86" w:rsidRDefault="000E415A" w:rsidP="00F81B86">
      <w:pPr>
        <w:pStyle w:val="NICCYBodyText"/>
        <w:rPr>
          <w:lang w:val="en-US"/>
        </w:rPr>
      </w:pPr>
      <w:r>
        <w:rPr>
          <w:lang w:val="en-US"/>
        </w:rPr>
        <w:t>The Warm Homes Discount Scheme is covered by legislation which does not apply in Northern Ireland.</w:t>
      </w:r>
      <w:r w:rsidR="00F81B86">
        <w:rPr>
          <w:lang w:val="en-US"/>
        </w:rPr>
        <w:t xml:space="preserve">  </w:t>
      </w:r>
      <w:r>
        <w:rPr>
          <w:lang w:val="en-US"/>
        </w:rPr>
        <w:t>Responsibility for introducing any corresponding legislation in Northern Ireland would be a matter for</w:t>
      </w:r>
      <w:r w:rsidR="00F81B86">
        <w:rPr>
          <w:lang w:val="en-US"/>
        </w:rPr>
        <w:t xml:space="preserve"> </w:t>
      </w:r>
      <w:r>
        <w:rPr>
          <w:lang w:val="en-US"/>
        </w:rPr>
        <w:t>the Department for Enterprise, Trade &amp; Investment.</w:t>
      </w:r>
    </w:p>
    <w:p w:rsidR="000E415A" w:rsidRDefault="000E415A" w:rsidP="000E415A">
      <w:pPr>
        <w:pStyle w:val="NICCYBodyText"/>
      </w:pPr>
    </w:p>
    <w:p w:rsidR="000E415A" w:rsidRDefault="000E415A" w:rsidP="000E415A">
      <w:pPr>
        <w:pStyle w:val="NICCYBodyText"/>
      </w:pPr>
      <w:hyperlink w:anchor="_top" w:history="1">
        <w:r w:rsidRPr="007715F2">
          <w:rPr>
            <w:rStyle w:val="Hyperlink"/>
          </w:rPr>
          <w:t>Back to Top</w:t>
        </w:r>
      </w:hyperlink>
    </w:p>
    <w:p w:rsidR="000E415A" w:rsidRDefault="000E415A" w:rsidP="000E415A">
      <w:pPr>
        <w:pStyle w:val="NICCYBodyText"/>
      </w:pPr>
    </w:p>
    <w:p w:rsidR="009560AE" w:rsidRPr="000E415A" w:rsidRDefault="009560AE" w:rsidP="000E415A"/>
    <w:sectPr w:rsidR="009560AE" w:rsidRPr="000E415A" w:rsidSect="002B54AF">
      <w:headerReference w:type="default" r:id="rId10"/>
      <w:footerReference w:type="even" r:id="rId11"/>
      <w:footerReference w:type="default" r:id="rId12"/>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86" w:rsidRDefault="00F81B86" w:rsidP="00CC53D4">
      <w:r>
        <w:separator/>
      </w:r>
    </w:p>
  </w:endnote>
  <w:endnote w:type="continuationSeparator" w:id="0">
    <w:p w:rsidR="00F81B86" w:rsidRDefault="00F81B86"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86" w:rsidRDefault="00F81B86"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81B86" w:rsidRDefault="00F81B86"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86" w:rsidRPr="00D81956" w:rsidRDefault="00F81B86"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635A59">
      <w:rPr>
        <w:rStyle w:val="PageNumber"/>
        <w:rFonts w:ascii="Arial" w:hAnsi="Arial" w:cs="Arial"/>
        <w:noProof/>
        <w:sz w:val="16"/>
        <w:szCs w:val="16"/>
      </w:rPr>
      <w:t>1</w:t>
    </w:r>
    <w:r w:rsidRPr="00D81956">
      <w:rPr>
        <w:rStyle w:val="PageNumber"/>
        <w:rFonts w:ascii="Arial" w:hAnsi="Arial" w:cs="Arial"/>
        <w:sz w:val="16"/>
        <w:szCs w:val="16"/>
      </w:rPr>
      <w:fldChar w:fldCharType="end"/>
    </w:r>
  </w:p>
  <w:p w:rsidR="00F81B86" w:rsidRPr="00D81956" w:rsidRDefault="00F81B86"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F81B86" w:rsidRDefault="00F81B86"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F81B86" w:rsidRDefault="00F81B86"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F81B86" w:rsidRDefault="00F81B86"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F81B86" w:rsidRDefault="00F81B86"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F81B86" w:rsidRDefault="00F81B86"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86" w:rsidRDefault="00F81B86" w:rsidP="00CC53D4">
      <w:r>
        <w:separator/>
      </w:r>
    </w:p>
  </w:footnote>
  <w:footnote w:type="continuationSeparator" w:id="0">
    <w:p w:rsidR="00F81B86" w:rsidRDefault="00F81B86"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F81B86" w:rsidTr="000D52AB">
      <w:tc>
        <w:tcPr>
          <w:tcW w:w="5027" w:type="dxa"/>
          <w:shd w:val="clear" w:color="auto" w:fill="auto"/>
        </w:tcPr>
        <w:p w:rsidR="00F81B86" w:rsidRDefault="00F81B86" w:rsidP="00CC53D4">
          <w:pPr>
            <w:pStyle w:val="CompanyName"/>
          </w:pPr>
        </w:p>
      </w:tc>
      <w:tc>
        <w:tcPr>
          <w:tcW w:w="4855" w:type="dxa"/>
          <w:shd w:val="clear" w:color="auto" w:fill="auto"/>
        </w:tcPr>
        <w:p w:rsidR="00F81B86" w:rsidRDefault="00F81B86" w:rsidP="00CC53D4">
          <w:pPr>
            <w:pStyle w:val="CompanyName"/>
          </w:pPr>
        </w:p>
      </w:tc>
    </w:tr>
  </w:tbl>
  <w:p w:rsidR="00F81B86" w:rsidRDefault="00F81B86"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C7EA8"/>
    <w:multiLevelType w:val="hybridMultilevel"/>
    <w:tmpl w:val="155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8"/>
  </w:num>
  <w:num w:numId="6">
    <w:abstractNumId w:val="9"/>
  </w:num>
  <w:num w:numId="7">
    <w:abstractNumId w:val="6"/>
  </w:num>
  <w:num w:numId="8">
    <w:abstractNumId w:val="4"/>
  </w:num>
  <w:num w:numId="9">
    <w:abstractNumId w:val="0"/>
  </w:num>
  <w:num w:numId="10">
    <w:abstractNumId w:val="7"/>
  </w:num>
  <w:num w:numId="11">
    <w:abstractNumId w:val="5"/>
  </w:num>
  <w:num w:numId="12">
    <w:abstractNumId w:val="1"/>
  </w:num>
  <w:num w:numId="13">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55EA0"/>
    <w:rsid w:val="00071D77"/>
    <w:rsid w:val="000834FA"/>
    <w:rsid w:val="000837F5"/>
    <w:rsid w:val="00093189"/>
    <w:rsid w:val="000D2AEB"/>
    <w:rsid w:val="000D52AB"/>
    <w:rsid w:val="000E415A"/>
    <w:rsid w:val="000F1CDD"/>
    <w:rsid w:val="000F7DDE"/>
    <w:rsid w:val="00110962"/>
    <w:rsid w:val="00115282"/>
    <w:rsid w:val="001324EB"/>
    <w:rsid w:val="00133E56"/>
    <w:rsid w:val="00135AEE"/>
    <w:rsid w:val="00136B0B"/>
    <w:rsid w:val="00142718"/>
    <w:rsid w:val="00162F1C"/>
    <w:rsid w:val="0017007C"/>
    <w:rsid w:val="00190478"/>
    <w:rsid w:val="001911A0"/>
    <w:rsid w:val="001936E2"/>
    <w:rsid w:val="001B1E34"/>
    <w:rsid w:val="001E0551"/>
    <w:rsid w:val="00222A16"/>
    <w:rsid w:val="00245FC8"/>
    <w:rsid w:val="00257738"/>
    <w:rsid w:val="00266801"/>
    <w:rsid w:val="002721BD"/>
    <w:rsid w:val="00280C3B"/>
    <w:rsid w:val="002A3F21"/>
    <w:rsid w:val="002B54AF"/>
    <w:rsid w:val="002D63CA"/>
    <w:rsid w:val="002E017D"/>
    <w:rsid w:val="002E1D4A"/>
    <w:rsid w:val="002F37EE"/>
    <w:rsid w:val="00311BBE"/>
    <w:rsid w:val="003313EA"/>
    <w:rsid w:val="00342A06"/>
    <w:rsid w:val="003505C8"/>
    <w:rsid w:val="00394F1A"/>
    <w:rsid w:val="003A1BB8"/>
    <w:rsid w:val="003B0C0B"/>
    <w:rsid w:val="003E6232"/>
    <w:rsid w:val="003F5501"/>
    <w:rsid w:val="00432B30"/>
    <w:rsid w:val="00451456"/>
    <w:rsid w:val="00483941"/>
    <w:rsid w:val="00490ABC"/>
    <w:rsid w:val="00494024"/>
    <w:rsid w:val="004C026E"/>
    <w:rsid w:val="004F785C"/>
    <w:rsid w:val="0050043B"/>
    <w:rsid w:val="00502CBF"/>
    <w:rsid w:val="0052135F"/>
    <w:rsid w:val="00534EB5"/>
    <w:rsid w:val="00542EC1"/>
    <w:rsid w:val="005525FB"/>
    <w:rsid w:val="00560EC9"/>
    <w:rsid w:val="00594766"/>
    <w:rsid w:val="005C465F"/>
    <w:rsid w:val="005C4D0D"/>
    <w:rsid w:val="005F4C21"/>
    <w:rsid w:val="006013F5"/>
    <w:rsid w:val="006240F5"/>
    <w:rsid w:val="0062524B"/>
    <w:rsid w:val="00635A59"/>
    <w:rsid w:val="006373CF"/>
    <w:rsid w:val="00655558"/>
    <w:rsid w:val="006608EA"/>
    <w:rsid w:val="006754C4"/>
    <w:rsid w:val="00676A55"/>
    <w:rsid w:val="006A5470"/>
    <w:rsid w:val="006B33DC"/>
    <w:rsid w:val="006B7F4A"/>
    <w:rsid w:val="006E5A88"/>
    <w:rsid w:val="006F3562"/>
    <w:rsid w:val="006F3A42"/>
    <w:rsid w:val="006F3F8A"/>
    <w:rsid w:val="006F5620"/>
    <w:rsid w:val="006F6F73"/>
    <w:rsid w:val="0070315A"/>
    <w:rsid w:val="007035A8"/>
    <w:rsid w:val="0070635F"/>
    <w:rsid w:val="0070725E"/>
    <w:rsid w:val="00712D51"/>
    <w:rsid w:val="00727D62"/>
    <w:rsid w:val="00751ADC"/>
    <w:rsid w:val="007526F9"/>
    <w:rsid w:val="0076185E"/>
    <w:rsid w:val="00764644"/>
    <w:rsid w:val="00773FE9"/>
    <w:rsid w:val="007902A6"/>
    <w:rsid w:val="007910C9"/>
    <w:rsid w:val="007915E7"/>
    <w:rsid w:val="007A5E2D"/>
    <w:rsid w:val="007B6113"/>
    <w:rsid w:val="007C183C"/>
    <w:rsid w:val="007D1642"/>
    <w:rsid w:val="008131FD"/>
    <w:rsid w:val="00815A2F"/>
    <w:rsid w:val="00831BDB"/>
    <w:rsid w:val="008654D4"/>
    <w:rsid w:val="00873EBD"/>
    <w:rsid w:val="008822D4"/>
    <w:rsid w:val="008860ED"/>
    <w:rsid w:val="00894865"/>
    <w:rsid w:val="008A31A5"/>
    <w:rsid w:val="008A32FE"/>
    <w:rsid w:val="008B4F31"/>
    <w:rsid w:val="008E3945"/>
    <w:rsid w:val="008F3863"/>
    <w:rsid w:val="009108C4"/>
    <w:rsid w:val="00922E3B"/>
    <w:rsid w:val="00951984"/>
    <w:rsid w:val="00955B1B"/>
    <w:rsid w:val="009560AE"/>
    <w:rsid w:val="009675A2"/>
    <w:rsid w:val="00971DFA"/>
    <w:rsid w:val="00977BED"/>
    <w:rsid w:val="00997DF0"/>
    <w:rsid w:val="009A5DED"/>
    <w:rsid w:val="009C3AA7"/>
    <w:rsid w:val="009D134E"/>
    <w:rsid w:val="009D7DCD"/>
    <w:rsid w:val="009E6D40"/>
    <w:rsid w:val="00A03AF5"/>
    <w:rsid w:val="00A17E57"/>
    <w:rsid w:val="00A206DA"/>
    <w:rsid w:val="00A468ED"/>
    <w:rsid w:val="00A57C15"/>
    <w:rsid w:val="00A66FCA"/>
    <w:rsid w:val="00A70F96"/>
    <w:rsid w:val="00A80E8D"/>
    <w:rsid w:val="00A870AC"/>
    <w:rsid w:val="00A92D13"/>
    <w:rsid w:val="00A971BA"/>
    <w:rsid w:val="00AA2943"/>
    <w:rsid w:val="00AC7EF9"/>
    <w:rsid w:val="00AD4064"/>
    <w:rsid w:val="00AD6E4D"/>
    <w:rsid w:val="00B04461"/>
    <w:rsid w:val="00B13ED0"/>
    <w:rsid w:val="00B23B32"/>
    <w:rsid w:val="00B356B1"/>
    <w:rsid w:val="00B51076"/>
    <w:rsid w:val="00B5127A"/>
    <w:rsid w:val="00B5656D"/>
    <w:rsid w:val="00B63A85"/>
    <w:rsid w:val="00B906EB"/>
    <w:rsid w:val="00BA2319"/>
    <w:rsid w:val="00BB3142"/>
    <w:rsid w:val="00BB603F"/>
    <w:rsid w:val="00BD589F"/>
    <w:rsid w:val="00BE13B4"/>
    <w:rsid w:val="00BF5014"/>
    <w:rsid w:val="00C0081D"/>
    <w:rsid w:val="00C06BD6"/>
    <w:rsid w:val="00C24F32"/>
    <w:rsid w:val="00C31FED"/>
    <w:rsid w:val="00C637A4"/>
    <w:rsid w:val="00C749C1"/>
    <w:rsid w:val="00CA27CA"/>
    <w:rsid w:val="00CC2DCC"/>
    <w:rsid w:val="00CC488F"/>
    <w:rsid w:val="00CC53D4"/>
    <w:rsid w:val="00CC7A32"/>
    <w:rsid w:val="00CE29B6"/>
    <w:rsid w:val="00CF0D19"/>
    <w:rsid w:val="00CF702F"/>
    <w:rsid w:val="00D13D8B"/>
    <w:rsid w:val="00D26C7C"/>
    <w:rsid w:val="00D366DD"/>
    <w:rsid w:val="00D531C5"/>
    <w:rsid w:val="00D65745"/>
    <w:rsid w:val="00D72A9F"/>
    <w:rsid w:val="00D81956"/>
    <w:rsid w:val="00D83956"/>
    <w:rsid w:val="00D94E0A"/>
    <w:rsid w:val="00DA39F1"/>
    <w:rsid w:val="00DB7E5C"/>
    <w:rsid w:val="00DC2FE2"/>
    <w:rsid w:val="00DC417B"/>
    <w:rsid w:val="00DD4FEF"/>
    <w:rsid w:val="00E03CDC"/>
    <w:rsid w:val="00E16583"/>
    <w:rsid w:val="00E347A1"/>
    <w:rsid w:val="00E41050"/>
    <w:rsid w:val="00E44493"/>
    <w:rsid w:val="00E531E2"/>
    <w:rsid w:val="00E62C60"/>
    <w:rsid w:val="00E65508"/>
    <w:rsid w:val="00E84CEC"/>
    <w:rsid w:val="00E85371"/>
    <w:rsid w:val="00EA55B7"/>
    <w:rsid w:val="00EB7847"/>
    <w:rsid w:val="00EE20AD"/>
    <w:rsid w:val="00EE7908"/>
    <w:rsid w:val="00EF62E7"/>
    <w:rsid w:val="00F231CF"/>
    <w:rsid w:val="00F255DF"/>
    <w:rsid w:val="00F2595C"/>
    <w:rsid w:val="00F3674D"/>
    <w:rsid w:val="00F6320A"/>
    <w:rsid w:val="00F81B86"/>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754A-668D-4EB1-8E4F-F69F6002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2014-04-07T12:23:00Z</dcterms:created>
  <dcterms:modified xsi:type="dcterms:W3CDTF">2014-04-07T13:05:00Z</dcterms:modified>
</cp:coreProperties>
</file>