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9A" w:rsidRDefault="00F3229A" w:rsidP="00F3229A">
      <w:pPr>
        <w:pStyle w:val="NICCYHeading"/>
      </w:pPr>
      <w:r>
        <w:t xml:space="preserve">NICCY Summary: </w:t>
      </w:r>
      <w:r w:rsidRPr="005871A1">
        <w:t>Written Assembly Questions Friday</w:t>
      </w:r>
      <w:r w:rsidR="001C3FD9">
        <w:t xml:space="preserve"> </w:t>
      </w:r>
      <w:r w:rsidR="00913158">
        <w:t>16</w:t>
      </w:r>
      <w:r w:rsidR="001B6EC2" w:rsidRPr="001B6EC2">
        <w:rPr>
          <w:vertAlign w:val="superscript"/>
        </w:rPr>
        <w:t>th</w:t>
      </w:r>
      <w:r w:rsidR="001B6EC2">
        <w:t xml:space="preserve"> </w:t>
      </w:r>
      <w:r w:rsidR="0017312A" w:rsidRPr="00DC69F8">
        <w:t>May 2014</w:t>
      </w:r>
    </w:p>
    <w:p w:rsidR="001B6EC2" w:rsidRDefault="001B6EC2" w:rsidP="00F3229A">
      <w:pPr>
        <w:pStyle w:val="NICCYHeading"/>
      </w:pPr>
    </w:p>
    <w:p w:rsidR="003201AE" w:rsidRDefault="003201AE" w:rsidP="003201AE">
      <w:pPr>
        <w:pStyle w:val="Heading2"/>
        <w:numPr>
          <w:ilvl w:val="0"/>
          <w:numId w:val="33"/>
        </w:numPr>
        <w:rPr>
          <w:rFonts w:eastAsiaTheme="minorEastAsia" w:cs="Arial"/>
          <w:bCs w:val="0"/>
          <w:color w:val="23A4DE"/>
          <w:szCs w:val="28"/>
        </w:rPr>
      </w:pPr>
      <w:hyperlink w:anchor="_Gapping_and_Mapping" w:history="1">
        <w:r w:rsidRPr="003201AE">
          <w:rPr>
            <w:color w:val="23A4DE"/>
            <w:szCs w:val="28"/>
          </w:rPr>
          <w:t>Gapping and Mapping Exerc</w:t>
        </w:r>
        <w:r w:rsidRPr="003201AE">
          <w:rPr>
            <w:color w:val="23A4DE"/>
            <w:szCs w:val="28"/>
          </w:rPr>
          <w:t>i</w:t>
        </w:r>
        <w:r w:rsidRPr="003201AE">
          <w:rPr>
            <w:color w:val="23A4DE"/>
            <w:szCs w:val="28"/>
          </w:rPr>
          <w:t>se on Int</w:t>
        </w:r>
        <w:r w:rsidRPr="003201AE">
          <w:rPr>
            <w:color w:val="23A4DE"/>
            <w:szCs w:val="28"/>
          </w:rPr>
          <w:t>e</w:t>
        </w:r>
        <w:r w:rsidRPr="003201AE">
          <w:rPr>
            <w:color w:val="23A4DE"/>
            <w:szCs w:val="28"/>
          </w:rPr>
          <w:t>rnet Safety</w:t>
        </w:r>
      </w:hyperlink>
    </w:p>
    <w:p w:rsidR="003201AE" w:rsidRDefault="003201AE" w:rsidP="003201AE">
      <w:pPr>
        <w:rPr>
          <w:rFonts w:eastAsiaTheme="minorEastAsia"/>
        </w:rPr>
      </w:pPr>
    </w:p>
    <w:p w:rsidR="003201AE" w:rsidRDefault="003201AE" w:rsidP="003201AE">
      <w:pPr>
        <w:pStyle w:val="Heading2"/>
        <w:numPr>
          <w:ilvl w:val="0"/>
          <w:numId w:val="33"/>
        </w:numPr>
        <w:rPr>
          <w:color w:val="23A4DE"/>
          <w:szCs w:val="28"/>
        </w:rPr>
      </w:pPr>
      <w:hyperlink w:anchor="_Childcare:_Costs/Policy" w:history="1">
        <w:r w:rsidRPr="003201AE">
          <w:rPr>
            <w:color w:val="23A4DE"/>
            <w:szCs w:val="28"/>
          </w:rPr>
          <w:t>Childcare: C</w:t>
        </w:r>
        <w:r w:rsidRPr="003201AE">
          <w:rPr>
            <w:color w:val="23A4DE"/>
            <w:szCs w:val="28"/>
          </w:rPr>
          <w:t>o</w:t>
        </w:r>
        <w:r w:rsidRPr="003201AE">
          <w:rPr>
            <w:color w:val="23A4DE"/>
            <w:szCs w:val="28"/>
          </w:rPr>
          <w:t>s</w:t>
        </w:r>
        <w:r w:rsidRPr="003201AE">
          <w:rPr>
            <w:color w:val="23A4DE"/>
            <w:szCs w:val="28"/>
          </w:rPr>
          <w:t>ts/Policy</w:t>
        </w:r>
      </w:hyperlink>
    </w:p>
    <w:p w:rsidR="00B37997" w:rsidRDefault="00B37997" w:rsidP="00B37997">
      <w:pPr>
        <w:rPr>
          <w:rFonts w:eastAsiaTheme="minorEastAsia"/>
        </w:rPr>
      </w:pPr>
    </w:p>
    <w:p w:rsidR="00B37997" w:rsidRDefault="00B37997" w:rsidP="00B37997">
      <w:pPr>
        <w:pStyle w:val="Heading2"/>
        <w:numPr>
          <w:ilvl w:val="0"/>
          <w:numId w:val="33"/>
        </w:numPr>
        <w:rPr>
          <w:color w:val="23A4DE"/>
          <w:szCs w:val="28"/>
        </w:rPr>
      </w:pPr>
      <w:hyperlink w:anchor="_Bright_Start" w:history="1">
        <w:r w:rsidRPr="00B37997">
          <w:rPr>
            <w:color w:val="23A4DE"/>
            <w:szCs w:val="28"/>
          </w:rPr>
          <w:t>Brig</w:t>
        </w:r>
        <w:r w:rsidRPr="00B37997">
          <w:rPr>
            <w:color w:val="23A4DE"/>
            <w:szCs w:val="28"/>
          </w:rPr>
          <w:t>h</w:t>
        </w:r>
        <w:r w:rsidRPr="00B37997">
          <w:rPr>
            <w:color w:val="23A4DE"/>
            <w:szCs w:val="28"/>
          </w:rPr>
          <w:t xml:space="preserve">t </w:t>
        </w:r>
        <w:r w:rsidRPr="00B37997">
          <w:rPr>
            <w:color w:val="23A4DE"/>
            <w:szCs w:val="28"/>
          </w:rPr>
          <w:t>S</w:t>
        </w:r>
        <w:r w:rsidRPr="00B37997">
          <w:rPr>
            <w:color w:val="23A4DE"/>
            <w:szCs w:val="28"/>
          </w:rPr>
          <w:t>tart</w:t>
        </w:r>
      </w:hyperlink>
    </w:p>
    <w:p w:rsidR="00B37997" w:rsidRDefault="00B37997" w:rsidP="00B37997">
      <w:pPr>
        <w:rPr>
          <w:rFonts w:eastAsiaTheme="minorEastAsia"/>
        </w:rPr>
      </w:pPr>
    </w:p>
    <w:p w:rsidR="00B37997" w:rsidRDefault="00B37997" w:rsidP="00B37997">
      <w:pPr>
        <w:pStyle w:val="Heading2"/>
        <w:numPr>
          <w:ilvl w:val="0"/>
          <w:numId w:val="33"/>
        </w:numPr>
        <w:rPr>
          <w:color w:val="23A4DE"/>
          <w:szCs w:val="28"/>
        </w:rPr>
      </w:pPr>
      <w:hyperlink w:anchor="_Bright_Start_1" w:history="1">
        <w:r w:rsidRPr="00B37997">
          <w:rPr>
            <w:color w:val="23A4DE"/>
            <w:szCs w:val="28"/>
          </w:rPr>
          <w:t>Brigh</w:t>
        </w:r>
        <w:r w:rsidRPr="00B37997">
          <w:rPr>
            <w:color w:val="23A4DE"/>
            <w:szCs w:val="28"/>
          </w:rPr>
          <w:t>t</w:t>
        </w:r>
        <w:r w:rsidRPr="00B37997">
          <w:rPr>
            <w:color w:val="23A4DE"/>
            <w:szCs w:val="28"/>
          </w:rPr>
          <w:t xml:space="preserve"> </w:t>
        </w:r>
        <w:r w:rsidRPr="00B37997">
          <w:rPr>
            <w:color w:val="23A4DE"/>
            <w:szCs w:val="28"/>
          </w:rPr>
          <w:t>S</w:t>
        </w:r>
        <w:r w:rsidRPr="00B37997">
          <w:rPr>
            <w:color w:val="23A4DE"/>
            <w:szCs w:val="28"/>
          </w:rPr>
          <w:t>tart</w:t>
        </w:r>
      </w:hyperlink>
    </w:p>
    <w:p w:rsidR="00B37997" w:rsidRDefault="00B37997" w:rsidP="00B37997">
      <w:pPr>
        <w:rPr>
          <w:rFonts w:eastAsiaTheme="minorEastAsia"/>
        </w:rPr>
      </w:pPr>
    </w:p>
    <w:p w:rsidR="00B37997" w:rsidRDefault="00B37997" w:rsidP="00B37997">
      <w:pPr>
        <w:pStyle w:val="Heading2"/>
        <w:numPr>
          <w:ilvl w:val="0"/>
          <w:numId w:val="33"/>
        </w:numPr>
        <w:rPr>
          <w:color w:val="23A4DE"/>
          <w:szCs w:val="28"/>
        </w:rPr>
      </w:pPr>
      <w:hyperlink w:anchor="_Early_Years_Programme" w:history="1">
        <w:r w:rsidRPr="000F3A4A">
          <w:rPr>
            <w:color w:val="23A4DE"/>
            <w:szCs w:val="28"/>
          </w:rPr>
          <w:t>Early Y</w:t>
        </w:r>
        <w:r w:rsidRPr="000F3A4A">
          <w:rPr>
            <w:color w:val="23A4DE"/>
            <w:szCs w:val="28"/>
          </w:rPr>
          <w:t>e</w:t>
        </w:r>
        <w:r w:rsidRPr="000F3A4A">
          <w:rPr>
            <w:color w:val="23A4DE"/>
            <w:szCs w:val="28"/>
          </w:rPr>
          <w:t>ars Pr</w:t>
        </w:r>
        <w:r w:rsidRPr="000F3A4A">
          <w:rPr>
            <w:color w:val="23A4DE"/>
            <w:szCs w:val="28"/>
          </w:rPr>
          <w:t>o</w:t>
        </w:r>
        <w:r w:rsidRPr="000F3A4A">
          <w:rPr>
            <w:color w:val="23A4DE"/>
            <w:szCs w:val="28"/>
          </w:rPr>
          <w:t>gramme</w:t>
        </w:r>
      </w:hyperlink>
    </w:p>
    <w:p w:rsidR="000F3A4A" w:rsidRDefault="000F3A4A" w:rsidP="000F3A4A">
      <w:pPr>
        <w:rPr>
          <w:rFonts w:eastAsiaTheme="minorEastAsia"/>
        </w:rPr>
      </w:pPr>
    </w:p>
    <w:p w:rsidR="000F3A4A" w:rsidRPr="008D31BB" w:rsidRDefault="000F3A4A" w:rsidP="000F3A4A">
      <w:pPr>
        <w:pStyle w:val="Heading2"/>
        <w:numPr>
          <w:ilvl w:val="0"/>
          <w:numId w:val="33"/>
        </w:numPr>
        <w:rPr>
          <w:color w:val="23A4DE"/>
          <w:szCs w:val="28"/>
        </w:rPr>
      </w:pPr>
      <w:hyperlink w:anchor="_Early_Years_Capacity" w:history="1">
        <w:r w:rsidRPr="008D31BB">
          <w:rPr>
            <w:color w:val="23A4DE"/>
            <w:szCs w:val="28"/>
          </w:rPr>
          <w:t>Early Years Capacity B</w:t>
        </w:r>
        <w:r w:rsidRPr="008D31BB">
          <w:rPr>
            <w:color w:val="23A4DE"/>
            <w:szCs w:val="28"/>
          </w:rPr>
          <w:t>u</w:t>
        </w:r>
        <w:r w:rsidRPr="008D31BB">
          <w:rPr>
            <w:color w:val="23A4DE"/>
            <w:szCs w:val="28"/>
          </w:rPr>
          <w:t>ilding Pilots</w:t>
        </w:r>
      </w:hyperlink>
    </w:p>
    <w:p w:rsidR="008D31BB" w:rsidRDefault="008D31BB" w:rsidP="008D31BB">
      <w:pPr>
        <w:rPr>
          <w:rFonts w:eastAsiaTheme="minorEastAsia"/>
          <w:lang w:val="en-US"/>
        </w:rPr>
      </w:pPr>
    </w:p>
    <w:p w:rsidR="008D31BB" w:rsidRPr="008D31BB" w:rsidRDefault="008D31BB" w:rsidP="008D31BB">
      <w:pPr>
        <w:pStyle w:val="Heading2"/>
        <w:numPr>
          <w:ilvl w:val="0"/>
          <w:numId w:val="33"/>
        </w:numPr>
        <w:rPr>
          <w:color w:val="23A4DE"/>
          <w:szCs w:val="28"/>
        </w:rPr>
      </w:pPr>
      <w:hyperlink w:anchor="_Phase_2_of" w:history="1">
        <w:r w:rsidRPr="008D31BB">
          <w:rPr>
            <w:color w:val="23A4DE"/>
            <w:szCs w:val="28"/>
          </w:rPr>
          <w:t>Phase 2 of the Child M</w:t>
        </w:r>
        <w:r w:rsidRPr="008D31BB">
          <w:rPr>
            <w:color w:val="23A4DE"/>
            <w:szCs w:val="28"/>
          </w:rPr>
          <w:t>a</w:t>
        </w:r>
        <w:r w:rsidRPr="008D31BB">
          <w:rPr>
            <w:color w:val="23A4DE"/>
            <w:szCs w:val="28"/>
          </w:rPr>
          <w:t>intenance Reform Programme</w:t>
        </w:r>
      </w:hyperlink>
    </w:p>
    <w:p w:rsidR="008D31BB" w:rsidRPr="008D31BB" w:rsidRDefault="008D31BB" w:rsidP="008D31BB">
      <w:pPr>
        <w:rPr>
          <w:rFonts w:eastAsiaTheme="minorEastAsia"/>
          <w:lang w:val="en-US"/>
        </w:rPr>
      </w:pPr>
    </w:p>
    <w:p w:rsidR="000F3A4A" w:rsidRPr="000F3A4A" w:rsidRDefault="000F3A4A" w:rsidP="000F3A4A">
      <w:pPr>
        <w:rPr>
          <w:rFonts w:eastAsiaTheme="minorEastAsia"/>
        </w:rPr>
      </w:pPr>
    </w:p>
    <w:p w:rsidR="00B37997" w:rsidRPr="00B37997" w:rsidRDefault="00B37997" w:rsidP="00B37997">
      <w:pPr>
        <w:rPr>
          <w:rFonts w:eastAsiaTheme="minorEastAsia"/>
        </w:rPr>
      </w:pPr>
    </w:p>
    <w:p w:rsidR="00B37997" w:rsidRPr="00B37997" w:rsidRDefault="00B37997" w:rsidP="00B37997">
      <w:pPr>
        <w:rPr>
          <w:rFonts w:eastAsiaTheme="minorEastAsia"/>
        </w:rPr>
      </w:pPr>
    </w:p>
    <w:p w:rsidR="00B37997" w:rsidRPr="00B37997" w:rsidRDefault="00B37997" w:rsidP="00B37997">
      <w:pPr>
        <w:rPr>
          <w:rFonts w:eastAsiaTheme="minorEastAsia"/>
        </w:rPr>
      </w:pPr>
    </w:p>
    <w:p w:rsidR="003201AE" w:rsidRPr="003201AE" w:rsidRDefault="003201AE" w:rsidP="003201AE">
      <w:pPr>
        <w:rPr>
          <w:rFonts w:eastAsiaTheme="minorEastAsia"/>
        </w:rPr>
      </w:pPr>
    </w:p>
    <w:p w:rsidR="00913158" w:rsidRDefault="00913158" w:rsidP="00F3229A">
      <w:pPr>
        <w:pStyle w:val="NICCYHeading"/>
      </w:pPr>
    </w:p>
    <w:p w:rsidR="00913158" w:rsidRDefault="00913158" w:rsidP="00F3229A">
      <w:pPr>
        <w:pStyle w:val="NICCYHeading"/>
      </w:pPr>
    </w:p>
    <w:p w:rsidR="00913158" w:rsidRDefault="00913158" w:rsidP="00F3229A">
      <w:pPr>
        <w:pStyle w:val="NICCYHeading"/>
      </w:pPr>
    </w:p>
    <w:p w:rsidR="00913158" w:rsidRDefault="00913158" w:rsidP="00F3229A">
      <w:pPr>
        <w:pStyle w:val="NICCYHeading"/>
      </w:pPr>
    </w:p>
    <w:p w:rsidR="00913158" w:rsidRDefault="00913158" w:rsidP="00F3229A">
      <w:pPr>
        <w:pStyle w:val="NICCYHeading"/>
      </w:pPr>
    </w:p>
    <w:p w:rsidR="00913158" w:rsidRDefault="00B37997" w:rsidP="000F3A4A">
      <w:pPr>
        <w:pStyle w:val="NICCYHeading"/>
        <w:spacing w:line="240" w:lineRule="auto"/>
        <w:rPr>
          <w:lang w:val="en-US"/>
        </w:rPr>
      </w:pPr>
      <w:r>
        <w:br/>
      </w:r>
      <w:r w:rsidR="003201AE">
        <w:br/>
      </w:r>
      <w:r w:rsidR="00913158">
        <w:rPr>
          <w:lang w:val="en-US"/>
        </w:rPr>
        <w:lastRenderedPageBreak/>
        <w:t>Office of the First Minister and deputy First Minister</w:t>
      </w:r>
    </w:p>
    <w:p w:rsidR="00913158" w:rsidRPr="00913158" w:rsidRDefault="00913158" w:rsidP="000F3A4A">
      <w:pPr>
        <w:pStyle w:val="Heading2"/>
        <w:rPr>
          <w:rFonts w:eastAsiaTheme="minorEastAsia" w:cs="Arial"/>
          <w:bCs w:val="0"/>
          <w:color w:val="23A4DE"/>
          <w:szCs w:val="28"/>
          <w:lang w:val="en-US"/>
        </w:rPr>
      </w:pPr>
      <w:bookmarkStart w:id="0" w:name="_Gapping_and_Mapping"/>
      <w:bookmarkEnd w:id="0"/>
      <w:r w:rsidRPr="00913158">
        <w:rPr>
          <w:rFonts w:eastAsiaTheme="minorEastAsia" w:cs="Arial"/>
          <w:bCs w:val="0"/>
          <w:color w:val="23A4DE"/>
          <w:szCs w:val="28"/>
          <w:lang w:val="en-US"/>
        </w:rPr>
        <w:t xml:space="preserve">Gapping and Mapping Exercise on </w:t>
      </w:r>
      <w:r w:rsidRPr="003201AE">
        <w:rPr>
          <w:rFonts w:eastAsiaTheme="minorEastAsia" w:cs="Arial"/>
          <w:bCs w:val="0"/>
          <w:color w:val="23A4DE"/>
          <w:szCs w:val="28"/>
          <w:lang w:val="en-US"/>
        </w:rPr>
        <w:t>Internet Safety</w:t>
      </w:r>
    </w:p>
    <w:p w:rsidR="00913158" w:rsidRDefault="00913158" w:rsidP="00913158">
      <w:pPr>
        <w:pStyle w:val="NICCYBodyText"/>
        <w:rPr>
          <w:lang w:val="en-US"/>
        </w:rPr>
      </w:pPr>
      <w:r w:rsidRPr="00913158">
        <w:rPr>
          <w:rFonts w:ascii="ITCFranklinGothicDemi" w:hAnsi="ITCFranklinGothicDemi" w:cs="ITCFranklinGothicDemi"/>
          <w:b/>
          <w:lang w:val="en-US"/>
        </w:rPr>
        <w:t>Mrs Overend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asked the First Minister and deputy First Minister when the report on the Gapping and Mapping Exercise on Internet Safety was given to the Safeguarding Board NI for amendment; and when they expect to publish its findings.</w:t>
      </w:r>
    </w:p>
    <w:p w:rsidR="00913158" w:rsidRDefault="00913158" w:rsidP="00913158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31637/11-15)</w:t>
      </w:r>
    </w:p>
    <w:p w:rsidR="00913158" w:rsidRDefault="00913158" w:rsidP="00913158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913158" w:rsidRDefault="00913158" w:rsidP="00913158">
      <w:pPr>
        <w:pStyle w:val="NICCYBodyText"/>
        <w:rPr>
          <w:lang w:val="en-US"/>
        </w:rPr>
      </w:pPr>
      <w:r w:rsidRPr="00913158">
        <w:rPr>
          <w:rFonts w:ascii="ITCFranklinGothicDemi" w:hAnsi="ITCFranklinGothicDemi" w:cs="ITCFranklinGothicDemi"/>
          <w:b/>
          <w:lang w:val="en-US"/>
        </w:rPr>
        <w:t xml:space="preserve">Mr P Robinson and Mr M </w:t>
      </w:r>
      <w:proofErr w:type="spellStart"/>
      <w:r w:rsidRPr="00913158">
        <w:rPr>
          <w:rFonts w:ascii="ITCFranklinGothicDemi" w:hAnsi="ITCFranklinGothicDemi" w:cs="ITCFranklinGothicDemi"/>
          <w:b/>
          <w:lang w:val="en-US"/>
        </w:rPr>
        <w:t>McGuinness</w:t>
      </w:r>
      <w:proofErr w:type="spellEnd"/>
      <w:r w:rsidRPr="00913158">
        <w:rPr>
          <w:rFonts w:ascii="ITCFranklinGothicDemi" w:hAnsi="ITCFranklinGothicDemi" w:cs="ITCFranklinGothicDemi"/>
          <w:b/>
          <w:lang w:val="en-US"/>
        </w:rPr>
        <w:t>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OFMDFM wrote to the Safeguarding Board for Northern Ireland</w:t>
      </w:r>
      <w:r w:rsidR="003201AE">
        <w:rPr>
          <w:lang w:val="en-US"/>
        </w:rPr>
        <w:t xml:space="preserve"> </w:t>
      </w:r>
      <w:r>
        <w:rPr>
          <w:lang w:val="en-US"/>
        </w:rPr>
        <w:t>(SBNI) on 10 December 2013 to establish whether, in its capacity as the statutory body charged with</w:t>
      </w:r>
      <w:r w:rsidR="003201AE">
        <w:rPr>
          <w:lang w:val="en-US"/>
        </w:rPr>
        <w:t xml:space="preserve"> </w:t>
      </w:r>
      <w:r>
        <w:rPr>
          <w:lang w:val="en-US"/>
        </w:rPr>
        <w:t>safeguarding children, it would be willing to carry out an assessment on the risks identified in the</w:t>
      </w:r>
      <w:r w:rsidR="003201AE">
        <w:rPr>
          <w:lang w:val="en-US"/>
        </w:rPr>
        <w:t xml:space="preserve"> Gapping and Mapping Exercise.  </w:t>
      </w:r>
      <w:r>
        <w:rPr>
          <w:lang w:val="en-US"/>
        </w:rPr>
        <w:t>At that stage, the Department only provided the SBNI with a copy of the</w:t>
      </w:r>
      <w:r w:rsidR="003201AE">
        <w:rPr>
          <w:lang w:val="en-US"/>
        </w:rPr>
        <w:t xml:space="preserve"> </w:t>
      </w:r>
      <w:r>
        <w:rPr>
          <w:lang w:val="en-US"/>
        </w:rPr>
        <w:t>template which was used to carry out the exercise rather than the full report until we had obtained their</w:t>
      </w:r>
      <w:r w:rsidR="003201AE">
        <w:rPr>
          <w:lang w:val="en-US"/>
        </w:rPr>
        <w:t xml:space="preserve"> </w:t>
      </w:r>
      <w:r>
        <w:rPr>
          <w:lang w:val="en-US"/>
        </w:rPr>
        <w:t>agreement to carry out the assessment.</w:t>
      </w:r>
      <w:r w:rsidR="003201AE">
        <w:rPr>
          <w:lang w:val="en-US"/>
        </w:rPr>
        <w:t xml:space="preserve">  </w:t>
      </w:r>
      <w:r>
        <w:rPr>
          <w:lang w:val="en-US"/>
        </w:rPr>
        <w:t>This issue was raised during the recent Assembly debate on 10 February 2014 to mark Safer Internet</w:t>
      </w:r>
      <w:r w:rsidR="003201AE">
        <w:rPr>
          <w:lang w:val="en-US"/>
        </w:rPr>
        <w:t xml:space="preserve"> </w:t>
      </w:r>
      <w:r>
        <w:rPr>
          <w:lang w:val="en-US"/>
        </w:rPr>
        <w:t>Day and Junior Ministers have now written to the Speaker to provide clarification around this issue.</w:t>
      </w:r>
    </w:p>
    <w:p w:rsidR="003201AE" w:rsidRDefault="003201AE" w:rsidP="00913158">
      <w:pPr>
        <w:pStyle w:val="NICCYBodyText"/>
        <w:rPr>
          <w:lang w:val="en-US"/>
        </w:rPr>
      </w:pPr>
    </w:p>
    <w:p w:rsidR="00913158" w:rsidRDefault="00913158" w:rsidP="00913158">
      <w:pPr>
        <w:pStyle w:val="NICCYBodyText"/>
        <w:rPr>
          <w:lang w:val="en-US"/>
        </w:rPr>
      </w:pPr>
      <w:r>
        <w:rPr>
          <w:lang w:val="en-US"/>
        </w:rPr>
        <w:t>Officials met with the SBNI on 10 March 2014 and a letter has now been issued to DHSSPS to ask it</w:t>
      </w:r>
      <w:r w:rsidR="003201AE">
        <w:rPr>
          <w:lang w:val="en-US"/>
        </w:rPr>
        <w:t xml:space="preserve"> </w:t>
      </w:r>
      <w:r>
        <w:rPr>
          <w:lang w:val="en-US"/>
        </w:rPr>
        <w:t>to commission the SBNI to carry out the assessment.</w:t>
      </w:r>
      <w:r w:rsidR="003201AE">
        <w:rPr>
          <w:lang w:val="en-US"/>
        </w:rPr>
        <w:t xml:space="preserve">  </w:t>
      </w:r>
      <w:r>
        <w:rPr>
          <w:lang w:val="en-US"/>
        </w:rPr>
        <w:t>The safety of children is our paramount concern and we want to make sure that any action we take will</w:t>
      </w:r>
    </w:p>
    <w:p w:rsidR="00913158" w:rsidRDefault="00913158" w:rsidP="00913158">
      <w:pPr>
        <w:pStyle w:val="NICCYBodyText"/>
        <w:rPr>
          <w:lang w:val="en-US"/>
        </w:rPr>
      </w:pPr>
      <w:r>
        <w:rPr>
          <w:lang w:val="en-US"/>
        </w:rPr>
        <w:t>not expo</w:t>
      </w:r>
      <w:r w:rsidR="003201AE">
        <w:rPr>
          <w:lang w:val="en-US"/>
        </w:rPr>
        <w:t xml:space="preserve">se children to additional risk.  </w:t>
      </w:r>
      <w:r>
        <w:rPr>
          <w:lang w:val="en-US"/>
        </w:rPr>
        <w:t>As a result, we are also asking DHSSPS to request advice from</w:t>
      </w:r>
      <w:r w:rsidR="003201AE">
        <w:rPr>
          <w:lang w:val="en-US"/>
        </w:rPr>
        <w:t xml:space="preserve"> </w:t>
      </w:r>
      <w:r>
        <w:rPr>
          <w:lang w:val="en-US"/>
        </w:rPr>
        <w:t>the SBNI on whether it is appropriate to publish the gap analysis report at any stage.</w:t>
      </w:r>
    </w:p>
    <w:p w:rsidR="00913158" w:rsidRDefault="00913158" w:rsidP="00913158">
      <w:pPr>
        <w:pStyle w:val="NICCYBodyText"/>
        <w:rPr>
          <w:rFonts w:ascii="ITCFranklinGothicBook" w:hAnsi="ITCFranklinGothicBook" w:cs="ITCFranklinGothicBook"/>
          <w:lang w:val="en-US"/>
        </w:rPr>
      </w:pPr>
    </w:p>
    <w:p w:rsidR="003201AE" w:rsidRDefault="003201AE" w:rsidP="003201AE">
      <w:pPr>
        <w:pStyle w:val="NICCYBodyText"/>
      </w:pPr>
      <w:hyperlink w:anchor="_top" w:history="1">
        <w:r w:rsidRPr="007715F2">
          <w:rPr>
            <w:rStyle w:val="Hyperlink"/>
          </w:rPr>
          <w:t xml:space="preserve">Back to </w:t>
        </w:r>
        <w:r w:rsidRPr="007715F2">
          <w:rPr>
            <w:rStyle w:val="Hyperlink"/>
          </w:rPr>
          <w:t>T</w:t>
        </w:r>
        <w:r w:rsidRPr="007715F2">
          <w:rPr>
            <w:rStyle w:val="Hyperlink"/>
          </w:rPr>
          <w:t>op</w:t>
        </w:r>
      </w:hyperlink>
    </w:p>
    <w:p w:rsidR="000F3A4A" w:rsidRDefault="000F3A4A" w:rsidP="000F3A4A">
      <w:pPr>
        <w:pStyle w:val="NICCYBodyText"/>
      </w:pPr>
      <w:bookmarkStart w:id="1" w:name="_Childcare:_Costs/Policy"/>
      <w:bookmarkEnd w:id="1"/>
      <w:r>
        <w:br/>
      </w:r>
    </w:p>
    <w:p w:rsidR="000F3A4A" w:rsidRDefault="000F3A4A" w:rsidP="000F3A4A">
      <w:pPr>
        <w:pStyle w:val="NICCYBodyText"/>
      </w:pPr>
    </w:p>
    <w:p w:rsidR="000F3A4A" w:rsidRDefault="000F3A4A" w:rsidP="000F3A4A">
      <w:pPr>
        <w:pStyle w:val="NICCYBodyText"/>
      </w:pPr>
    </w:p>
    <w:p w:rsidR="000F3A4A" w:rsidRDefault="000F3A4A" w:rsidP="000F3A4A">
      <w:pPr>
        <w:pStyle w:val="NICCYBodyText"/>
      </w:pPr>
    </w:p>
    <w:p w:rsidR="000F3A4A" w:rsidRDefault="000F3A4A" w:rsidP="000F3A4A">
      <w:pPr>
        <w:pStyle w:val="NICCYBodyText"/>
      </w:pPr>
    </w:p>
    <w:p w:rsidR="000F3A4A" w:rsidRDefault="000F3A4A" w:rsidP="000F3A4A">
      <w:pPr>
        <w:pStyle w:val="NICCYBodyText"/>
      </w:pPr>
    </w:p>
    <w:p w:rsidR="000F3A4A" w:rsidRDefault="000F3A4A" w:rsidP="000F3A4A">
      <w:pPr>
        <w:pStyle w:val="NICCYBodyText"/>
      </w:pPr>
    </w:p>
    <w:p w:rsidR="000F3A4A" w:rsidRDefault="000F3A4A" w:rsidP="000F3A4A">
      <w:pPr>
        <w:pStyle w:val="NICCYBodyText"/>
      </w:pPr>
    </w:p>
    <w:p w:rsidR="000F3A4A" w:rsidRDefault="000F3A4A" w:rsidP="000F3A4A">
      <w:pPr>
        <w:pStyle w:val="NICCYBodyText"/>
      </w:pPr>
    </w:p>
    <w:p w:rsidR="00913158" w:rsidRPr="000F3A4A" w:rsidRDefault="00913158" w:rsidP="000F3A4A">
      <w:pPr>
        <w:pStyle w:val="NICCYBodyText"/>
        <w:rPr>
          <w:b/>
          <w:sz w:val="28"/>
          <w:szCs w:val="28"/>
        </w:rPr>
      </w:pPr>
      <w:r w:rsidRPr="000F3A4A">
        <w:rPr>
          <w:b/>
          <w:color w:val="23A4DE"/>
          <w:sz w:val="28"/>
          <w:szCs w:val="28"/>
          <w:lang w:val="en-US"/>
        </w:rPr>
        <w:lastRenderedPageBreak/>
        <w:t>Childcare: Costs/Policy</w:t>
      </w:r>
    </w:p>
    <w:p w:rsidR="00913158" w:rsidRDefault="00913158" w:rsidP="003201AE">
      <w:pPr>
        <w:pStyle w:val="NICCYBodyText"/>
        <w:rPr>
          <w:lang w:val="en-US"/>
        </w:rPr>
      </w:pPr>
      <w:r w:rsidRPr="003201AE">
        <w:rPr>
          <w:rFonts w:ascii="ITCFranklinGothicDemi" w:hAnsi="ITCFranklinGothicDemi" w:cs="ITCFranklinGothicDemi"/>
          <w:b/>
          <w:lang w:val="en-US"/>
        </w:rPr>
        <w:t>Mrs Cochrane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asked the First Minister and deputy First Minister how the recent 2014 UK Budget</w:t>
      </w:r>
      <w:r w:rsidR="003201AE">
        <w:rPr>
          <w:lang w:val="en-US"/>
        </w:rPr>
        <w:t xml:space="preserve"> </w:t>
      </w:r>
      <w:r>
        <w:rPr>
          <w:lang w:val="en-US"/>
        </w:rPr>
        <w:t>announcement on help with childcare costs will affect their childcare policy.</w:t>
      </w:r>
    </w:p>
    <w:p w:rsidR="00913158" w:rsidRDefault="00913158" w:rsidP="003201AE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(AQO 5998/11-15)</w:t>
      </w:r>
    </w:p>
    <w:p w:rsidR="003201AE" w:rsidRDefault="003201AE" w:rsidP="003201AE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913158" w:rsidRDefault="00913158" w:rsidP="003201AE">
      <w:pPr>
        <w:pStyle w:val="NICCYBodyText"/>
        <w:rPr>
          <w:lang w:val="en-US"/>
        </w:rPr>
      </w:pPr>
      <w:r w:rsidRPr="003201AE">
        <w:rPr>
          <w:rFonts w:ascii="ITCFranklinGothicDemi" w:hAnsi="ITCFranklinGothicDemi" w:cs="ITCFranklinGothicDemi"/>
          <w:b/>
          <w:lang w:val="en-US"/>
        </w:rPr>
        <w:t>Mr P Robinson and Mr M McGuinness: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The first phase of the Bright Start School Age Childcare</w:t>
      </w:r>
      <w:r w:rsidR="003201AE">
        <w:rPr>
          <w:lang w:val="en-US"/>
        </w:rPr>
        <w:t xml:space="preserve"> </w:t>
      </w:r>
      <w:r>
        <w:rPr>
          <w:lang w:val="en-US"/>
        </w:rPr>
        <w:t>Strategy will promote current government assistance with the costs of childcare (childcare vouchers</w:t>
      </w:r>
      <w:r w:rsidR="003201AE">
        <w:rPr>
          <w:lang w:val="en-US"/>
        </w:rPr>
        <w:t xml:space="preserve"> </w:t>
      </w:r>
      <w:r>
        <w:rPr>
          <w:lang w:val="en-US"/>
        </w:rPr>
        <w:t>and the childcare element of tax credits) with a view to increasing local levels of uptake.</w:t>
      </w:r>
      <w:r w:rsidR="003201AE">
        <w:rPr>
          <w:lang w:val="en-US"/>
        </w:rPr>
        <w:t xml:space="preserve">  </w:t>
      </w:r>
      <w:r>
        <w:rPr>
          <w:lang w:val="en-US"/>
        </w:rPr>
        <w:t>A particular focus will be on encouraging parents who use childcare services supported under Bright</w:t>
      </w:r>
      <w:r w:rsidR="003201AE">
        <w:rPr>
          <w:lang w:val="en-US"/>
        </w:rPr>
        <w:t xml:space="preserve"> </w:t>
      </w:r>
      <w:r>
        <w:rPr>
          <w:lang w:val="en-US"/>
        </w:rPr>
        <w:t>Start to avail of the type of financial assista</w:t>
      </w:r>
      <w:r w:rsidR="003201AE">
        <w:rPr>
          <w:lang w:val="en-US"/>
        </w:rPr>
        <w:t xml:space="preserve">nce most suited to their needs.  </w:t>
      </w:r>
      <w:r>
        <w:rPr>
          <w:lang w:val="en-US"/>
        </w:rPr>
        <w:t>We are aware of the</w:t>
      </w:r>
      <w:r w:rsidR="003201AE">
        <w:rPr>
          <w:lang w:val="en-US"/>
        </w:rPr>
        <w:t xml:space="preserve"> </w:t>
      </w:r>
      <w:r>
        <w:rPr>
          <w:lang w:val="en-US"/>
        </w:rPr>
        <w:t>Coalition Government’s plans to introduce a tax-free childcare scheme and we are currently considering</w:t>
      </w:r>
      <w:r w:rsidR="003201AE">
        <w:rPr>
          <w:lang w:val="en-US"/>
        </w:rPr>
        <w:t xml:space="preserve"> </w:t>
      </w:r>
      <w:r>
        <w:rPr>
          <w:lang w:val="en-US"/>
        </w:rPr>
        <w:t>this in the local context.</w:t>
      </w:r>
    </w:p>
    <w:p w:rsidR="00913158" w:rsidRDefault="00913158" w:rsidP="00913158">
      <w:pPr>
        <w:autoSpaceDE w:val="0"/>
        <w:autoSpaceDN w:val="0"/>
        <w:adjustRightInd w:val="0"/>
        <w:rPr>
          <w:rFonts w:ascii="ITCFranklinGothicDemi" w:eastAsiaTheme="minorEastAsia" w:hAnsi="ITCFranklinGothicDemi" w:cs="ITCFranklinGothicDemi"/>
          <w:lang w:val="en-US"/>
        </w:rPr>
      </w:pPr>
    </w:p>
    <w:p w:rsidR="003201AE" w:rsidRDefault="003201AE" w:rsidP="003201AE">
      <w:pPr>
        <w:pStyle w:val="NICCYBodyText"/>
      </w:pPr>
      <w:hyperlink w:anchor="_top" w:history="1">
        <w:r w:rsidRPr="007715F2">
          <w:rPr>
            <w:rStyle w:val="Hyperlink"/>
          </w:rPr>
          <w:t>Back t</w:t>
        </w:r>
        <w:r w:rsidRPr="007715F2">
          <w:rPr>
            <w:rStyle w:val="Hyperlink"/>
          </w:rPr>
          <w:t>o</w:t>
        </w:r>
        <w:r w:rsidRPr="007715F2">
          <w:rPr>
            <w:rStyle w:val="Hyperlink"/>
          </w:rPr>
          <w:t xml:space="preserve"> Top</w:t>
        </w:r>
      </w:hyperlink>
    </w:p>
    <w:p w:rsidR="003201AE" w:rsidRDefault="003201AE" w:rsidP="00913158">
      <w:pPr>
        <w:autoSpaceDE w:val="0"/>
        <w:autoSpaceDN w:val="0"/>
        <w:adjustRightInd w:val="0"/>
        <w:rPr>
          <w:rFonts w:ascii="ITCFranklinGothicDemi" w:eastAsiaTheme="minorEastAsia" w:hAnsi="ITCFranklinGothicDemi" w:cs="ITCFranklinGothicDemi"/>
          <w:lang w:val="en-US"/>
        </w:rPr>
      </w:pPr>
    </w:p>
    <w:p w:rsidR="00913158" w:rsidRDefault="00913158" w:rsidP="003201AE">
      <w:pPr>
        <w:pStyle w:val="Heading2"/>
        <w:rPr>
          <w:rFonts w:eastAsiaTheme="minorEastAsia"/>
          <w:lang w:val="en-US"/>
        </w:rPr>
      </w:pPr>
      <w:bookmarkStart w:id="2" w:name="_Bright_Start"/>
      <w:bookmarkEnd w:id="2"/>
      <w:r>
        <w:rPr>
          <w:rFonts w:eastAsiaTheme="minorEastAsia"/>
          <w:lang w:val="en-US"/>
        </w:rPr>
        <w:t>Bright Start</w:t>
      </w:r>
    </w:p>
    <w:p w:rsidR="00913158" w:rsidRDefault="00913158" w:rsidP="003201AE">
      <w:pPr>
        <w:pStyle w:val="NICCYBodyText"/>
        <w:rPr>
          <w:lang w:val="en-US"/>
        </w:rPr>
      </w:pPr>
      <w:r w:rsidRPr="003201AE">
        <w:rPr>
          <w:rFonts w:ascii="ITCFranklinGothicDemi" w:hAnsi="ITCFranklinGothicDemi" w:cs="ITCFranklinGothicDemi"/>
          <w:b/>
          <w:lang w:val="en-US"/>
        </w:rPr>
        <w:t>Mr F McCann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asked the First Minister and deputy First Minister for an update on the Bright Start</w:t>
      </w:r>
      <w:r w:rsidR="003201AE">
        <w:rPr>
          <w:lang w:val="en-US"/>
        </w:rPr>
        <w:t xml:space="preserve"> </w:t>
      </w:r>
      <w:r>
        <w:rPr>
          <w:lang w:val="en-US"/>
        </w:rPr>
        <w:t>childcare scheme.</w:t>
      </w:r>
    </w:p>
    <w:p w:rsidR="00913158" w:rsidRDefault="00913158" w:rsidP="003201AE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(AQO 6004/11-15)</w:t>
      </w:r>
    </w:p>
    <w:p w:rsidR="003201AE" w:rsidRDefault="003201AE" w:rsidP="003201AE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913158" w:rsidRDefault="00913158" w:rsidP="003201AE">
      <w:pPr>
        <w:pStyle w:val="NICCYBodyText"/>
        <w:rPr>
          <w:lang w:val="en-US"/>
        </w:rPr>
      </w:pPr>
      <w:r w:rsidRPr="003201AE">
        <w:rPr>
          <w:rFonts w:ascii="ITCFranklinGothicDemi" w:hAnsi="ITCFranklinGothicDemi" w:cs="ITCFranklinGothicDemi"/>
          <w:b/>
          <w:lang w:val="en-US"/>
        </w:rPr>
        <w:t>Mr P Robinson and Mr M McGuinness: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The Bright Start School Age Childcare Grant Scheme was</w:t>
      </w:r>
      <w:r w:rsidR="003201AE">
        <w:rPr>
          <w:lang w:val="en-US"/>
        </w:rPr>
        <w:t xml:space="preserve"> </w:t>
      </w:r>
      <w:r>
        <w:rPr>
          <w:lang w:val="en-US"/>
        </w:rPr>
        <w:t>launched on 27 March 2014 and i</w:t>
      </w:r>
      <w:r w:rsidR="003201AE">
        <w:rPr>
          <w:lang w:val="en-US"/>
        </w:rPr>
        <w:t xml:space="preserve">s currently open to applicants.  </w:t>
      </w:r>
      <w:r>
        <w:rPr>
          <w:lang w:val="en-US"/>
        </w:rPr>
        <w:t>The Scheme aims to create or</w:t>
      </w:r>
      <w:r w:rsidR="003201AE">
        <w:rPr>
          <w:lang w:val="en-US"/>
        </w:rPr>
        <w:t xml:space="preserve"> </w:t>
      </w:r>
      <w:r>
        <w:rPr>
          <w:lang w:val="en-US"/>
        </w:rPr>
        <w:t>sustain up to 7,000 school age childcare places by assisting current and prospective childcare</w:t>
      </w:r>
      <w:r w:rsidR="003201AE">
        <w:rPr>
          <w:lang w:val="en-US"/>
        </w:rPr>
        <w:t xml:space="preserve"> providers.  </w:t>
      </w:r>
      <w:r>
        <w:rPr>
          <w:lang w:val="en-US"/>
        </w:rPr>
        <w:t>These envisaged childcare places will begin to address the need for additional school age</w:t>
      </w:r>
      <w:r w:rsidR="003201AE">
        <w:rPr>
          <w:lang w:val="en-US"/>
        </w:rPr>
        <w:t xml:space="preserve"> childcare services.  </w:t>
      </w:r>
      <w:r>
        <w:rPr>
          <w:lang w:val="en-US"/>
        </w:rPr>
        <w:t>The Grant Scheme will assist childcare settings serving disadvantaged and rural</w:t>
      </w:r>
      <w:r w:rsidR="003201AE">
        <w:rPr>
          <w:lang w:val="en-US"/>
        </w:rPr>
        <w:t xml:space="preserve"> </w:t>
      </w:r>
      <w:r>
        <w:rPr>
          <w:lang w:val="en-US"/>
        </w:rPr>
        <w:t>communities, and settin</w:t>
      </w:r>
      <w:r w:rsidR="003201AE">
        <w:rPr>
          <w:lang w:val="en-US"/>
        </w:rPr>
        <w:t xml:space="preserve">gs based on the schools estate.  </w:t>
      </w:r>
      <w:r>
        <w:rPr>
          <w:lang w:val="en-US"/>
        </w:rPr>
        <w:t>The first letters of offer are expected to be</w:t>
      </w:r>
      <w:r w:rsidR="003201AE">
        <w:rPr>
          <w:lang w:val="en-US"/>
        </w:rPr>
        <w:t xml:space="preserve"> </w:t>
      </w:r>
      <w:r>
        <w:rPr>
          <w:lang w:val="en-US"/>
        </w:rPr>
        <w:t>issued in the autumn.</w:t>
      </w:r>
    </w:p>
    <w:p w:rsidR="00913158" w:rsidRDefault="00913158" w:rsidP="00913158">
      <w:pPr>
        <w:autoSpaceDE w:val="0"/>
        <w:autoSpaceDN w:val="0"/>
        <w:adjustRightInd w:val="0"/>
        <w:rPr>
          <w:rFonts w:ascii="ITCFranklinGothicDemi" w:eastAsiaTheme="minorEastAsia" w:hAnsi="ITCFranklinGothicDemi" w:cs="ITCFranklinGothicDemi"/>
          <w:lang w:val="en-US"/>
        </w:rPr>
      </w:pPr>
    </w:p>
    <w:p w:rsidR="003201AE" w:rsidRDefault="003201AE" w:rsidP="003201AE">
      <w:pPr>
        <w:pStyle w:val="NICCYBodyText"/>
      </w:pPr>
      <w:hyperlink w:anchor="_top" w:history="1">
        <w:r w:rsidRPr="007715F2">
          <w:rPr>
            <w:rStyle w:val="Hyperlink"/>
          </w:rPr>
          <w:t>Bac</w:t>
        </w:r>
        <w:r w:rsidRPr="007715F2">
          <w:rPr>
            <w:rStyle w:val="Hyperlink"/>
          </w:rPr>
          <w:t>k</w:t>
        </w:r>
        <w:r w:rsidRPr="007715F2">
          <w:rPr>
            <w:rStyle w:val="Hyperlink"/>
          </w:rPr>
          <w:t xml:space="preserve"> to Top</w:t>
        </w:r>
      </w:hyperlink>
    </w:p>
    <w:p w:rsidR="003201AE" w:rsidRDefault="003201AE" w:rsidP="00913158">
      <w:pPr>
        <w:autoSpaceDE w:val="0"/>
        <w:autoSpaceDN w:val="0"/>
        <w:adjustRightInd w:val="0"/>
        <w:rPr>
          <w:rFonts w:ascii="ITCFranklinGothicDemi" w:eastAsiaTheme="minorEastAsia" w:hAnsi="ITCFranklinGothicDemi" w:cs="ITCFranklinGothicDemi"/>
          <w:lang w:val="en-US"/>
        </w:rPr>
      </w:pPr>
    </w:p>
    <w:p w:rsidR="00B37997" w:rsidRDefault="00B37997" w:rsidP="00913158">
      <w:pPr>
        <w:autoSpaceDE w:val="0"/>
        <w:autoSpaceDN w:val="0"/>
        <w:adjustRightInd w:val="0"/>
        <w:rPr>
          <w:rFonts w:ascii="ITCFranklinGothicDemi" w:eastAsiaTheme="minorEastAsia" w:hAnsi="ITCFranklinGothicDemi" w:cs="ITCFranklinGothicDemi"/>
          <w:lang w:val="en-US"/>
        </w:rPr>
      </w:pPr>
    </w:p>
    <w:p w:rsidR="00B37997" w:rsidRDefault="00B37997" w:rsidP="00913158">
      <w:pPr>
        <w:autoSpaceDE w:val="0"/>
        <w:autoSpaceDN w:val="0"/>
        <w:adjustRightInd w:val="0"/>
        <w:rPr>
          <w:rFonts w:ascii="ITCFranklinGothicDemi" w:eastAsiaTheme="minorEastAsia" w:hAnsi="ITCFranklinGothicDemi" w:cs="ITCFranklinGothicDemi"/>
          <w:lang w:val="en-US"/>
        </w:rPr>
      </w:pPr>
    </w:p>
    <w:p w:rsidR="008D31BB" w:rsidRDefault="008D31BB" w:rsidP="00913158">
      <w:pPr>
        <w:autoSpaceDE w:val="0"/>
        <w:autoSpaceDN w:val="0"/>
        <w:adjustRightInd w:val="0"/>
        <w:rPr>
          <w:rFonts w:ascii="ITCFranklinGothicDemi" w:eastAsiaTheme="minorEastAsia" w:hAnsi="ITCFranklinGothicDemi" w:cs="ITCFranklinGothicDemi"/>
          <w:lang w:val="en-US"/>
        </w:rPr>
      </w:pPr>
    </w:p>
    <w:p w:rsidR="008D31BB" w:rsidRDefault="008D31BB" w:rsidP="00913158">
      <w:pPr>
        <w:autoSpaceDE w:val="0"/>
        <w:autoSpaceDN w:val="0"/>
        <w:adjustRightInd w:val="0"/>
        <w:rPr>
          <w:rFonts w:ascii="ITCFranklinGothicDemi" w:eastAsiaTheme="minorEastAsia" w:hAnsi="ITCFranklinGothicDemi" w:cs="ITCFranklinGothicDemi"/>
          <w:lang w:val="en-US"/>
        </w:rPr>
      </w:pPr>
    </w:p>
    <w:p w:rsidR="008D31BB" w:rsidRDefault="008D31BB" w:rsidP="00913158">
      <w:pPr>
        <w:autoSpaceDE w:val="0"/>
        <w:autoSpaceDN w:val="0"/>
        <w:adjustRightInd w:val="0"/>
        <w:rPr>
          <w:rFonts w:ascii="ITCFranklinGothicDemi" w:eastAsiaTheme="minorEastAsia" w:hAnsi="ITCFranklinGothicDemi" w:cs="ITCFranklinGothicDemi"/>
          <w:lang w:val="en-US"/>
        </w:rPr>
      </w:pPr>
    </w:p>
    <w:p w:rsidR="00913158" w:rsidRDefault="00913158" w:rsidP="00B37997">
      <w:pPr>
        <w:pStyle w:val="Heading2"/>
        <w:rPr>
          <w:rFonts w:eastAsiaTheme="minorEastAsia"/>
          <w:lang w:val="en-US"/>
        </w:rPr>
      </w:pPr>
      <w:bookmarkStart w:id="3" w:name="_Bright_Start_1"/>
      <w:bookmarkEnd w:id="3"/>
      <w:r>
        <w:rPr>
          <w:rFonts w:eastAsiaTheme="minorEastAsia"/>
          <w:lang w:val="en-US"/>
        </w:rPr>
        <w:lastRenderedPageBreak/>
        <w:t>Bright Start</w:t>
      </w:r>
    </w:p>
    <w:p w:rsidR="00913158" w:rsidRDefault="00913158" w:rsidP="00B37997">
      <w:pPr>
        <w:pStyle w:val="NICCYBodyText"/>
        <w:rPr>
          <w:lang w:val="en-US"/>
        </w:rPr>
      </w:pPr>
      <w:r w:rsidRPr="00B37997">
        <w:rPr>
          <w:rFonts w:ascii="ITCFranklinGothicDemi" w:hAnsi="ITCFranklinGothicDemi" w:cs="ITCFranklinGothicDemi"/>
          <w:b/>
          <w:lang w:val="en-US"/>
        </w:rPr>
        <w:t>Mr Newton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asked the First Minister and deputy First Minister how the proposed 8,000 childcare places</w:t>
      </w:r>
      <w:r w:rsidR="00B37997">
        <w:rPr>
          <w:lang w:val="en-US"/>
        </w:rPr>
        <w:t xml:space="preserve"> </w:t>
      </w:r>
      <w:r>
        <w:rPr>
          <w:lang w:val="en-US"/>
        </w:rPr>
        <w:t>under Bright Start will be created and sustained.</w:t>
      </w:r>
    </w:p>
    <w:p w:rsidR="00913158" w:rsidRDefault="00913158" w:rsidP="00B37997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(AQO 6005/11-15)</w:t>
      </w:r>
    </w:p>
    <w:p w:rsidR="00B37997" w:rsidRDefault="00B37997" w:rsidP="00B37997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913158" w:rsidRDefault="00913158" w:rsidP="00B37997">
      <w:pPr>
        <w:pStyle w:val="NICCYBodyText"/>
        <w:rPr>
          <w:lang w:val="en-US"/>
        </w:rPr>
      </w:pPr>
      <w:r w:rsidRPr="00B37997">
        <w:rPr>
          <w:rFonts w:ascii="ITCFranklinGothicDemi" w:hAnsi="ITCFranklinGothicDemi" w:cs="ITCFranklinGothicDemi"/>
          <w:b/>
          <w:lang w:val="en-US"/>
        </w:rPr>
        <w:t>Mr P Robinson and Mr M McGuinness: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The Bright Start School Age Childcare Grant Scheme aims</w:t>
      </w:r>
      <w:r w:rsidR="00B37997">
        <w:rPr>
          <w:lang w:val="en-US"/>
        </w:rPr>
        <w:t xml:space="preserve"> </w:t>
      </w:r>
      <w:r>
        <w:rPr>
          <w:lang w:val="en-US"/>
        </w:rPr>
        <w:t>to create or sustain up to 7,000 school age childcare places by assisting current and prospective</w:t>
      </w:r>
      <w:r w:rsidR="00B37997">
        <w:rPr>
          <w:lang w:val="en-US"/>
        </w:rPr>
        <w:t xml:space="preserve"> childcare providers.  </w:t>
      </w:r>
      <w:r>
        <w:rPr>
          <w:lang w:val="en-US"/>
        </w:rPr>
        <w:t>These childcare places will begin to address current unmet need for school age</w:t>
      </w:r>
      <w:r w:rsidR="00B37997">
        <w:rPr>
          <w:lang w:val="en-US"/>
        </w:rPr>
        <w:t xml:space="preserve"> </w:t>
      </w:r>
      <w:r>
        <w:rPr>
          <w:lang w:val="en-US"/>
        </w:rPr>
        <w:t>childcare services.</w:t>
      </w:r>
    </w:p>
    <w:p w:rsidR="00B37997" w:rsidRDefault="00B37997" w:rsidP="00B37997">
      <w:pPr>
        <w:pStyle w:val="NICCYBodyText"/>
        <w:rPr>
          <w:lang w:val="en-US"/>
        </w:rPr>
      </w:pPr>
    </w:p>
    <w:p w:rsidR="00913158" w:rsidRDefault="00913158" w:rsidP="00B37997">
      <w:pPr>
        <w:pStyle w:val="NICCYBodyText"/>
        <w:rPr>
          <w:lang w:val="en-US"/>
        </w:rPr>
      </w:pPr>
      <w:r>
        <w:rPr>
          <w:lang w:val="en-US"/>
        </w:rPr>
        <w:t xml:space="preserve">The Grant Scheme was launched on 27 March </w:t>
      </w:r>
      <w:r w:rsidR="00B37997">
        <w:rPr>
          <w:lang w:val="en-US"/>
        </w:rPr>
        <w:t xml:space="preserve">2014 and is open to applicants.  </w:t>
      </w:r>
      <w:r>
        <w:rPr>
          <w:lang w:val="en-US"/>
        </w:rPr>
        <w:t>A second grant scheme</w:t>
      </w:r>
      <w:r w:rsidR="00B37997">
        <w:rPr>
          <w:lang w:val="en-US"/>
        </w:rPr>
        <w:t xml:space="preserve"> </w:t>
      </w:r>
      <w:r>
        <w:rPr>
          <w:lang w:val="en-US"/>
        </w:rPr>
        <w:t>– to create up to 1,000 new childminder places in rural areas – is currently in development with a view</w:t>
      </w:r>
      <w:r w:rsidR="00B37997">
        <w:rPr>
          <w:lang w:val="en-US"/>
        </w:rPr>
        <w:t xml:space="preserve"> </w:t>
      </w:r>
      <w:r>
        <w:rPr>
          <w:lang w:val="en-US"/>
        </w:rPr>
        <w:t>to launching later in the year.</w:t>
      </w:r>
    </w:p>
    <w:p w:rsidR="00913158" w:rsidRDefault="00913158" w:rsidP="00913158">
      <w:pPr>
        <w:pStyle w:val="NICCYBodyText"/>
      </w:pPr>
    </w:p>
    <w:p w:rsidR="00B37997" w:rsidRDefault="00B37997" w:rsidP="00B37997">
      <w:pPr>
        <w:pStyle w:val="NICCYBodyText"/>
      </w:pPr>
      <w:hyperlink w:anchor="_top" w:history="1">
        <w:r w:rsidRPr="007715F2">
          <w:rPr>
            <w:rStyle w:val="Hyperlink"/>
          </w:rPr>
          <w:t>Back to Top</w:t>
        </w:r>
      </w:hyperlink>
    </w:p>
    <w:p w:rsidR="00913158" w:rsidRDefault="00913158" w:rsidP="00913158">
      <w:pPr>
        <w:pStyle w:val="NICCYBodyText"/>
      </w:pPr>
    </w:p>
    <w:p w:rsidR="00913158" w:rsidRDefault="00913158" w:rsidP="00913158">
      <w:pPr>
        <w:pStyle w:val="NICCYBodyText"/>
      </w:pPr>
    </w:p>
    <w:p w:rsidR="000F3A4A" w:rsidRDefault="000F3A4A" w:rsidP="00913158">
      <w:pPr>
        <w:pStyle w:val="NICCYBodyText"/>
      </w:pPr>
    </w:p>
    <w:p w:rsidR="000F3A4A" w:rsidRDefault="000F3A4A" w:rsidP="00913158">
      <w:pPr>
        <w:pStyle w:val="NICCYBodyText"/>
      </w:pPr>
    </w:p>
    <w:p w:rsidR="000F3A4A" w:rsidRDefault="000F3A4A" w:rsidP="00913158">
      <w:pPr>
        <w:pStyle w:val="NICCYBodyText"/>
      </w:pPr>
    </w:p>
    <w:p w:rsidR="000F3A4A" w:rsidRDefault="000F3A4A" w:rsidP="00913158">
      <w:pPr>
        <w:pStyle w:val="NICCYBodyText"/>
      </w:pPr>
    </w:p>
    <w:p w:rsidR="000F3A4A" w:rsidRDefault="000F3A4A" w:rsidP="00913158">
      <w:pPr>
        <w:pStyle w:val="NICCYBodyText"/>
      </w:pPr>
    </w:p>
    <w:p w:rsidR="000F3A4A" w:rsidRDefault="000F3A4A" w:rsidP="00913158">
      <w:pPr>
        <w:pStyle w:val="NICCYBodyText"/>
      </w:pPr>
    </w:p>
    <w:p w:rsidR="000F3A4A" w:rsidRDefault="000F3A4A" w:rsidP="00913158">
      <w:pPr>
        <w:pStyle w:val="NICCYBodyText"/>
      </w:pPr>
    </w:p>
    <w:p w:rsidR="000F3A4A" w:rsidRDefault="000F3A4A" w:rsidP="00913158">
      <w:pPr>
        <w:pStyle w:val="NICCYBodyText"/>
      </w:pPr>
    </w:p>
    <w:p w:rsidR="000F3A4A" w:rsidRDefault="000F3A4A" w:rsidP="00913158">
      <w:pPr>
        <w:pStyle w:val="NICCYBodyText"/>
      </w:pPr>
    </w:p>
    <w:p w:rsidR="000F3A4A" w:rsidRDefault="000F3A4A" w:rsidP="00913158">
      <w:pPr>
        <w:pStyle w:val="NICCYBodyText"/>
      </w:pPr>
    </w:p>
    <w:p w:rsidR="000F3A4A" w:rsidRDefault="000F3A4A" w:rsidP="00913158">
      <w:pPr>
        <w:pStyle w:val="NICCYBodyText"/>
      </w:pPr>
    </w:p>
    <w:p w:rsidR="000F3A4A" w:rsidRDefault="000F3A4A" w:rsidP="00913158">
      <w:pPr>
        <w:pStyle w:val="NICCYBodyText"/>
      </w:pPr>
    </w:p>
    <w:p w:rsidR="000F3A4A" w:rsidRDefault="000F3A4A" w:rsidP="00913158">
      <w:pPr>
        <w:pStyle w:val="NICCYBodyText"/>
      </w:pPr>
    </w:p>
    <w:p w:rsidR="008D31BB" w:rsidRDefault="008D31BB" w:rsidP="00B37997">
      <w:pPr>
        <w:pStyle w:val="Heading2"/>
        <w:rPr>
          <w:rFonts w:eastAsiaTheme="minorEastAsia" w:cs="Arial"/>
          <w:b w:val="0"/>
          <w:bCs w:val="0"/>
          <w:color w:val="414042"/>
          <w:sz w:val="24"/>
          <w:szCs w:val="24"/>
        </w:rPr>
      </w:pPr>
    </w:p>
    <w:p w:rsidR="008D31BB" w:rsidRPr="008D31BB" w:rsidRDefault="008D31BB" w:rsidP="008D31BB">
      <w:pPr>
        <w:rPr>
          <w:rFonts w:eastAsiaTheme="minorEastAsia"/>
        </w:rPr>
      </w:pPr>
    </w:p>
    <w:p w:rsidR="00913158" w:rsidRPr="000F3A4A" w:rsidRDefault="00913158" w:rsidP="00B37997">
      <w:pPr>
        <w:pStyle w:val="Heading2"/>
        <w:rPr>
          <w:color w:val="23A4DE"/>
          <w:szCs w:val="28"/>
          <w:lang w:val="en-US"/>
        </w:rPr>
      </w:pPr>
      <w:r w:rsidRPr="000F3A4A">
        <w:rPr>
          <w:color w:val="23A4DE"/>
          <w:sz w:val="36"/>
          <w:szCs w:val="36"/>
          <w:lang w:val="en-US"/>
        </w:rPr>
        <w:lastRenderedPageBreak/>
        <w:t>Department of Education</w:t>
      </w:r>
    </w:p>
    <w:p w:rsidR="00B37997" w:rsidRPr="000F3A4A" w:rsidRDefault="000F3A4A" w:rsidP="00B37997">
      <w:pPr>
        <w:pStyle w:val="Heading2"/>
        <w:rPr>
          <w:rFonts w:eastAsiaTheme="minorEastAsia"/>
          <w:color w:val="23A4DE"/>
          <w:lang w:val="en-US"/>
        </w:rPr>
      </w:pPr>
      <w:bookmarkStart w:id="4" w:name="_Early_Years_Programme"/>
      <w:bookmarkEnd w:id="4"/>
      <w:r>
        <w:rPr>
          <w:rFonts w:eastAsiaTheme="minorEastAsia"/>
          <w:color w:val="23A4DE"/>
          <w:lang w:val="en-US"/>
        </w:rPr>
        <w:t>Early Years Programme</w:t>
      </w:r>
    </w:p>
    <w:p w:rsidR="00913158" w:rsidRDefault="00913158" w:rsidP="00B37997">
      <w:pPr>
        <w:pStyle w:val="NICCYBodyText"/>
        <w:rPr>
          <w:lang w:val="en-US"/>
        </w:rPr>
      </w:pPr>
      <w:r w:rsidRPr="00B37997">
        <w:rPr>
          <w:rFonts w:ascii="ITCFranklinGothicDemi" w:hAnsi="ITCFranklinGothicDemi" w:cs="ITCFranklinGothicDemi"/>
          <w:b/>
          <w:lang w:val="en-US"/>
        </w:rPr>
        <w:t>Mrs McKevitt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asked the Minister of Education to detail the benefits of the pilot Early Years programme</w:t>
      </w:r>
      <w:r w:rsidR="00B37997">
        <w:rPr>
          <w:lang w:val="en-US"/>
        </w:rPr>
        <w:t xml:space="preserve"> </w:t>
      </w:r>
      <w:r>
        <w:rPr>
          <w:lang w:val="en-US"/>
        </w:rPr>
        <w:t>to date.</w:t>
      </w:r>
    </w:p>
    <w:p w:rsidR="00913158" w:rsidRDefault="00913158" w:rsidP="00B37997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33046/11-15)</w:t>
      </w:r>
    </w:p>
    <w:p w:rsidR="00B37997" w:rsidRDefault="00B37997" w:rsidP="00B37997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913158" w:rsidRDefault="00913158" w:rsidP="00B37997">
      <w:pPr>
        <w:pStyle w:val="NICCYBodyText"/>
        <w:rPr>
          <w:lang w:val="en-US"/>
        </w:rPr>
      </w:pPr>
      <w:r w:rsidRPr="00B37997">
        <w:rPr>
          <w:rFonts w:ascii="ITCFranklinGothicDemi" w:hAnsi="ITCFranklinGothicDemi" w:cs="ITCFranklinGothicDemi"/>
          <w:b/>
          <w:lang w:val="en-US"/>
        </w:rPr>
        <w:t>Mr O’Dowd (The Minister of Education):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The Education and Training Inspectorate (ETI) have been</w:t>
      </w:r>
      <w:r w:rsidR="00B37997">
        <w:rPr>
          <w:lang w:val="en-US"/>
        </w:rPr>
        <w:t xml:space="preserve"> </w:t>
      </w:r>
      <w:r>
        <w:rPr>
          <w:lang w:val="en-US"/>
        </w:rPr>
        <w:t>involved in ongoing evaluation of the Early Years pilot and to date the feedback has been positive.</w:t>
      </w:r>
      <w:r w:rsidR="00B37997">
        <w:rPr>
          <w:lang w:val="en-US"/>
        </w:rPr>
        <w:t xml:space="preserve">  </w:t>
      </w:r>
      <w:r>
        <w:rPr>
          <w:lang w:val="en-US"/>
        </w:rPr>
        <w:t>After the first full year of operation of the pilot, ETI indicated that considerable progress had been made</w:t>
      </w:r>
      <w:r w:rsidR="00B37997">
        <w:rPr>
          <w:lang w:val="en-US"/>
        </w:rPr>
        <w:t xml:space="preserve"> </w:t>
      </w:r>
      <w:r>
        <w:rPr>
          <w:lang w:val="en-US"/>
        </w:rPr>
        <w:t>and that there was evidence of very good practice developing acro</w:t>
      </w:r>
      <w:r w:rsidR="00B37997">
        <w:rPr>
          <w:lang w:val="en-US"/>
        </w:rPr>
        <w:t xml:space="preserve">ss the range of pilot settings.  </w:t>
      </w:r>
      <w:r>
        <w:rPr>
          <w:lang w:val="en-US"/>
        </w:rPr>
        <w:t>ETI</w:t>
      </w:r>
      <w:r w:rsidR="00B37997">
        <w:rPr>
          <w:lang w:val="en-US"/>
        </w:rPr>
        <w:t xml:space="preserve"> </w:t>
      </w:r>
      <w:r>
        <w:rPr>
          <w:lang w:val="en-US"/>
        </w:rPr>
        <w:t>also indicated that some evidence showed that, as a result of the work of the pilot teams with parents,</w:t>
      </w:r>
      <w:r w:rsidR="00B37997">
        <w:rPr>
          <w:lang w:val="en-US"/>
        </w:rPr>
        <w:t xml:space="preserve"> </w:t>
      </w:r>
      <w:r>
        <w:rPr>
          <w:lang w:val="en-US"/>
        </w:rPr>
        <w:t>there had been a dramatic impact on the h</w:t>
      </w:r>
      <w:r w:rsidR="00B37997">
        <w:rPr>
          <w:lang w:val="en-US"/>
        </w:rPr>
        <w:t xml:space="preserve">ome lives of children involved.  </w:t>
      </w:r>
      <w:r>
        <w:rPr>
          <w:lang w:val="en-US"/>
        </w:rPr>
        <w:t>Some settings reported to ETI</w:t>
      </w:r>
    </w:p>
    <w:p w:rsidR="00913158" w:rsidRDefault="00913158" w:rsidP="00B37997">
      <w:pPr>
        <w:pStyle w:val="NICCYBodyText"/>
        <w:rPr>
          <w:lang w:val="en-US"/>
        </w:rPr>
      </w:pPr>
      <w:r>
        <w:rPr>
          <w:lang w:val="en-US"/>
        </w:rPr>
        <w:t>that the training is the best that has been provided and that the opportunities for clustering and whole</w:t>
      </w:r>
      <w:r w:rsidR="00B37997">
        <w:rPr>
          <w:lang w:val="en-US"/>
        </w:rPr>
        <w:t xml:space="preserve"> </w:t>
      </w:r>
      <w:r>
        <w:rPr>
          <w:lang w:val="en-US"/>
        </w:rPr>
        <w:t>setting training have been invaluable.</w:t>
      </w:r>
      <w:r w:rsidR="00B37997">
        <w:rPr>
          <w:lang w:val="en-US"/>
        </w:rPr>
        <w:t xml:space="preserve">  </w:t>
      </w:r>
      <w:r>
        <w:rPr>
          <w:lang w:val="en-US"/>
        </w:rPr>
        <w:t>A number of stakeholders, including various early years’ specialists and an attached Health Visitor,</w:t>
      </w:r>
      <w:r w:rsidR="00B37997">
        <w:rPr>
          <w:lang w:val="en-US"/>
        </w:rPr>
        <w:t xml:space="preserve"> </w:t>
      </w:r>
      <w:r>
        <w:rPr>
          <w:lang w:val="en-US"/>
        </w:rPr>
        <w:t>have reported their views on the benefits of the pilot to date and again feedback has been positive.</w:t>
      </w:r>
      <w:r w:rsidR="00B37997">
        <w:rPr>
          <w:lang w:val="en-US"/>
        </w:rPr>
        <w:t xml:space="preserve">  </w:t>
      </w:r>
      <w:r>
        <w:rPr>
          <w:lang w:val="en-US"/>
        </w:rPr>
        <w:t>Some of their comments have indicated that staff are better informed, can recognise needs early and</w:t>
      </w:r>
      <w:r w:rsidR="00B37997">
        <w:rPr>
          <w:lang w:val="en-US"/>
        </w:rPr>
        <w:t xml:space="preserve"> </w:t>
      </w:r>
      <w:r>
        <w:rPr>
          <w:lang w:val="en-US"/>
        </w:rPr>
        <w:t>can put in place appropriate strategies to help.</w:t>
      </w:r>
    </w:p>
    <w:p w:rsidR="00B37997" w:rsidRDefault="00B37997" w:rsidP="00B37997">
      <w:pPr>
        <w:pStyle w:val="NICCYBodyText"/>
        <w:rPr>
          <w:lang w:val="en-US"/>
        </w:rPr>
      </w:pPr>
    </w:p>
    <w:p w:rsidR="00913158" w:rsidRDefault="00913158" w:rsidP="00B37997">
      <w:pPr>
        <w:pStyle w:val="NICCYBodyText"/>
        <w:rPr>
          <w:lang w:val="en-US"/>
        </w:rPr>
      </w:pPr>
      <w:r>
        <w:rPr>
          <w:lang w:val="en-US"/>
        </w:rPr>
        <w:t>The pilot is funded to continue over the summer months and is due to finish in the settings at the end</w:t>
      </w:r>
      <w:r w:rsidR="00B37997">
        <w:rPr>
          <w:lang w:val="en-US"/>
        </w:rPr>
        <w:t xml:space="preserve"> </w:t>
      </w:r>
      <w:r>
        <w:rPr>
          <w:lang w:val="en-US"/>
        </w:rPr>
        <w:t xml:space="preserve">of September 2014 when it will move into its evaluation </w:t>
      </w:r>
      <w:r w:rsidR="00B37997">
        <w:rPr>
          <w:lang w:val="en-US"/>
        </w:rPr>
        <w:t xml:space="preserve">phase.  </w:t>
      </w:r>
      <w:r>
        <w:rPr>
          <w:lang w:val="en-US"/>
        </w:rPr>
        <w:t>As well as evaluative work conducted</w:t>
      </w:r>
      <w:r w:rsidR="00B37997">
        <w:rPr>
          <w:lang w:val="en-US"/>
        </w:rPr>
        <w:t xml:space="preserve"> </w:t>
      </w:r>
      <w:r>
        <w:rPr>
          <w:lang w:val="en-US"/>
        </w:rPr>
        <w:t>within the pilot, the Education and Training Inspectorate (ETI) will complete an independent report</w:t>
      </w:r>
      <w:r w:rsidR="00B37997">
        <w:rPr>
          <w:lang w:val="en-US"/>
        </w:rPr>
        <w:t xml:space="preserve"> </w:t>
      </w:r>
      <w:r>
        <w:rPr>
          <w:lang w:val="en-US"/>
        </w:rPr>
        <w:t>following the end of December 2014.</w:t>
      </w:r>
    </w:p>
    <w:p w:rsidR="00913158" w:rsidRDefault="00913158" w:rsidP="00913158">
      <w:pPr>
        <w:pStyle w:val="NICCYBodyText"/>
        <w:rPr>
          <w:rFonts w:ascii="ITCFranklinGothicBook" w:hAnsi="ITCFranklinGothicBook" w:cs="ITCFranklinGothicBook"/>
          <w:lang w:val="en-US"/>
        </w:rPr>
      </w:pPr>
    </w:p>
    <w:p w:rsidR="00B37997" w:rsidRDefault="00B37997" w:rsidP="00B37997">
      <w:pPr>
        <w:pStyle w:val="NICCYBodyText"/>
      </w:pPr>
      <w:hyperlink w:anchor="_top" w:history="1">
        <w:r w:rsidRPr="007715F2">
          <w:rPr>
            <w:rStyle w:val="Hyperlink"/>
          </w:rPr>
          <w:t>Back</w:t>
        </w:r>
        <w:r w:rsidRPr="007715F2">
          <w:rPr>
            <w:rStyle w:val="Hyperlink"/>
          </w:rPr>
          <w:t xml:space="preserve"> </w:t>
        </w:r>
        <w:r w:rsidRPr="007715F2">
          <w:rPr>
            <w:rStyle w:val="Hyperlink"/>
          </w:rPr>
          <w:t>to Top</w:t>
        </w:r>
      </w:hyperlink>
    </w:p>
    <w:p w:rsidR="00B37997" w:rsidRDefault="00B37997" w:rsidP="00913158">
      <w:pPr>
        <w:pStyle w:val="NICCYBodyText"/>
        <w:rPr>
          <w:rFonts w:ascii="ITCFranklinGothicBook" w:hAnsi="ITCFranklinGothicBook" w:cs="ITCFranklinGothicBook"/>
          <w:lang w:val="en-US"/>
        </w:rPr>
      </w:pPr>
    </w:p>
    <w:p w:rsidR="000F3A4A" w:rsidRDefault="000F3A4A" w:rsidP="00913158">
      <w:pPr>
        <w:pStyle w:val="NICCYBodyText"/>
        <w:rPr>
          <w:rFonts w:ascii="ITCFranklinGothicBook" w:hAnsi="ITCFranklinGothicBook" w:cs="ITCFranklinGothicBook"/>
          <w:lang w:val="en-US"/>
        </w:rPr>
      </w:pPr>
    </w:p>
    <w:p w:rsidR="000F3A4A" w:rsidRDefault="000F3A4A" w:rsidP="00913158">
      <w:pPr>
        <w:pStyle w:val="NICCYBodyText"/>
        <w:rPr>
          <w:rFonts w:ascii="ITCFranklinGothicBook" w:hAnsi="ITCFranklinGothicBook" w:cs="ITCFranklinGothicBook"/>
          <w:lang w:val="en-US"/>
        </w:rPr>
      </w:pPr>
    </w:p>
    <w:p w:rsidR="008D31BB" w:rsidRDefault="008D31BB" w:rsidP="000F3A4A">
      <w:pPr>
        <w:pStyle w:val="Heading2"/>
        <w:rPr>
          <w:rFonts w:ascii="ITCFranklinGothicBook" w:eastAsiaTheme="minorEastAsia" w:hAnsi="ITCFranklinGothicBook" w:cs="ITCFranklinGothicBook"/>
          <w:b w:val="0"/>
          <w:bCs w:val="0"/>
          <w:color w:val="414042"/>
          <w:sz w:val="24"/>
          <w:szCs w:val="24"/>
          <w:lang w:val="en-US"/>
        </w:rPr>
      </w:pPr>
      <w:bookmarkStart w:id="5" w:name="_Early_Years_Capacity"/>
      <w:bookmarkEnd w:id="5"/>
    </w:p>
    <w:p w:rsidR="008D31BB" w:rsidRDefault="008D31BB" w:rsidP="008D31BB">
      <w:pPr>
        <w:rPr>
          <w:rFonts w:eastAsiaTheme="minorEastAsia"/>
          <w:lang w:val="en-US"/>
        </w:rPr>
      </w:pPr>
    </w:p>
    <w:p w:rsidR="008D31BB" w:rsidRPr="008D31BB" w:rsidRDefault="008D31BB" w:rsidP="008D31BB">
      <w:pPr>
        <w:rPr>
          <w:rFonts w:eastAsiaTheme="minorEastAsia"/>
          <w:lang w:val="en-US"/>
        </w:rPr>
      </w:pPr>
    </w:p>
    <w:p w:rsidR="00913158" w:rsidRDefault="008D31BB" w:rsidP="000F3A4A">
      <w:pPr>
        <w:pStyle w:val="Heading2"/>
        <w:rPr>
          <w:rFonts w:eastAsiaTheme="minorEastAsia"/>
          <w:lang w:val="en-US"/>
        </w:rPr>
      </w:pPr>
      <w:r>
        <w:rPr>
          <w:rFonts w:ascii="ITCFranklinGothicBook" w:eastAsiaTheme="minorEastAsia" w:hAnsi="ITCFranklinGothicBook" w:cs="ITCFranklinGothicBook"/>
          <w:b w:val="0"/>
          <w:bCs w:val="0"/>
          <w:color w:val="414042"/>
          <w:sz w:val="24"/>
          <w:szCs w:val="24"/>
          <w:lang w:val="en-US"/>
        </w:rPr>
        <w:lastRenderedPageBreak/>
        <w:br/>
      </w:r>
      <w:r w:rsidR="00913158">
        <w:rPr>
          <w:rFonts w:eastAsiaTheme="minorEastAsia"/>
          <w:lang w:val="en-US"/>
        </w:rPr>
        <w:t>Early Years Capacity Building Pilots</w:t>
      </w:r>
    </w:p>
    <w:p w:rsidR="00913158" w:rsidRDefault="00913158" w:rsidP="000F3A4A">
      <w:pPr>
        <w:pStyle w:val="NICCYBodyText"/>
        <w:rPr>
          <w:lang w:val="en-US"/>
        </w:rPr>
      </w:pPr>
      <w:r w:rsidRPr="000F3A4A">
        <w:rPr>
          <w:rFonts w:ascii="ITCFranklinGothicDemi" w:hAnsi="ITCFranklinGothicDemi" w:cs="ITCFranklinGothicDemi"/>
          <w:b/>
          <w:lang w:val="en-US"/>
        </w:rPr>
        <w:t>Mr Kinahan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asked the Minister of Education whether the multi-disciplinary teams put in place to deliver</w:t>
      </w:r>
      <w:r w:rsidR="000F3A4A">
        <w:rPr>
          <w:lang w:val="en-US"/>
        </w:rPr>
        <w:t xml:space="preserve"> </w:t>
      </w:r>
      <w:r>
        <w:rPr>
          <w:lang w:val="en-US"/>
        </w:rPr>
        <w:t>Special Educational Needs Early Years Capacity Building pilot projects will be kept together to continue</w:t>
      </w:r>
      <w:r w:rsidR="000F3A4A">
        <w:rPr>
          <w:lang w:val="en-US"/>
        </w:rPr>
        <w:t xml:space="preserve"> </w:t>
      </w:r>
      <w:r>
        <w:rPr>
          <w:lang w:val="en-US"/>
        </w:rPr>
        <w:t>their work during the evaluation phase once the pilots have been completed.</w:t>
      </w:r>
    </w:p>
    <w:p w:rsidR="00913158" w:rsidRDefault="00913158" w:rsidP="000F3A4A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33098/11-15)</w:t>
      </w:r>
    </w:p>
    <w:p w:rsidR="000F3A4A" w:rsidRDefault="000F3A4A" w:rsidP="000F3A4A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913158" w:rsidRDefault="00913158" w:rsidP="000F3A4A">
      <w:pPr>
        <w:pStyle w:val="NICCYBodyText"/>
        <w:rPr>
          <w:lang w:val="en-US"/>
        </w:rPr>
      </w:pPr>
      <w:r w:rsidRPr="000F3A4A">
        <w:rPr>
          <w:rFonts w:ascii="ITCFranklinGothicDemi" w:hAnsi="ITCFranklinGothicDemi" w:cs="ITCFranklinGothicDemi"/>
          <w:b/>
          <w:lang w:val="en-US"/>
        </w:rPr>
        <w:t>Mr O’Dowd: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The Early Years pilot is due to end in the pre-school settings at the end of September</w:t>
      </w:r>
      <w:r w:rsidR="000F3A4A">
        <w:rPr>
          <w:lang w:val="en-US"/>
        </w:rPr>
        <w:t xml:space="preserve"> </w:t>
      </w:r>
      <w:r>
        <w:rPr>
          <w:lang w:val="en-US"/>
        </w:rPr>
        <w:t>2014 and will be followed by an evaluation phase ending in December 2014. Following on from this, a</w:t>
      </w:r>
      <w:r w:rsidR="000F3A4A">
        <w:rPr>
          <w:lang w:val="en-US"/>
        </w:rPr>
        <w:t xml:space="preserve"> </w:t>
      </w:r>
      <w:r>
        <w:rPr>
          <w:lang w:val="en-US"/>
        </w:rPr>
        <w:t>full evaluation of the pilot will be completed by the Education and Training Inspectorate (ETI).</w:t>
      </w:r>
    </w:p>
    <w:p w:rsidR="000F3A4A" w:rsidRDefault="000F3A4A" w:rsidP="000F3A4A">
      <w:pPr>
        <w:pStyle w:val="NICCYBodyText"/>
        <w:rPr>
          <w:lang w:val="en-US"/>
        </w:rPr>
      </w:pPr>
    </w:p>
    <w:p w:rsidR="00913158" w:rsidRDefault="00913158" w:rsidP="000F3A4A">
      <w:pPr>
        <w:pStyle w:val="NICCYBodyText"/>
        <w:rPr>
          <w:lang w:val="en-US"/>
        </w:rPr>
      </w:pPr>
      <w:r>
        <w:rPr>
          <w:lang w:val="en-US"/>
        </w:rPr>
        <w:t>In preparation for the Early Years pilot ending in September, DE in conjunction with the Education and</w:t>
      </w:r>
      <w:r w:rsidR="000F3A4A">
        <w:rPr>
          <w:lang w:val="en-US"/>
        </w:rPr>
        <w:t xml:space="preserve"> </w:t>
      </w:r>
      <w:r>
        <w:rPr>
          <w:lang w:val="en-US"/>
        </w:rPr>
        <w:t>Library Boards will consider the possibility of any interim arrangements that might be made, subject to</w:t>
      </w:r>
      <w:r w:rsidR="000F3A4A">
        <w:rPr>
          <w:lang w:val="en-US"/>
        </w:rPr>
        <w:t xml:space="preserve"> the availability of funding.  </w:t>
      </w:r>
      <w:r>
        <w:rPr>
          <w:lang w:val="en-US"/>
        </w:rPr>
        <w:t>Decisions on what might be the future shape of SEN early years provision</w:t>
      </w:r>
      <w:r w:rsidR="000F3A4A">
        <w:rPr>
          <w:lang w:val="en-US"/>
        </w:rPr>
        <w:t xml:space="preserve"> </w:t>
      </w:r>
      <w:r>
        <w:rPr>
          <w:lang w:val="en-US"/>
        </w:rPr>
        <w:t>beyond the pilot stage will not be made until the final ETI evaluation has been considered.</w:t>
      </w:r>
    </w:p>
    <w:p w:rsidR="000F3A4A" w:rsidRDefault="000F3A4A" w:rsidP="000F3A4A">
      <w:pPr>
        <w:pStyle w:val="NICCYBodyText"/>
        <w:rPr>
          <w:lang w:val="en-US"/>
        </w:rPr>
      </w:pPr>
    </w:p>
    <w:p w:rsidR="00913158" w:rsidRPr="000F3A4A" w:rsidRDefault="00913158" w:rsidP="000F3A4A">
      <w:pPr>
        <w:pStyle w:val="NICCYBodyText"/>
        <w:rPr>
          <w:lang w:val="en-US"/>
        </w:rPr>
      </w:pPr>
      <w:r>
        <w:rPr>
          <w:lang w:val="en-US"/>
        </w:rPr>
        <w:t>Whilst I recognise the importance of collaborative working, there is no provision for the continuation,</w:t>
      </w:r>
      <w:r w:rsidR="000F3A4A">
        <w:rPr>
          <w:lang w:val="en-US"/>
        </w:rPr>
        <w:t xml:space="preserve"> </w:t>
      </w:r>
      <w:r>
        <w:rPr>
          <w:lang w:val="en-US"/>
        </w:rPr>
        <w:t>beyond September 2014, of the pilot multi-disciplinary teams as they currently stand.</w:t>
      </w:r>
    </w:p>
    <w:p w:rsidR="00913158" w:rsidRDefault="00913158" w:rsidP="00913158">
      <w:pPr>
        <w:pStyle w:val="NICCYBodyText"/>
      </w:pPr>
    </w:p>
    <w:p w:rsidR="000F3A4A" w:rsidRDefault="000F3A4A" w:rsidP="000F3A4A">
      <w:pPr>
        <w:pStyle w:val="NICCYBodyText"/>
      </w:pPr>
      <w:hyperlink w:anchor="_top" w:history="1">
        <w:r w:rsidRPr="007715F2">
          <w:rPr>
            <w:rStyle w:val="Hyperlink"/>
          </w:rPr>
          <w:t>Back to Top</w:t>
        </w:r>
      </w:hyperlink>
    </w:p>
    <w:p w:rsidR="000F3A4A" w:rsidRDefault="000F3A4A" w:rsidP="00913158">
      <w:pPr>
        <w:pStyle w:val="NICCYBodyText"/>
      </w:pPr>
    </w:p>
    <w:p w:rsidR="008D31BB" w:rsidRDefault="008D31BB" w:rsidP="00913158">
      <w:pPr>
        <w:pStyle w:val="NICCYBodyText"/>
      </w:pPr>
    </w:p>
    <w:p w:rsidR="008D31BB" w:rsidRDefault="008D31BB" w:rsidP="00913158">
      <w:pPr>
        <w:pStyle w:val="NICCYBodyText"/>
      </w:pPr>
    </w:p>
    <w:p w:rsidR="008D31BB" w:rsidRDefault="008D31BB" w:rsidP="00913158">
      <w:pPr>
        <w:pStyle w:val="NICCYBodyText"/>
      </w:pPr>
    </w:p>
    <w:p w:rsidR="008D31BB" w:rsidRDefault="008D31BB" w:rsidP="00913158">
      <w:pPr>
        <w:pStyle w:val="NICCYBodyText"/>
      </w:pPr>
    </w:p>
    <w:p w:rsidR="008D31BB" w:rsidRDefault="008D31BB" w:rsidP="00913158">
      <w:pPr>
        <w:pStyle w:val="NICCYBodyText"/>
      </w:pPr>
    </w:p>
    <w:p w:rsidR="008D31BB" w:rsidRDefault="008D31BB" w:rsidP="00913158">
      <w:pPr>
        <w:pStyle w:val="NICCYBodyText"/>
      </w:pPr>
    </w:p>
    <w:p w:rsidR="008D31BB" w:rsidRDefault="008D31BB" w:rsidP="00913158">
      <w:pPr>
        <w:pStyle w:val="NICCYBodyText"/>
      </w:pPr>
    </w:p>
    <w:p w:rsidR="008D31BB" w:rsidRDefault="008D31BB" w:rsidP="00913158">
      <w:pPr>
        <w:pStyle w:val="NICCYBodyText"/>
      </w:pPr>
    </w:p>
    <w:p w:rsidR="008D31BB" w:rsidRDefault="008D31BB" w:rsidP="00913158">
      <w:pPr>
        <w:pStyle w:val="NICCYBodyText"/>
      </w:pPr>
    </w:p>
    <w:p w:rsidR="008D31BB" w:rsidRDefault="008D31BB" w:rsidP="00913158">
      <w:pPr>
        <w:pStyle w:val="NICCYBodyText"/>
      </w:pPr>
    </w:p>
    <w:p w:rsidR="00913158" w:rsidRDefault="00913158" w:rsidP="00913158">
      <w:pPr>
        <w:pStyle w:val="NICCYBodyText"/>
      </w:pPr>
    </w:p>
    <w:p w:rsidR="00913158" w:rsidRDefault="00913158" w:rsidP="008D31BB">
      <w:pPr>
        <w:pStyle w:val="NICCYHeading"/>
        <w:rPr>
          <w:lang w:val="en-US"/>
        </w:rPr>
      </w:pPr>
      <w:r>
        <w:rPr>
          <w:lang w:val="en-US"/>
        </w:rPr>
        <w:lastRenderedPageBreak/>
        <w:t>Department for Social Development</w:t>
      </w:r>
    </w:p>
    <w:p w:rsidR="00913158" w:rsidRPr="008D31BB" w:rsidRDefault="00913158" w:rsidP="008D31BB">
      <w:pPr>
        <w:pStyle w:val="Heading2"/>
        <w:rPr>
          <w:rFonts w:eastAsiaTheme="minorEastAsia"/>
          <w:color w:val="23A4DE"/>
          <w:lang w:val="en-US"/>
        </w:rPr>
      </w:pPr>
      <w:bookmarkStart w:id="6" w:name="_Phase_2_of"/>
      <w:bookmarkEnd w:id="6"/>
      <w:r w:rsidRPr="008D31BB">
        <w:rPr>
          <w:rFonts w:eastAsiaTheme="minorEastAsia"/>
          <w:color w:val="23A4DE"/>
          <w:lang w:val="en-US"/>
        </w:rPr>
        <w:t>Phase 2 of the Child Maintenance Reform Programme</w:t>
      </w:r>
    </w:p>
    <w:p w:rsidR="00913158" w:rsidRDefault="00913158" w:rsidP="008D31BB">
      <w:pPr>
        <w:pStyle w:val="NICCYBodyText"/>
        <w:rPr>
          <w:lang w:val="en-US"/>
        </w:rPr>
      </w:pPr>
      <w:r w:rsidRPr="008D31BB">
        <w:rPr>
          <w:rFonts w:ascii="ITCFranklinGothicDemi" w:hAnsi="ITCFranklinGothicDemi" w:cs="ITCFranklinGothicDemi"/>
          <w:b/>
          <w:lang w:val="en-US"/>
        </w:rPr>
        <w:t>Mr Campbell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asked the Minister for Social Development whether he expects Phase 2 of the Child</w:t>
      </w:r>
      <w:r w:rsidR="008D31BB">
        <w:rPr>
          <w:lang w:val="en-US"/>
        </w:rPr>
        <w:t xml:space="preserve"> </w:t>
      </w:r>
      <w:r>
        <w:rPr>
          <w:lang w:val="en-US"/>
        </w:rPr>
        <w:t>Maintenance Reform Programme to begin as scheduled in June 2014.</w:t>
      </w:r>
    </w:p>
    <w:p w:rsidR="00913158" w:rsidRDefault="00913158" w:rsidP="008D31BB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32953/11-15)</w:t>
      </w:r>
    </w:p>
    <w:p w:rsidR="008D31BB" w:rsidRDefault="008D31BB" w:rsidP="008D31BB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913158" w:rsidRPr="008D31BB" w:rsidRDefault="00913158" w:rsidP="00913158">
      <w:pPr>
        <w:pStyle w:val="NICCYBodyText"/>
        <w:rPr>
          <w:lang w:val="en-US"/>
        </w:rPr>
      </w:pPr>
      <w:r w:rsidRPr="008D31BB">
        <w:rPr>
          <w:rFonts w:ascii="ITCFranklinGothicDemi" w:hAnsi="ITCFranklinGothicDemi" w:cs="ITCFranklinGothicDemi"/>
          <w:b/>
          <w:lang w:val="en-US"/>
        </w:rPr>
        <w:t xml:space="preserve">Mr McCausland: </w:t>
      </w:r>
      <w:r w:rsidRPr="004E47E2">
        <w:rPr>
          <w:lang w:val="en-US"/>
        </w:rPr>
        <w:t>The</w:t>
      </w:r>
      <w:r>
        <w:rPr>
          <w:lang w:val="en-US"/>
        </w:rPr>
        <w:t xml:space="preserve"> Child Maintenance Reform programme in Northern Ireland will be aligned with</w:t>
      </w:r>
      <w:r w:rsidR="008D31BB">
        <w:rPr>
          <w:lang w:val="en-US"/>
        </w:rPr>
        <w:t xml:space="preserve"> </w:t>
      </w:r>
      <w:r>
        <w:rPr>
          <w:lang w:val="en-US"/>
        </w:rPr>
        <w:t xml:space="preserve">changes being made in the rest of the United Kingdom by the Department for Work and Pensions </w:t>
      </w:r>
      <w:r w:rsidR="008D31BB">
        <w:rPr>
          <w:lang w:val="en-US"/>
        </w:rPr>
        <w:t xml:space="preserve">(DWP).  </w:t>
      </w:r>
      <w:r>
        <w:rPr>
          <w:lang w:val="en-US"/>
        </w:rPr>
        <w:t>My officials are continuing to work towa</w:t>
      </w:r>
      <w:r w:rsidR="008D31BB">
        <w:rPr>
          <w:lang w:val="en-US"/>
        </w:rPr>
        <w:t xml:space="preserve">rds the timetable as scheduled.  </w:t>
      </w:r>
      <w:r>
        <w:rPr>
          <w:lang w:val="en-US"/>
        </w:rPr>
        <w:t>I expect to be able to</w:t>
      </w:r>
      <w:r w:rsidR="008D31BB">
        <w:rPr>
          <w:lang w:val="en-US"/>
        </w:rPr>
        <w:t xml:space="preserve"> </w:t>
      </w:r>
      <w:r>
        <w:rPr>
          <w:lang w:val="en-US"/>
        </w:rPr>
        <w:t>confirm the actual commencement date in the near future.</w:t>
      </w:r>
    </w:p>
    <w:p w:rsidR="00913158" w:rsidRDefault="00913158" w:rsidP="00913158">
      <w:pPr>
        <w:pStyle w:val="NICCYBodyText"/>
      </w:pPr>
    </w:p>
    <w:p w:rsidR="00913158" w:rsidRDefault="00913158" w:rsidP="00913158">
      <w:pPr>
        <w:pStyle w:val="NICCYBodyText"/>
      </w:pPr>
      <w:hyperlink w:anchor="_top" w:history="1">
        <w:r w:rsidRPr="007715F2">
          <w:rPr>
            <w:rStyle w:val="Hyperlink"/>
          </w:rPr>
          <w:t>Back t</w:t>
        </w:r>
        <w:r w:rsidRPr="007715F2">
          <w:rPr>
            <w:rStyle w:val="Hyperlink"/>
          </w:rPr>
          <w:t>o</w:t>
        </w:r>
        <w:r w:rsidRPr="007715F2">
          <w:rPr>
            <w:rStyle w:val="Hyperlink"/>
          </w:rPr>
          <w:t xml:space="preserve"> Top</w:t>
        </w:r>
      </w:hyperlink>
    </w:p>
    <w:p w:rsidR="00913158" w:rsidRDefault="00913158" w:rsidP="00F3229A">
      <w:pPr>
        <w:pStyle w:val="NICCYHeading"/>
      </w:pPr>
    </w:p>
    <w:sectPr w:rsidR="00913158" w:rsidSect="002B54AF">
      <w:headerReference w:type="default" r:id="rId8"/>
      <w:footerReference w:type="even" r:id="rId9"/>
      <w:footerReference w:type="default" r:id="rId10"/>
      <w:pgSz w:w="11900" w:h="16840"/>
      <w:pgMar w:top="2835" w:right="1134" w:bottom="2041" w:left="1134" w:header="39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BB" w:rsidRDefault="008D31BB" w:rsidP="00CC53D4">
      <w:r>
        <w:separator/>
      </w:r>
    </w:p>
  </w:endnote>
  <w:endnote w:type="continuationSeparator" w:id="0">
    <w:p w:rsidR="008D31BB" w:rsidRDefault="008D31BB" w:rsidP="00CC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TCFranklinGothic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Boo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BB" w:rsidRDefault="008D31BB" w:rsidP="00CC53D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1BB" w:rsidRDefault="008D31BB" w:rsidP="00CC53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BB" w:rsidRPr="00D81956" w:rsidRDefault="008D31BB" w:rsidP="00CC53D4">
    <w:pPr>
      <w:pStyle w:val="Footer"/>
      <w:rPr>
        <w:rStyle w:val="PageNumber"/>
        <w:rFonts w:ascii="Arial" w:hAnsi="Arial" w:cs="Arial"/>
        <w:sz w:val="16"/>
        <w:szCs w:val="16"/>
      </w:rPr>
    </w:pPr>
    <w:r w:rsidRPr="00D81956">
      <w:rPr>
        <w:rStyle w:val="PageNumber"/>
        <w:rFonts w:ascii="Arial" w:hAnsi="Arial" w:cs="Arial"/>
        <w:sz w:val="16"/>
        <w:szCs w:val="16"/>
      </w:rPr>
      <w:fldChar w:fldCharType="begin"/>
    </w:r>
    <w:r w:rsidRPr="00D81956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81956">
      <w:rPr>
        <w:rStyle w:val="PageNumber"/>
        <w:rFonts w:ascii="Arial" w:hAnsi="Arial" w:cs="Arial"/>
        <w:sz w:val="16"/>
        <w:szCs w:val="16"/>
      </w:rPr>
      <w:fldChar w:fldCharType="separate"/>
    </w:r>
    <w:r w:rsidR="004E47E2">
      <w:rPr>
        <w:rStyle w:val="PageNumber"/>
        <w:rFonts w:ascii="Arial" w:hAnsi="Arial" w:cs="Arial"/>
        <w:noProof/>
        <w:sz w:val="16"/>
        <w:szCs w:val="16"/>
      </w:rPr>
      <w:t>1</w:t>
    </w:r>
    <w:r w:rsidRPr="00D81956">
      <w:rPr>
        <w:rStyle w:val="PageNumber"/>
        <w:rFonts w:ascii="Arial" w:hAnsi="Arial" w:cs="Arial"/>
        <w:sz w:val="16"/>
        <w:szCs w:val="16"/>
      </w:rPr>
      <w:fldChar w:fldCharType="end"/>
    </w:r>
  </w:p>
  <w:p w:rsidR="008D31BB" w:rsidRPr="00D81956" w:rsidRDefault="008D31BB" w:rsidP="00CC53D4">
    <w:pPr>
      <w:pStyle w:val="Footer"/>
    </w:pPr>
    <w:r>
      <w:t xml:space="preserve"> </w:t>
    </w:r>
    <w:r>
      <w:rPr>
        <w:noProof/>
      </w:rPr>
      <w:pict>
        <v:group id="Group 10" o:spid="_x0000_s2049" style="position:absolute;margin-left:-71.95pt;margin-top:-26.9pt;width:595.25pt;height:5.45pt;z-index:251663360;mso-position-horizontal-relative:text;mso-position-vertical-relative:text" coordsize="8548079,136769" wrapcoords="-27 0 -27 18514 21600 18514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Ef1ZoDAACkFQAADgAAAGRycy9lMm9Eb2MueG1s7FhLb9swDL4P2H8wfF/9iOM4RpMicNpiQNEV&#10;bYeeFUV2DNiSJimP7tePkmw3azP0Faw95GJLFilSn/iRlo5PNnXlrIiQJaMjNzjyXYdQzOYlLUbu&#10;z9uzb4nrSIXoHFWMkpF7T6R7Mv765XjNUxKyBavmRDgwCZXpmo/chVI89TyJF6RG8ohxQmEwZ6JG&#10;Crqi8OYCrWH2uvJC34+9NRNzLhgmUsLXqR10x2b+PCdY/chzSZRTjVzwTZmnMM+ZfnrjY5QWAvFF&#10;iRs30Bu8qFFJwWg31RQp5CxF+WSqusSCSZarI8xqj+V5iYlZA6wm8B+t5lywJTdrKdJ1wTuYANpH&#10;OL15Wny5uhJOOYe9A3goqmGPjFkH+gDOmhcpyJwLfsOvRPOhsD293k0uav2GlTgbA+t9ByvZKAfD&#10;x0G/P4wHfdfBMBYPw6BvYccL2JsnWnhx2ugl/SjxB0OrF/TiQTzUil5r1dPOdb6sOUSQfABJvg+k&#10;mwXixGAvNQAtSEEL0jWEFqJFRZwgsEAZuQ4lmUoA7KUQBQN/GAfxP5eKUi6kOiesdnRj5AowbwIO&#10;rS6ksqi0ItqoZFU5PyurynREMcsq4ayQZoGfTLJJA+RfYhXVwpRpNTuj/UIMjxozGma7MtNS9xXR&#10;WhW9JjnEEWx3YPwyDCadVYQxocogBftnpLVaDqY6xd7zio28VrVedcrh88qdhrHMqOqU65IysWuC&#10;qnM5t/IQflvr1k21mW0ML2Q6Y/N7CBTBbJqRHJ+VsFsXSKorJCCvAMUgV8LogonfrrOGvDNy5a8l&#10;EsR1qu8UYnYYRJFOVKYT9QchdMT2yGx7hC7rjMGmQliCNdPU8qpqm7lg9R2kyIm2CkOIYrA9crES&#10;bSdTNh9CksVkMjFikJw4Uhf0huN2Q3V03W7ukOBNCCrg9yVreYLSR5FoZTXUlE2WiuWlCVMNmcWp&#10;gRI4q9PM/yBvuIO84avI2/H0aZbrhnSW25Gt9kjhLIPKd6BwQ0mbdd5LYVsD22A4MHmrpnxCJvd2&#10;MLnXbh6U6+fLcC8KhmEP8uaHMnl6GvthWxUPxdj8P+yFyV1aPzD5czM52sHk6FVM7gdhkkSDD2Zy&#10;P5tkPeM4/N8emLw/Jndp/cDkz81kOODb+4Oto7E56euf+xfV5DjpJVEMtf1Da3I29Ydw6rIn4AOT&#10;98fkLq0fmPxWJpsrL7gKNLdgzbWlvmvc7ptz9cPl6vgPAAAA//8DAFBLAwQUAAYACAAAACEA30R7&#10;ZeMAAAANAQAADwAAAGRycy9kb3ducmV2LnhtbEyPQW+CQBCF7036HzbTpDddECSVshhj2p5Mk2qT&#10;prcRRiCyu4RdAf99x1O9zcx7efO9bD3pVgzUu8YaBeE8AEGmsGVjKgXfh/fZCwjn0ZTYWkMKruRg&#10;nT8+ZJiWdjRfNOx9JTjEuBQV1N53qZSuqEmjm9uODGsn22v0vPaVLHscOVy3chEEidTYGP5QY0fb&#10;morz/qIVfIw4bqLwbdidT9vr72H5+bMLSannp2nzCsLT5P/NcMNndMiZ6WgvpnSiVTAL42jFXp6W&#10;EZe4WYI4SUAc+RQvViDzTN63yP8AAAD//wMAUEsBAi0AFAAGAAgAAAAhAOSZw8D7AAAA4QEAABMA&#10;AAAAAAAAAAAAAAAAAAAAAFtDb250ZW50X1R5cGVzXS54bWxQSwECLQAUAAYACAAAACEAI7Jq4dcA&#10;AACUAQAACwAAAAAAAAAAAAAAAAAsAQAAX3JlbHMvLnJlbHNQSwECLQAUAAYACAAAACEAMAEf1ZoD&#10;AACkFQAADgAAAAAAAAAAAAAAAAAsAgAAZHJzL2Uyb0RvYy54bWxQSwECLQAUAAYACAAAACEA30R7&#10;ZeMAAAANAQAADwAAAAAAAAAAAAAAAADyBQAAZHJzL2Rvd25yZXYueG1sUEsFBgAAAAAEAAQA8wAA&#10;AAIHAAAAAA==&#10;">
          <v:rect id="Rectangle 11" o:spid="_x0000_s2050" style="position:absolute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GzUwgAA&#10;ANsAAAAPAAAAZHJzL2Rvd25yZXYueG1sRE9Ni8IwEL0v+B/CCF5EU7sgUo1iXRa8eNBdUW9DM7bF&#10;ZlKbqN1/bwRhb/N4nzNbtKYSd2pcaVnBaBiBIM6sLjlX8PvzPZiAcB5ZY2WZFPyRg8W88zHDRNsH&#10;b+m+87kIIewSVFB4XydSuqwgg25oa+LAnW1j0AfY5FI3+AjhppJxFI2lwZJDQ4E1rQrKLrubUbAf&#10;13a/PVSrTVp+pafPY9xPr7FSvW67nILw1Pp/8du91mH+CF6/hAP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IbNTCAAAA2wAAAA8AAAAAAAAAAAAAAAAAlwIAAGRycy9kb3du&#10;cmV2LnhtbFBLBQYAAAAABAAEAPUAAACGAwAAAAA=&#10;" fillcolor="#008aca" stroked="f">
            <v:textbox style="mso-next-textbox:#Rectangle 11">
              <w:txbxContent>
                <w:p w:rsidR="008D31BB" w:rsidRDefault="008D31BB" w:rsidP="00CC53D4"/>
              </w:txbxContent>
            </v:textbox>
          </v:rect>
          <v:rect id="Rectangle 12" o:spid="_x0000_s2051" style="position:absolute;left:1709616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n+QpwQAA&#10;ANsAAAAPAAAAZHJzL2Rvd25yZXYueG1sRE/NisIwEL4L+w5hFvam6XpQqUYpLoLuRfx5gLEZ22Iz&#10;KU1qs/v0RhC8zcf3O4tVMLW4U+sqywq+RwkI4tzqigsF59NmOAPhPLLG2jIp+CMHq+XHYIGptj0f&#10;6H70hYgh7FJUUHrfpFK6vCSDbmQb4shdbWvQR9gWUrfYx3BTy3GSTKTBimNDiQ2tS8pvx84o2O3d&#10;f5dN+8tl+jPpfrss7HdVUOrrM2RzEJ6Cf4tf7q2O88fw/CU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J/kKcEAAADbAAAADwAAAAAAAAAAAAAAAACXAgAAZHJzL2Rvd25y&#10;ZXYueG1sUEsFBgAAAAAEAAQA9QAAAIUDAAAAAA==&#10;" fillcolor="#cc006a" stroked="f">
            <v:textbox style="mso-next-textbox:#Rectangle 12">
              <w:txbxContent>
                <w:p w:rsidR="008D31BB" w:rsidRDefault="008D31BB" w:rsidP="00CC53D4"/>
              </w:txbxContent>
            </v:textbox>
          </v:rect>
          <v:rect id="Rectangle 13" o:spid="_x0000_s2052" style="position:absolute;left:3419231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CoWDxQAA&#10;ANsAAAAPAAAAZHJzL2Rvd25yZXYueG1sRI9Ba8JAEIXvgv9hGcGL1E0VtKSuIrbBnixV8Txkp0kw&#10;O5vurib213cLgrcZ3vvevFmsOlOLKzlfWVbwPE5AEOdWV1woOB6ypxcQPiBrrC2Tght5WC37vQWm&#10;2rb8Rdd9KEQMYZ+igjKEJpXS5yUZ9GPbEEft2zqDIa6ukNphG8NNLSdJMpMGK44XSmxoU1J+3l9M&#10;rHHK/PvaFWE7+pnnu8/ZWzZqf5UaDrr1K4hAXXiY7/SHjtwU/n+JA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KhYPFAAAA2wAAAA8AAAAAAAAAAAAAAAAAlwIAAGRycy9k&#10;b3ducmV2LnhtbFBLBQYAAAAABAAEAPUAAACJAwAAAAA=&#10;" fillcolor="#de6021" stroked="f">
            <v:textbox style="mso-next-textbox:#Rectangle 13">
              <w:txbxContent>
                <w:p w:rsidR="008D31BB" w:rsidRDefault="008D31BB" w:rsidP="00CC53D4"/>
              </w:txbxContent>
            </v:textbox>
          </v:rect>
          <v:rect id="Rectangle 14" o:spid="_x0000_s2053" style="position:absolute;left:5128847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HdpIwgAA&#10;ANsAAAAPAAAAZHJzL2Rvd25yZXYueG1sRE9LawIxEL4X+h/CCL3VrFJEVqMsFmkPRfHV9jhsppvg&#10;ZrJuUl3/fVMQvM3H95zpvHO1OFMbrGcFg34Ggrj02nKlYL9bPo9BhIissfZMCq4UYD57fJhirv2F&#10;N3TexkqkEA45KjAxNrmUoTTkMPR9Q5y4H986jAm2ldQtXlK4q+Uwy0bSoeXUYLChhaHyuP11Cmhn&#10;v+rvw9quhifzpl8/ik/MCqWeel0xARGpi3fxzf2u0/wX+P8lHSB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d2kjCAAAA2wAAAA8AAAAAAAAAAAAAAAAAlwIAAGRycy9kb3du&#10;cmV2LnhtbFBLBQYAAAAABAAEAPUAAACGAwAAAAA=&#10;" fillcolor="#5cac34" stroked="f">
            <v:textbox style="mso-next-textbox:#Rectangle 14">
              <w:txbxContent>
                <w:p w:rsidR="008D31BB" w:rsidRDefault="008D31BB" w:rsidP="00CC53D4"/>
              </w:txbxContent>
            </v:textbox>
          </v:rect>
          <v:rect id="Rectangle 15" o:spid="_x0000_s2054" style="position:absolute;left:6838463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cM7vwAA&#10;ANsAAAAPAAAAZHJzL2Rvd25yZXYueG1sRE9Ni8IwEL0L/ocwgjdN3aJI17SIsOBFxKoHb0Mz23a3&#10;mZQmav33RhC8zeN9zirrTSNu1LnasoLZNAJBXFhdc6ngdPyZLEE4j6yxsUwKHuQgS4eDFSba3vlA&#10;t9yXIoSwS1BB5X2bSOmKigy6qW2JA/drO4M+wK6UusN7CDeN/IqihTRYc2iosKVNRcV/fjUK4rO5&#10;UHPd5SZ+LEt0+1iv/1ip8ahff4Pw1PuP+O3e6jB/Dq9fwgEyf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sJwzu/AAAA2wAAAA8AAAAAAAAAAAAAAAAAlwIAAGRycy9kb3ducmV2&#10;LnhtbFBLBQYAAAAABAAEAPUAAACDAwAAAAA=&#10;" fillcolor="#cd0920" stroked="f">
            <v:textbox style="mso-next-textbox:#Rectangle 15">
              <w:txbxContent>
                <w:p w:rsidR="008D31BB" w:rsidRDefault="008D31BB" w:rsidP="00CC53D4"/>
              </w:txbxContent>
            </v:textbox>
          </v:rect>
          <w10:wrap type="tigh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BB" w:rsidRDefault="008D31BB" w:rsidP="00CC53D4">
      <w:r>
        <w:separator/>
      </w:r>
    </w:p>
  </w:footnote>
  <w:footnote w:type="continuationSeparator" w:id="0">
    <w:p w:rsidR="008D31BB" w:rsidRDefault="008D31BB" w:rsidP="00CC5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/>
    </w:tblPr>
    <w:tblGrid>
      <w:gridCol w:w="5027"/>
      <w:gridCol w:w="4855"/>
    </w:tblGrid>
    <w:tr w:rsidR="008D31BB" w:rsidTr="000D52AB">
      <w:tc>
        <w:tcPr>
          <w:tcW w:w="5027" w:type="dxa"/>
          <w:shd w:val="clear" w:color="auto" w:fill="auto"/>
        </w:tcPr>
        <w:p w:rsidR="008D31BB" w:rsidRDefault="008D31BB" w:rsidP="00CC53D4">
          <w:pPr>
            <w:pStyle w:val="CompanyName"/>
          </w:pPr>
        </w:p>
      </w:tc>
      <w:tc>
        <w:tcPr>
          <w:tcW w:w="4855" w:type="dxa"/>
          <w:shd w:val="clear" w:color="auto" w:fill="auto"/>
        </w:tcPr>
        <w:p w:rsidR="008D31BB" w:rsidRDefault="008D31BB" w:rsidP="00CC53D4">
          <w:pPr>
            <w:pStyle w:val="CompanyName"/>
          </w:pPr>
        </w:p>
      </w:tc>
    </w:tr>
  </w:tbl>
  <w:p w:rsidR="008D31BB" w:rsidRDefault="008D31BB" w:rsidP="00CC53D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4639945</wp:posOffset>
          </wp:positionH>
          <wp:positionV relativeFrom="paragraph">
            <wp:posOffset>190500</wp:posOffset>
          </wp:positionV>
          <wp:extent cx="1536700" cy="635000"/>
          <wp:effectExtent l="0" t="0" r="12700" b="0"/>
          <wp:wrapTight wrapText="bothSides">
            <wp:wrapPolygon edited="0">
              <wp:start x="0" y="0"/>
              <wp:lineTo x="0" y="20736"/>
              <wp:lineTo x="20350" y="20736"/>
              <wp:lineTo x="21421" y="12096"/>
              <wp:lineTo x="21421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CYstackedlogo_gr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BE8"/>
    <w:multiLevelType w:val="hybridMultilevel"/>
    <w:tmpl w:val="87B6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2FE5"/>
    <w:multiLevelType w:val="hybridMultilevel"/>
    <w:tmpl w:val="A31C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D7ACE"/>
    <w:multiLevelType w:val="hybridMultilevel"/>
    <w:tmpl w:val="DF1C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3611F"/>
    <w:multiLevelType w:val="hybridMultilevel"/>
    <w:tmpl w:val="149A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E053A"/>
    <w:multiLevelType w:val="hybridMultilevel"/>
    <w:tmpl w:val="F51A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D2DD9"/>
    <w:multiLevelType w:val="hybridMultilevel"/>
    <w:tmpl w:val="632ACDDC"/>
    <w:lvl w:ilvl="0" w:tplc="0D0CCB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61528"/>
    <w:multiLevelType w:val="hybridMultilevel"/>
    <w:tmpl w:val="DF1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2FCC"/>
    <w:multiLevelType w:val="hybridMultilevel"/>
    <w:tmpl w:val="62C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326E"/>
    <w:multiLevelType w:val="hybridMultilevel"/>
    <w:tmpl w:val="D4DE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97EC4"/>
    <w:multiLevelType w:val="hybridMultilevel"/>
    <w:tmpl w:val="66B0D640"/>
    <w:lvl w:ilvl="0" w:tplc="ACDC01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5B0D"/>
    <w:multiLevelType w:val="hybridMultilevel"/>
    <w:tmpl w:val="0568C250"/>
    <w:lvl w:ilvl="0" w:tplc="63448F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E4BC4"/>
    <w:multiLevelType w:val="hybridMultilevel"/>
    <w:tmpl w:val="D410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F1810"/>
    <w:multiLevelType w:val="hybridMultilevel"/>
    <w:tmpl w:val="3E7466BC"/>
    <w:lvl w:ilvl="0" w:tplc="FB4AF5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C7EA8"/>
    <w:multiLevelType w:val="hybridMultilevel"/>
    <w:tmpl w:val="1550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2BD6"/>
    <w:multiLevelType w:val="hybridMultilevel"/>
    <w:tmpl w:val="9D7A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27E0"/>
    <w:multiLevelType w:val="hybridMultilevel"/>
    <w:tmpl w:val="E4947E6A"/>
    <w:lvl w:ilvl="0" w:tplc="5E9A9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4583F"/>
    <w:multiLevelType w:val="hybridMultilevel"/>
    <w:tmpl w:val="7470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A2716"/>
    <w:multiLevelType w:val="hybridMultilevel"/>
    <w:tmpl w:val="72D8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40036"/>
    <w:multiLevelType w:val="hybridMultilevel"/>
    <w:tmpl w:val="1E3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760CC"/>
    <w:multiLevelType w:val="hybridMultilevel"/>
    <w:tmpl w:val="D8F6F74C"/>
    <w:lvl w:ilvl="0" w:tplc="CE342C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910CA"/>
    <w:multiLevelType w:val="hybridMultilevel"/>
    <w:tmpl w:val="C060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14802"/>
    <w:multiLevelType w:val="hybridMultilevel"/>
    <w:tmpl w:val="59A2189C"/>
    <w:lvl w:ilvl="0" w:tplc="63C880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80CCB"/>
    <w:multiLevelType w:val="hybridMultilevel"/>
    <w:tmpl w:val="D45C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F2AA8"/>
    <w:multiLevelType w:val="hybridMultilevel"/>
    <w:tmpl w:val="9A2E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7532C"/>
    <w:multiLevelType w:val="hybridMultilevel"/>
    <w:tmpl w:val="9E6C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5636E"/>
    <w:multiLevelType w:val="hybridMultilevel"/>
    <w:tmpl w:val="03761006"/>
    <w:lvl w:ilvl="0" w:tplc="6194D5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1777A"/>
    <w:multiLevelType w:val="hybridMultilevel"/>
    <w:tmpl w:val="FF6A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84623"/>
    <w:multiLevelType w:val="hybridMultilevel"/>
    <w:tmpl w:val="5DB6722A"/>
    <w:lvl w:ilvl="0" w:tplc="ACDC01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303AB"/>
    <w:multiLevelType w:val="hybridMultilevel"/>
    <w:tmpl w:val="C242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661CB"/>
    <w:multiLevelType w:val="hybridMultilevel"/>
    <w:tmpl w:val="5C84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9235F"/>
    <w:multiLevelType w:val="hybridMultilevel"/>
    <w:tmpl w:val="5CF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B6EA5"/>
    <w:multiLevelType w:val="hybridMultilevel"/>
    <w:tmpl w:val="201A0776"/>
    <w:lvl w:ilvl="0" w:tplc="C8782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7441D"/>
    <w:multiLevelType w:val="hybridMultilevel"/>
    <w:tmpl w:val="666CB80E"/>
    <w:lvl w:ilvl="0" w:tplc="8AC41C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0"/>
  </w:num>
  <w:num w:numId="4">
    <w:abstractNumId w:val="30"/>
  </w:num>
  <w:num w:numId="5">
    <w:abstractNumId w:val="25"/>
  </w:num>
  <w:num w:numId="6">
    <w:abstractNumId w:val="26"/>
  </w:num>
  <w:num w:numId="7">
    <w:abstractNumId w:val="21"/>
  </w:num>
  <w:num w:numId="8">
    <w:abstractNumId w:val="15"/>
  </w:num>
  <w:num w:numId="9">
    <w:abstractNumId w:val="1"/>
  </w:num>
  <w:num w:numId="10">
    <w:abstractNumId w:val="24"/>
  </w:num>
  <w:num w:numId="11">
    <w:abstractNumId w:val="16"/>
  </w:num>
  <w:num w:numId="12">
    <w:abstractNumId w:val="4"/>
  </w:num>
  <w:num w:numId="13">
    <w:abstractNumId w:val="13"/>
  </w:num>
  <w:num w:numId="14">
    <w:abstractNumId w:val="17"/>
  </w:num>
  <w:num w:numId="15">
    <w:abstractNumId w:val="19"/>
  </w:num>
  <w:num w:numId="16">
    <w:abstractNumId w:val="18"/>
  </w:num>
  <w:num w:numId="17">
    <w:abstractNumId w:val="5"/>
  </w:num>
  <w:num w:numId="18">
    <w:abstractNumId w:val="8"/>
  </w:num>
  <w:num w:numId="19">
    <w:abstractNumId w:val="22"/>
  </w:num>
  <w:num w:numId="20">
    <w:abstractNumId w:val="6"/>
  </w:num>
  <w:num w:numId="21">
    <w:abstractNumId w:val="31"/>
  </w:num>
  <w:num w:numId="22">
    <w:abstractNumId w:val="27"/>
  </w:num>
  <w:num w:numId="23">
    <w:abstractNumId w:val="9"/>
  </w:num>
  <w:num w:numId="24">
    <w:abstractNumId w:val="11"/>
  </w:num>
  <w:num w:numId="25">
    <w:abstractNumId w:val="14"/>
  </w:num>
  <w:num w:numId="26">
    <w:abstractNumId w:val="23"/>
  </w:num>
  <w:num w:numId="27">
    <w:abstractNumId w:val="2"/>
  </w:num>
  <w:num w:numId="28">
    <w:abstractNumId w:val="3"/>
  </w:num>
  <w:num w:numId="29">
    <w:abstractNumId w:val="20"/>
  </w:num>
  <w:num w:numId="30">
    <w:abstractNumId w:val="0"/>
  </w:num>
  <w:num w:numId="31">
    <w:abstractNumId w:val="32"/>
  </w:num>
  <w:num w:numId="32">
    <w:abstractNumId w:val="12"/>
  </w:num>
  <w:num w:numId="3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2B30"/>
    <w:rsid w:val="000211FE"/>
    <w:rsid w:val="000234A1"/>
    <w:rsid w:val="000444A3"/>
    <w:rsid w:val="00055EA0"/>
    <w:rsid w:val="00071D77"/>
    <w:rsid w:val="000834FA"/>
    <w:rsid w:val="000837F5"/>
    <w:rsid w:val="00093189"/>
    <w:rsid w:val="000B7622"/>
    <w:rsid w:val="000D2AEB"/>
    <w:rsid w:val="000D52AB"/>
    <w:rsid w:val="000E415A"/>
    <w:rsid w:val="000F1CDD"/>
    <w:rsid w:val="000F3A4A"/>
    <w:rsid w:val="000F7DDE"/>
    <w:rsid w:val="00110962"/>
    <w:rsid w:val="00115282"/>
    <w:rsid w:val="001324EB"/>
    <w:rsid w:val="00133E56"/>
    <w:rsid w:val="00135AEE"/>
    <w:rsid w:val="00136B0B"/>
    <w:rsid w:val="0014006E"/>
    <w:rsid w:val="00142718"/>
    <w:rsid w:val="00152D28"/>
    <w:rsid w:val="00162F1C"/>
    <w:rsid w:val="0017007C"/>
    <w:rsid w:val="0017312A"/>
    <w:rsid w:val="00190478"/>
    <w:rsid w:val="001911A0"/>
    <w:rsid w:val="001936E2"/>
    <w:rsid w:val="001B1E34"/>
    <w:rsid w:val="001B6EC2"/>
    <w:rsid w:val="001C3FD9"/>
    <w:rsid w:val="001E0551"/>
    <w:rsid w:val="00222A16"/>
    <w:rsid w:val="00245FC8"/>
    <w:rsid w:val="00257738"/>
    <w:rsid w:val="002631A4"/>
    <w:rsid w:val="00266801"/>
    <w:rsid w:val="002721BD"/>
    <w:rsid w:val="00280C3B"/>
    <w:rsid w:val="002962C1"/>
    <w:rsid w:val="002A3F21"/>
    <w:rsid w:val="002B54AF"/>
    <w:rsid w:val="002D63CA"/>
    <w:rsid w:val="002E017D"/>
    <w:rsid w:val="002E1D4A"/>
    <w:rsid w:val="002F37EE"/>
    <w:rsid w:val="00311BBE"/>
    <w:rsid w:val="00317ED8"/>
    <w:rsid w:val="003201AE"/>
    <w:rsid w:val="003313EA"/>
    <w:rsid w:val="00342A06"/>
    <w:rsid w:val="003505C8"/>
    <w:rsid w:val="003715DF"/>
    <w:rsid w:val="00394F1A"/>
    <w:rsid w:val="003A1BB8"/>
    <w:rsid w:val="003B0C0B"/>
    <w:rsid w:val="003E6232"/>
    <w:rsid w:val="003F5501"/>
    <w:rsid w:val="00414AF9"/>
    <w:rsid w:val="00432B30"/>
    <w:rsid w:val="00451456"/>
    <w:rsid w:val="00483941"/>
    <w:rsid w:val="00490ABC"/>
    <w:rsid w:val="00494024"/>
    <w:rsid w:val="004C026E"/>
    <w:rsid w:val="004E47E2"/>
    <w:rsid w:val="004F785C"/>
    <w:rsid w:val="0050043B"/>
    <w:rsid w:val="00502CBF"/>
    <w:rsid w:val="0052135F"/>
    <w:rsid w:val="00534EB5"/>
    <w:rsid w:val="00542EC1"/>
    <w:rsid w:val="00546DA4"/>
    <w:rsid w:val="005525FB"/>
    <w:rsid w:val="00560EC9"/>
    <w:rsid w:val="005776FA"/>
    <w:rsid w:val="00594766"/>
    <w:rsid w:val="005C465F"/>
    <w:rsid w:val="005C4D0D"/>
    <w:rsid w:val="005E6076"/>
    <w:rsid w:val="005F4C21"/>
    <w:rsid w:val="005F5FAB"/>
    <w:rsid w:val="006013F5"/>
    <w:rsid w:val="006240F5"/>
    <w:rsid w:val="0062524B"/>
    <w:rsid w:val="00635A59"/>
    <w:rsid w:val="006373CF"/>
    <w:rsid w:val="00655558"/>
    <w:rsid w:val="006608EA"/>
    <w:rsid w:val="00671F7C"/>
    <w:rsid w:val="006754C4"/>
    <w:rsid w:val="00676A55"/>
    <w:rsid w:val="006A5470"/>
    <w:rsid w:val="006B33DC"/>
    <w:rsid w:val="006B7F4A"/>
    <w:rsid w:val="006C16B2"/>
    <w:rsid w:val="006E5A88"/>
    <w:rsid w:val="006F3562"/>
    <w:rsid w:val="006F3A42"/>
    <w:rsid w:val="006F3F8A"/>
    <w:rsid w:val="006F5620"/>
    <w:rsid w:val="006F6F73"/>
    <w:rsid w:val="0070315A"/>
    <w:rsid w:val="007035A8"/>
    <w:rsid w:val="0070635F"/>
    <w:rsid w:val="0070725E"/>
    <w:rsid w:val="00712D51"/>
    <w:rsid w:val="007138CC"/>
    <w:rsid w:val="00727D62"/>
    <w:rsid w:val="00751ADC"/>
    <w:rsid w:val="007526F9"/>
    <w:rsid w:val="0076185E"/>
    <w:rsid w:val="00764644"/>
    <w:rsid w:val="00773FE9"/>
    <w:rsid w:val="00775C69"/>
    <w:rsid w:val="007764FD"/>
    <w:rsid w:val="007902A6"/>
    <w:rsid w:val="007910C9"/>
    <w:rsid w:val="007915E7"/>
    <w:rsid w:val="007A5E2D"/>
    <w:rsid w:val="007B6113"/>
    <w:rsid w:val="007C183C"/>
    <w:rsid w:val="007D1642"/>
    <w:rsid w:val="008131FD"/>
    <w:rsid w:val="00815A2F"/>
    <w:rsid w:val="00831BDB"/>
    <w:rsid w:val="008578C9"/>
    <w:rsid w:val="008654D4"/>
    <w:rsid w:val="00873EBD"/>
    <w:rsid w:val="008822D4"/>
    <w:rsid w:val="008860ED"/>
    <w:rsid w:val="00894865"/>
    <w:rsid w:val="008A31A5"/>
    <w:rsid w:val="008A32FE"/>
    <w:rsid w:val="008B4F31"/>
    <w:rsid w:val="008D31BB"/>
    <w:rsid w:val="008E3945"/>
    <w:rsid w:val="008F3863"/>
    <w:rsid w:val="009108C4"/>
    <w:rsid w:val="00913158"/>
    <w:rsid w:val="00922E3B"/>
    <w:rsid w:val="00922EB4"/>
    <w:rsid w:val="00951984"/>
    <w:rsid w:val="00955B1B"/>
    <w:rsid w:val="009560AE"/>
    <w:rsid w:val="009675A2"/>
    <w:rsid w:val="00971DFA"/>
    <w:rsid w:val="00977BED"/>
    <w:rsid w:val="00997DF0"/>
    <w:rsid w:val="009A5DED"/>
    <w:rsid w:val="009C3AA7"/>
    <w:rsid w:val="009D134E"/>
    <w:rsid w:val="009D179C"/>
    <w:rsid w:val="009D7DCD"/>
    <w:rsid w:val="009E6D40"/>
    <w:rsid w:val="00A03AF5"/>
    <w:rsid w:val="00A17E57"/>
    <w:rsid w:val="00A206DA"/>
    <w:rsid w:val="00A468ED"/>
    <w:rsid w:val="00A57C15"/>
    <w:rsid w:val="00A66FCA"/>
    <w:rsid w:val="00A70F96"/>
    <w:rsid w:val="00A80E8D"/>
    <w:rsid w:val="00A870AC"/>
    <w:rsid w:val="00A92D13"/>
    <w:rsid w:val="00A971BA"/>
    <w:rsid w:val="00AA15B0"/>
    <w:rsid w:val="00AA2943"/>
    <w:rsid w:val="00AC7EF9"/>
    <w:rsid w:val="00AD4064"/>
    <w:rsid w:val="00AD6E4D"/>
    <w:rsid w:val="00B04461"/>
    <w:rsid w:val="00B13ED0"/>
    <w:rsid w:val="00B23B32"/>
    <w:rsid w:val="00B356B1"/>
    <w:rsid w:val="00B37997"/>
    <w:rsid w:val="00B51076"/>
    <w:rsid w:val="00B5127A"/>
    <w:rsid w:val="00B5656D"/>
    <w:rsid w:val="00B63A85"/>
    <w:rsid w:val="00B906EB"/>
    <w:rsid w:val="00BA0F69"/>
    <w:rsid w:val="00BA2319"/>
    <w:rsid w:val="00BB3142"/>
    <w:rsid w:val="00BB603F"/>
    <w:rsid w:val="00BD589F"/>
    <w:rsid w:val="00BE13B4"/>
    <w:rsid w:val="00BF5014"/>
    <w:rsid w:val="00C0081D"/>
    <w:rsid w:val="00C06BD6"/>
    <w:rsid w:val="00C10EA2"/>
    <w:rsid w:val="00C24F32"/>
    <w:rsid w:val="00C31FED"/>
    <w:rsid w:val="00C434B2"/>
    <w:rsid w:val="00C637A4"/>
    <w:rsid w:val="00C714F2"/>
    <w:rsid w:val="00C749C1"/>
    <w:rsid w:val="00CA27CA"/>
    <w:rsid w:val="00CB450B"/>
    <w:rsid w:val="00CC2DCC"/>
    <w:rsid w:val="00CC488F"/>
    <w:rsid w:val="00CC53D4"/>
    <w:rsid w:val="00CC7A32"/>
    <w:rsid w:val="00CE29B6"/>
    <w:rsid w:val="00CF0D19"/>
    <w:rsid w:val="00CF702F"/>
    <w:rsid w:val="00D13D8B"/>
    <w:rsid w:val="00D26C7C"/>
    <w:rsid w:val="00D26EFB"/>
    <w:rsid w:val="00D33C37"/>
    <w:rsid w:val="00D366DD"/>
    <w:rsid w:val="00D531C5"/>
    <w:rsid w:val="00D65745"/>
    <w:rsid w:val="00D66149"/>
    <w:rsid w:val="00D72A9F"/>
    <w:rsid w:val="00D81956"/>
    <w:rsid w:val="00D83956"/>
    <w:rsid w:val="00D94E0A"/>
    <w:rsid w:val="00DA39F1"/>
    <w:rsid w:val="00DB2968"/>
    <w:rsid w:val="00DB7E5C"/>
    <w:rsid w:val="00DC2FE2"/>
    <w:rsid w:val="00DC417B"/>
    <w:rsid w:val="00DC69F8"/>
    <w:rsid w:val="00DD3409"/>
    <w:rsid w:val="00DD4FEF"/>
    <w:rsid w:val="00E03CDC"/>
    <w:rsid w:val="00E16583"/>
    <w:rsid w:val="00E25DC8"/>
    <w:rsid w:val="00E347A1"/>
    <w:rsid w:val="00E41050"/>
    <w:rsid w:val="00E44493"/>
    <w:rsid w:val="00E531E2"/>
    <w:rsid w:val="00E62C60"/>
    <w:rsid w:val="00E65508"/>
    <w:rsid w:val="00E84CEC"/>
    <w:rsid w:val="00E85371"/>
    <w:rsid w:val="00EA55B7"/>
    <w:rsid w:val="00EB7847"/>
    <w:rsid w:val="00ED0BC6"/>
    <w:rsid w:val="00EE20AD"/>
    <w:rsid w:val="00EE7908"/>
    <w:rsid w:val="00EF62E7"/>
    <w:rsid w:val="00F231CF"/>
    <w:rsid w:val="00F255DF"/>
    <w:rsid w:val="00F2595C"/>
    <w:rsid w:val="00F3229A"/>
    <w:rsid w:val="00F3674D"/>
    <w:rsid w:val="00F6320A"/>
    <w:rsid w:val="00F81B86"/>
    <w:rsid w:val="00F90386"/>
    <w:rsid w:val="00FA1731"/>
    <w:rsid w:val="00FC3476"/>
    <w:rsid w:val="00FE2FBC"/>
    <w:rsid w:val="00FF0277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Message Header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ritten Assembly Answers body"/>
    <w:qFormat/>
    <w:rsid w:val="00CC53D4"/>
    <w:rPr>
      <w:rFonts w:ascii="Arial" w:eastAsia="Times New Roman" w:hAnsi="Arial" w:cs="Arial"/>
      <w:color w:val="262626" w:themeColor="text1" w:themeTint="D9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A06"/>
    <w:pPr>
      <w:keepNext/>
      <w:keepLines/>
      <w:spacing w:before="200"/>
      <w:outlineLvl w:val="1"/>
    </w:pPr>
    <w:rPr>
      <w:rFonts w:eastAsiaTheme="majorEastAsia" w:cstheme="majorBidi"/>
      <w:b/>
      <w:bCs/>
      <w:color w:val="00B0F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4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C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C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0C3B"/>
    <w:rPr>
      <w:rFonts w:asciiTheme="minorHAnsi" w:eastAsiaTheme="minorEastAsia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3B"/>
  </w:style>
  <w:style w:type="character" w:styleId="FootnoteReference">
    <w:name w:val="footnote reference"/>
    <w:basedOn w:val="DefaultParagraphFont"/>
    <w:uiPriority w:val="99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iPriority w:val="99"/>
    <w:semiHidden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73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42A06"/>
    <w:rPr>
      <w:rFonts w:ascii="Arial" w:eastAsiaTheme="majorEastAsia" w:hAnsi="Arial" w:cstheme="majorBidi"/>
      <w:b/>
      <w:bCs/>
      <w:color w:val="00B0F0"/>
      <w:sz w:val="28"/>
      <w:szCs w:val="26"/>
      <w:lang w:val="en-GB"/>
    </w:rPr>
  </w:style>
  <w:style w:type="paragraph" w:styleId="NoSpacing">
    <w:name w:val="No Spacing"/>
    <w:aliases w:val="Written Answers Heading"/>
    <w:next w:val="Heading2"/>
    <w:uiPriority w:val="1"/>
    <w:qFormat/>
    <w:rsid w:val="00CC53D4"/>
    <w:rPr>
      <w:rFonts w:ascii="Arial" w:eastAsia="Times New Roman" w:hAnsi="Arial" w:cs="Arial"/>
      <w:b/>
      <w:color w:val="008ACA"/>
      <w:lang w:val="en-GB"/>
    </w:rPr>
  </w:style>
  <w:style w:type="character" w:styleId="Hyperlink">
    <w:name w:val="Hyperlink"/>
    <w:basedOn w:val="DefaultParagraphFont"/>
    <w:uiPriority w:val="99"/>
    <w:rsid w:val="00245F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FC8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5127A"/>
  </w:style>
  <w:style w:type="paragraph" w:styleId="ListParagraph">
    <w:name w:val="List Paragraph"/>
    <w:basedOn w:val="Normal"/>
    <w:uiPriority w:val="34"/>
    <w:rsid w:val="007B61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54D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NICCYBodyText">
    <w:name w:val="NICCY Body Text"/>
    <w:basedOn w:val="BasicParagraph"/>
    <w:link w:val="NICCYBodyTextChar"/>
    <w:qFormat/>
    <w:rsid w:val="00BE13B4"/>
    <w:rPr>
      <w:rFonts w:ascii="Arial" w:hAnsi="Arial" w:cs="Arial"/>
      <w:color w:val="414042"/>
    </w:rPr>
  </w:style>
  <w:style w:type="character" w:customStyle="1" w:styleId="NICCYBodyTextChar">
    <w:name w:val="NICCY Body Text Char"/>
    <w:basedOn w:val="DefaultParagraphFont"/>
    <w:link w:val="NICCYBodyText"/>
    <w:rsid w:val="00BE13B4"/>
    <w:rPr>
      <w:rFonts w:ascii="Arial" w:hAnsi="Arial" w:cs="Arial"/>
      <w:color w:val="41404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F1CDD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F1CD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customStyle="1" w:styleId="NICCYSubTitle">
    <w:name w:val="NICCY Sub Title"/>
    <w:basedOn w:val="BasicParagraph"/>
    <w:link w:val="NICCYSubTitleChar"/>
    <w:qFormat/>
    <w:rsid w:val="000E415A"/>
    <w:rPr>
      <w:rFonts w:ascii="Arial" w:hAnsi="Arial" w:cs="Arial"/>
      <w:b/>
      <w:color w:val="23A4DE"/>
    </w:rPr>
  </w:style>
  <w:style w:type="character" w:customStyle="1" w:styleId="NICCYSubTitleChar">
    <w:name w:val="NICCY Sub Title Char"/>
    <w:basedOn w:val="DefaultParagraphFont"/>
    <w:link w:val="NICCYSubTitle"/>
    <w:rsid w:val="000E415A"/>
    <w:rPr>
      <w:rFonts w:ascii="Arial" w:hAnsi="Arial" w:cs="Arial"/>
      <w:b/>
      <w:color w:val="23A4DE"/>
      <w:lang w:val="en-GB"/>
    </w:rPr>
  </w:style>
  <w:style w:type="paragraph" w:customStyle="1" w:styleId="NICCYHeading">
    <w:name w:val="NICCY Heading"/>
    <w:basedOn w:val="BasicParagraph"/>
    <w:link w:val="NICCYHeadingChar"/>
    <w:qFormat/>
    <w:rsid w:val="000E415A"/>
    <w:rPr>
      <w:rFonts w:ascii="Arial" w:hAnsi="Arial" w:cs="Arial"/>
      <w:b/>
      <w:color w:val="23A4DE"/>
      <w:sz w:val="36"/>
      <w:szCs w:val="36"/>
    </w:rPr>
  </w:style>
  <w:style w:type="character" w:customStyle="1" w:styleId="NICCYHeadingChar">
    <w:name w:val="NICCY Heading Char"/>
    <w:basedOn w:val="DefaultParagraphFont"/>
    <w:link w:val="NICCYHeading"/>
    <w:rsid w:val="000E415A"/>
    <w:rPr>
      <w:rFonts w:ascii="Arial" w:hAnsi="Arial" w:cs="Arial"/>
      <w:b/>
      <w:color w:val="23A4DE"/>
      <w:sz w:val="36"/>
      <w:szCs w:val="3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0C3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3B"/>
  </w:style>
  <w:style w:type="character" w:styleId="FootnoteReference">
    <w:name w:val="footnote reference"/>
    <w:basedOn w:val="DefaultParagraphFont"/>
    <w:uiPriority w:val="99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iPriority w:val="99"/>
    <w:semiHidden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rFonts w:ascii="Arial" w:hAnsi="Arial"/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rFonts w:ascii="Arial" w:hAnsi="Arial"/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73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4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13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7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8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9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5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50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40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04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38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8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70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55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58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70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11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90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84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85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6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92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08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0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98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4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84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623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12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07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4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08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0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719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6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121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75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77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762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509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06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52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99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27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83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89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6097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361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01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1290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51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25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541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9937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87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4809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482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3949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375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7969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01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347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2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3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3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9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0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67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83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64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2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36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42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33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2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46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82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26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31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81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43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06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33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49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949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4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60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03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82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66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2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02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22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07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3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99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50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9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05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07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93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44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64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08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68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29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05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04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7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26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98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01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57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52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08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54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0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6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43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05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1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4165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6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454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416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8823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284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26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3110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58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132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6682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7310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60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7580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19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817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712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5891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363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410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630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231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531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3873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9804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289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510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419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447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952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051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1145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2170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6623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124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7314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6394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859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0669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7265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1431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5492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116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84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5697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8583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35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9806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1874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9468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4140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46079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77418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8800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6067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9710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0810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0499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03898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541189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2759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90299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79238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0609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74022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55397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7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3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50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77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76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4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4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06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8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75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83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78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4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45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04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04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69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16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E81CE5-44B3-444B-88A2-233BE529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Whitenoise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Scott</dc:creator>
  <cp:lastModifiedBy>Joanne.Allen</cp:lastModifiedBy>
  <cp:revision>3</cp:revision>
  <cp:lastPrinted>2013-09-30T10:53:00Z</cp:lastPrinted>
  <dcterms:created xsi:type="dcterms:W3CDTF">2014-05-20T13:03:00Z</dcterms:created>
  <dcterms:modified xsi:type="dcterms:W3CDTF">2014-05-20T13:56:00Z</dcterms:modified>
</cp:coreProperties>
</file>