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rsidRPr="0053253A">
        <w:t>NICCY Summary:</w:t>
      </w:r>
      <w:r>
        <w:t xml:space="preserve"> </w:t>
      </w:r>
      <w:r w:rsidRPr="005871A1">
        <w:t>Written Assembly Questions Friday</w:t>
      </w:r>
      <w:r w:rsidR="001C3FD9">
        <w:t xml:space="preserve"> </w:t>
      </w:r>
      <w:r w:rsidR="00874143">
        <w:t>6</w:t>
      </w:r>
      <w:r w:rsidR="0018790D" w:rsidRPr="0018790D">
        <w:rPr>
          <w:vertAlign w:val="superscript"/>
        </w:rPr>
        <w:t>th</w:t>
      </w:r>
      <w:r w:rsidR="0018790D">
        <w:t xml:space="preserve"> June</w:t>
      </w:r>
      <w:r w:rsidR="0017312A" w:rsidRPr="00516B9E">
        <w:t xml:space="preserve"> 2014</w:t>
      </w:r>
    </w:p>
    <w:p w:rsidR="0018790D" w:rsidRDefault="0018790D" w:rsidP="00F3229A">
      <w:pPr>
        <w:pStyle w:val="NICCYHeading"/>
      </w:pPr>
    </w:p>
    <w:p w:rsidR="0018790D" w:rsidRDefault="002229F6" w:rsidP="0018790D">
      <w:pPr>
        <w:pStyle w:val="Heading2"/>
        <w:numPr>
          <w:ilvl w:val="0"/>
          <w:numId w:val="40"/>
        </w:numPr>
        <w:rPr>
          <w:rFonts w:eastAsiaTheme="minorEastAsia" w:cs="Arial"/>
          <w:bCs w:val="0"/>
          <w:color w:val="23A4DE"/>
          <w:szCs w:val="28"/>
        </w:rPr>
      </w:pPr>
      <w:hyperlink w:anchor="_Race_Equality" w:history="1">
        <w:r w:rsidR="0018790D" w:rsidRPr="0018790D">
          <w:rPr>
            <w:rFonts w:eastAsiaTheme="minorEastAsia" w:cs="Arial"/>
            <w:bCs w:val="0"/>
            <w:color w:val="23A4DE"/>
            <w:szCs w:val="28"/>
          </w:rPr>
          <w:t>Race Equality</w:t>
        </w:r>
      </w:hyperlink>
    </w:p>
    <w:p w:rsidR="0018790D" w:rsidRDefault="0018790D" w:rsidP="0018790D"/>
    <w:p w:rsidR="0018790D" w:rsidRDefault="002229F6" w:rsidP="0018790D">
      <w:pPr>
        <w:pStyle w:val="Heading2"/>
        <w:numPr>
          <w:ilvl w:val="0"/>
          <w:numId w:val="40"/>
        </w:numPr>
        <w:rPr>
          <w:rFonts w:eastAsiaTheme="minorEastAsia" w:cs="Arial"/>
          <w:bCs w:val="0"/>
          <w:color w:val="23A4DE"/>
          <w:szCs w:val="28"/>
        </w:rPr>
      </w:pPr>
      <w:hyperlink w:anchor="_Racial_Equality_Strategy" w:history="1">
        <w:r w:rsidR="0018790D" w:rsidRPr="0018790D">
          <w:rPr>
            <w:rFonts w:eastAsiaTheme="minorEastAsia" w:cs="Arial"/>
            <w:bCs w:val="0"/>
            <w:color w:val="23A4DE"/>
            <w:szCs w:val="28"/>
          </w:rPr>
          <w:t>Racial Equality Strategy</w:t>
        </w:r>
      </w:hyperlink>
    </w:p>
    <w:p w:rsidR="00020741" w:rsidRDefault="00020741" w:rsidP="00020741">
      <w:pPr>
        <w:rPr>
          <w:rFonts w:eastAsiaTheme="minorEastAsia"/>
        </w:rPr>
      </w:pPr>
    </w:p>
    <w:p w:rsidR="00020741" w:rsidRDefault="002229F6" w:rsidP="00020741">
      <w:pPr>
        <w:pStyle w:val="Heading2"/>
        <w:numPr>
          <w:ilvl w:val="0"/>
          <w:numId w:val="40"/>
        </w:numPr>
        <w:rPr>
          <w:rFonts w:eastAsiaTheme="minorEastAsia" w:cs="Arial"/>
          <w:bCs w:val="0"/>
          <w:color w:val="23A4DE"/>
          <w:szCs w:val="28"/>
        </w:rPr>
      </w:pPr>
      <w:hyperlink w:anchor="_Libraries_NI’s_Strategy" w:history="1">
        <w:r w:rsidR="00020741" w:rsidRPr="00020741">
          <w:rPr>
            <w:rFonts w:eastAsiaTheme="minorEastAsia" w:cs="Arial"/>
            <w:bCs w:val="0"/>
            <w:color w:val="23A4DE"/>
            <w:szCs w:val="28"/>
          </w:rPr>
          <w:t>Libraries NI’s Strategy to Promote the Irish Language</w:t>
        </w:r>
      </w:hyperlink>
    </w:p>
    <w:p w:rsidR="00020741" w:rsidRDefault="00020741" w:rsidP="00020741"/>
    <w:p w:rsidR="00020741" w:rsidRDefault="002229F6" w:rsidP="00020741">
      <w:pPr>
        <w:pStyle w:val="Heading2"/>
        <w:numPr>
          <w:ilvl w:val="0"/>
          <w:numId w:val="40"/>
        </w:numPr>
        <w:rPr>
          <w:rFonts w:eastAsiaTheme="minorEastAsia" w:cs="Arial"/>
          <w:bCs w:val="0"/>
          <w:color w:val="23A4DE"/>
          <w:szCs w:val="28"/>
        </w:rPr>
      </w:pPr>
      <w:hyperlink w:anchor="_Elective_Home_Education" w:history="1">
        <w:r w:rsidR="00020741" w:rsidRPr="00020741">
          <w:rPr>
            <w:rFonts w:eastAsiaTheme="minorEastAsia" w:cs="Arial"/>
            <w:bCs w:val="0"/>
            <w:color w:val="23A4DE"/>
            <w:szCs w:val="28"/>
          </w:rPr>
          <w:t>Elective Home Education</w:t>
        </w:r>
      </w:hyperlink>
    </w:p>
    <w:p w:rsidR="00020741" w:rsidRDefault="00020741" w:rsidP="00020741"/>
    <w:p w:rsidR="00020741" w:rsidRDefault="002229F6" w:rsidP="00020741">
      <w:pPr>
        <w:pStyle w:val="Heading2"/>
        <w:numPr>
          <w:ilvl w:val="0"/>
          <w:numId w:val="40"/>
        </w:numPr>
        <w:rPr>
          <w:rFonts w:eastAsiaTheme="minorEastAsia" w:cs="Arial"/>
          <w:bCs w:val="0"/>
          <w:color w:val="23A4DE"/>
          <w:szCs w:val="28"/>
        </w:rPr>
      </w:pPr>
      <w:hyperlink w:anchor="_Schools:_Physical_Education" w:history="1">
        <w:r w:rsidR="00020741" w:rsidRPr="00020741">
          <w:rPr>
            <w:rFonts w:eastAsiaTheme="minorEastAsia" w:cs="Arial"/>
            <w:bCs w:val="0"/>
            <w:color w:val="23A4DE"/>
            <w:szCs w:val="28"/>
          </w:rPr>
          <w:t>Schools: Physical Education</w:t>
        </w:r>
      </w:hyperlink>
    </w:p>
    <w:p w:rsidR="00020741" w:rsidRDefault="00020741" w:rsidP="00020741"/>
    <w:p w:rsidR="00020741" w:rsidRDefault="002229F6" w:rsidP="00020741">
      <w:pPr>
        <w:pStyle w:val="Heading2"/>
        <w:numPr>
          <w:ilvl w:val="0"/>
          <w:numId w:val="40"/>
        </w:numPr>
        <w:rPr>
          <w:rFonts w:eastAsiaTheme="minorEastAsia" w:cs="Arial"/>
          <w:bCs w:val="0"/>
          <w:color w:val="23A4DE"/>
          <w:szCs w:val="28"/>
        </w:rPr>
      </w:pPr>
      <w:hyperlink w:anchor="_Primary_Schools:_Curriculum" w:history="1">
        <w:r w:rsidR="00020741" w:rsidRPr="00020741">
          <w:rPr>
            <w:rFonts w:eastAsiaTheme="minorEastAsia" w:cs="Arial"/>
            <w:bCs w:val="0"/>
            <w:color w:val="23A4DE"/>
            <w:szCs w:val="28"/>
          </w:rPr>
          <w:t>Primary Schools: Curriculum</w:t>
        </w:r>
      </w:hyperlink>
    </w:p>
    <w:p w:rsidR="008D406D" w:rsidRDefault="008D406D" w:rsidP="008D406D">
      <w:pPr>
        <w:rPr>
          <w:rFonts w:eastAsiaTheme="minorEastAsia"/>
        </w:rPr>
      </w:pPr>
    </w:p>
    <w:p w:rsidR="008D406D" w:rsidRDefault="002229F6" w:rsidP="008D406D">
      <w:pPr>
        <w:pStyle w:val="Heading2"/>
        <w:numPr>
          <w:ilvl w:val="0"/>
          <w:numId w:val="40"/>
        </w:numPr>
        <w:rPr>
          <w:rFonts w:eastAsiaTheme="minorEastAsia" w:cs="Arial"/>
          <w:bCs w:val="0"/>
          <w:color w:val="23A4DE"/>
          <w:szCs w:val="28"/>
        </w:rPr>
      </w:pPr>
      <w:hyperlink w:anchor="_Post-Primary_School_Curriculum" w:history="1">
        <w:r w:rsidR="008D406D" w:rsidRPr="008D406D">
          <w:rPr>
            <w:rFonts w:eastAsiaTheme="minorEastAsia" w:cs="Arial"/>
            <w:bCs w:val="0"/>
            <w:color w:val="23A4DE"/>
            <w:szCs w:val="28"/>
          </w:rPr>
          <w:t>Post-Primary School Curriculum</w:t>
        </w:r>
      </w:hyperlink>
    </w:p>
    <w:p w:rsidR="008D406D" w:rsidRDefault="008D406D" w:rsidP="008D406D"/>
    <w:p w:rsidR="008D406D" w:rsidRDefault="002229F6" w:rsidP="008D406D">
      <w:pPr>
        <w:pStyle w:val="Heading2"/>
        <w:numPr>
          <w:ilvl w:val="0"/>
          <w:numId w:val="40"/>
        </w:numPr>
        <w:rPr>
          <w:rFonts w:eastAsiaTheme="minorEastAsia" w:cs="Arial"/>
          <w:bCs w:val="0"/>
          <w:color w:val="23A4DE"/>
          <w:szCs w:val="28"/>
        </w:rPr>
      </w:pPr>
      <w:hyperlink w:anchor="_United_Nations_Convention" w:history="1">
        <w:r w:rsidR="008D406D" w:rsidRPr="008D406D">
          <w:rPr>
            <w:rFonts w:eastAsiaTheme="minorEastAsia" w:cs="Arial"/>
            <w:bCs w:val="0"/>
            <w:color w:val="23A4DE"/>
            <w:szCs w:val="28"/>
          </w:rPr>
          <w:t>United Nations Convention on the Rights of the Child</w:t>
        </w:r>
      </w:hyperlink>
    </w:p>
    <w:p w:rsidR="008D406D" w:rsidRDefault="008D406D" w:rsidP="008D406D"/>
    <w:p w:rsidR="008D406D" w:rsidRDefault="002229F6" w:rsidP="008D406D">
      <w:pPr>
        <w:pStyle w:val="Heading2"/>
        <w:numPr>
          <w:ilvl w:val="0"/>
          <w:numId w:val="40"/>
        </w:numPr>
        <w:rPr>
          <w:rFonts w:eastAsiaTheme="minorEastAsia" w:cs="Arial"/>
          <w:bCs w:val="0"/>
          <w:color w:val="23A4DE"/>
          <w:szCs w:val="28"/>
        </w:rPr>
      </w:pPr>
      <w:hyperlink w:anchor="_Woodlands_Speech_and" w:history="1">
        <w:r w:rsidR="008D406D" w:rsidRPr="008D406D">
          <w:rPr>
            <w:rFonts w:eastAsiaTheme="minorEastAsia" w:cs="Arial"/>
            <w:bCs w:val="0"/>
            <w:color w:val="23A4DE"/>
            <w:szCs w:val="28"/>
          </w:rPr>
          <w:t>Woodlands Speech and Language Unit</w:t>
        </w:r>
      </w:hyperlink>
    </w:p>
    <w:p w:rsidR="00581031" w:rsidRDefault="00581031" w:rsidP="00581031">
      <w:pPr>
        <w:rPr>
          <w:rFonts w:eastAsiaTheme="minorEastAsia"/>
        </w:rPr>
      </w:pPr>
    </w:p>
    <w:p w:rsidR="00581031" w:rsidRDefault="002229F6" w:rsidP="00581031">
      <w:pPr>
        <w:pStyle w:val="Heading2"/>
        <w:numPr>
          <w:ilvl w:val="0"/>
          <w:numId w:val="40"/>
        </w:numPr>
        <w:rPr>
          <w:rFonts w:eastAsiaTheme="minorEastAsia" w:cs="Arial"/>
          <w:bCs w:val="0"/>
          <w:color w:val="23A4DE"/>
          <w:szCs w:val="28"/>
        </w:rPr>
      </w:pPr>
      <w:hyperlink w:anchor="_GCSE_and_A" w:history="1">
        <w:r w:rsidR="00581031" w:rsidRPr="00581031">
          <w:rPr>
            <w:rFonts w:eastAsiaTheme="minorEastAsia" w:cs="Arial"/>
            <w:bCs w:val="0"/>
            <w:color w:val="23A4DE"/>
            <w:szCs w:val="28"/>
          </w:rPr>
          <w:t>GCSE and A Level Politics</w:t>
        </w:r>
      </w:hyperlink>
    </w:p>
    <w:p w:rsidR="00581031" w:rsidRDefault="00581031" w:rsidP="00581031"/>
    <w:p w:rsidR="00581031" w:rsidRDefault="002229F6" w:rsidP="00581031">
      <w:pPr>
        <w:pStyle w:val="Heading2"/>
        <w:numPr>
          <w:ilvl w:val="0"/>
          <w:numId w:val="40"/>
        </w:numPr>
        <w:rPr>
          <w:rFonts w:eastAsiaTheme="minorEastAsia" w:cs="Arial"/>
          <w:bCs w:val="0"/>
          <w:color w:val="23A4DE"/>
          <w:szCs w:val="28"/>
        </w:rPr>
      </w:pPr>
      <w:hyperlink w:anchor="_Shankill_Manifesto_for" w:history="1">
        <w:r w:rsidR="00581031" w:rsidRPr="00581031">
          <w:rPr>
            <w:rFonts w:eastAsiaTheme="minorEastAsia" w:cs="Arial"/>
            <w:bCs w:val="0"/>
            <w:color w:val="23A4DE"/>
            <w:szCs w:val="28"/>
          </w:rPr>
          <w:t>Shankill Manifesto for Education</w:t>
        </w:r>
      </w:hyperlink>
    </w:p>
    <w:p w:rsidR="00581031" w:rsidRDefault="00581031" w:rsidP="00581031"/>
    <w:p w:rsidR="00581031" w:rsidRDefault="002229F6" w:rsidP="00581031">
      <w:pPr>
        <w:pStyle w:val="Heading2"/>
        <w:numPr>
          <w:ilvl w:val="0"/>
          <w:numId w:val="40"/>
        </w:numPr>
        <w:rPr>
          <w:rFonts w:eastAsiaTheme="minorEastAsia" w:cs="Arial"/>
          <w:bCs w:val="0"/>
          <w:color w:val="23A4DE"/>
          <w:szCs w:val="28"/>
        </w:rPr>
      </w:pPr>
      <w:hyperlink w:anchor="_Free_School_Meals" w:history="1">
        <w:r w:rsidR="00581031" w:rsidRPr="00581031">
          <w:rPr>
            <w:rFonts w:eastAsiaTheme="minorEastAsia" w:cs="Arial"/>
            <w:bCs w:val="0"/>
            <w:color w:val="23A4DE"/>
            <w:szCs w:val="28"/>
          </w:rPr>
          <w:t>Free School Meals</w:t>
        </w:r>
      </w:hyperlink>
    </w:p>
    <w:p w:rsidR="00581031" w:rsidRDefault="00581031" w:rsidP="00581031"/>
    <w:p w:rsidR="00581031" w:rsidRDefault="002229F6" w:rsidP="00581031">
      <w:pPr>
        <w:pStyle w:val="Heading2"/>
        <w:numPr>
          <w:ilvl w:val="0"/>
          <w:numId w:val="40"/>
        </w:numPr>
        <w:rPr>
          <w:rFonts w:eastAsiaTheme="minorEastAsia" w:cs="Arial"/>
          <w:bCs w:val="0"/>
          <w:color w:val="23A4DE"/>
          <w:szCs w:val="28"/>
        </w:rPr>
      </w:pPr>
      <w:hyperlink w:anchor="_Education_and_Skills" w:history="1">
        <w:r w:rsidR="00581031" w:rsidRPr="00581031">
          <w:rPr>
            <w:rFonts w:eastAsiaTheme="minorEastAsia" w:cs="Arial"/>
            <w:bCs w:val="0"/>
            <w:color w:val="23A4DE"/>
            <w:szCs w:val="28"/>
          </w:rPr>
          <w:t>Education and Skills Authority</w:t>
        </w:r>
      </w:hyperlink>
    </w:p>
    <w:p w:rsidR="008F4BE3" w:rsidRDefault="008F4BE3" w:rsidP="008F4BE3"/>
    <w:p w:rsidR="008F4BE3" w:rsidRDefault="002229F6" w:rsidP="008F4BE3">
      <w:pPr>
        <w:pStyle w:val="Heading2"/>
        <w:numPr>
          <w:ilvl w:val="0"/>
          <w:numId w:val="40"/>
        </w:numPr>
        <w:rPr>
          <w:rFonts w:eastAsiaTheme="minorEastAsia" w:cs="Arial"/>
          <w:bCs w:val="0"/>
          <w:color w:val="23A4DE"/>
          <w:szCs w:val="28"/>
        </w:rPr>
      </w:pPr>
      <w:hyperlink w:anchor="_EU_Youth_Guarantee" w:history="1">
        <w:r w:rsidR="008F4BE3" w:rsidRPr="008F4BE3">
          <w:rPr>
            <w:rFonts w:eastAsiaTheme="minorEastAsia" w:cs="Arial"/>
            <w:bCs w:val="0"/>
            <w:color w:val="23A4DE"/>
            <w:szCs w:val="28"/>
          </w:rPr>
          <w:t>EU Youth Guarantee Scheme</w:t>
        </w:r>
      </w:hyperlink>
    </w:p>
    <w:p w:rsidR="00534C9C" w:rsidRDefault="00534C9C" w:rsidP="00534C9C">
      <w:pPr>
        <w:rPr>
          <w:rFonts w:eastAsiaTheme="minorEastAsia"/>
        </w:rPr>
      </w:pPr>
    </w:p>
    <w:p w:rsidR="00534C9C" w:rsidRDefault="002229F6" w:rsidP="00534C9C">
      <w:pPr>
        <w:pStyle w:val="Heading2"/>
        <w:numPr>
          <w:ilvl w:val="0"/>
          <w:numId w:val="40"/>
        </w:numPr>
        <w:rPr>
          <w:rFonts w:eastAsiaTheme="minorEastAsia" w:cs="Arial"/>
          <w:bCs w:val="0"/>
          <w:color w:val="23A4DE"/>
          <w:szCs w:val="28"/>
        </w:rPr>
      </w:pPr>
      <w:hyperlink w:anchor="_Disposable_Nappies" w:history="1">
        <w:r w:rsidR="00534C9C" w:rsidRPr="00534C9C">
          <w:rPr>
            <w:rFonts w:eastAsiaTheme="minorEastAsia" w:cs="Arial"/>
            <w:bCs w:val="0"/>
            <w:color w:val="23A4DE"/>
            <w:szCs w:val="28"/>
          </w:rPr>
          <w:t>Disposable Nappies</w:t>
        </w:r>
      </w:hyperlink>
    </w:p>
    <w:p w:rsidR="00534C9C" w:rsidRDefault="00534C9C" w:rsidP="00534C9C"/>
    <w:p w:rsidR="00534C9C" w:rsidRDefault="002229F6" w:rsidP="00534C9C">
      <w:pPr>
        <w:pStyle w:val="Heading2"/>
        <w:numPr>
          <w:ilvl w:val="0"/>
          <w:numId w:val="40"/>
        </w:numPr>
        <w:rPr>
          <w:rFonts w:eastAsiaTheme="minorEastAsia" w:cs="Arial"/>
          <w:bCs w:val="0"/>
          <w:color w:val="23A4DE"/>
          <w:szCs w:val="28"/>
        </w:rPr>
      </w:pPr>
      <w:hyperlink w:anchor="_Services_Provided_by" w:history="1">
        <w:r w:rsidR="00534C9C" w:rsidRPr="00534C9C">
          <w:rPr>
            <w:rFonts w:eastAsiaTheme="minorEastAsia" w:cs="Arial"/>
            <w:bCs w:val="0"/>
            <w:color w:val="23A4DE"/>
            <w:szCs w:val="28"/>
          </w:rPr>
          <w:t>Services Provided by Family Support</w:t>
        </w:r>
      </w:hyperlink>
    </w:p>
    <w:p w:rsidR="00454EA3" w:rsidRDefault="00454EA3" w:rsidP="00454EA3"/>
    <w:p w:rsidR="00454EA3" w:rsidRDefault="002229F6" w:rsidP="00454EA3">
      <w:pPr>
        <w:pStyle w:val="Heading2"/>
        <w:numPr>
          <w:ilvl w:val="0"/>
          <w:numId w:val="40"/>
        </w:numPr>
        <w:rPr>
          <w:rFonts w:eastAsiaTheme="minorEastAsia" w:cs="Arial"/>
          <w:bCs w:val="0"/>
          <w:color w:val="23A4DE"/>
          <w:szCs w:val="28"/>
        </w:rPr>
      </w:pPr>
      <w:hyperlink w:anchor="_Sexual_Offences_Act" w:history="1">
        <w:r w:rsidR="00454EA3" w:rsidRPr="00454EA3">
          <w:rPr>
            <w:rFonts w:eastAsiaTheme="minorEastAsia" w:cs="Arial"/>
            <w:bCs w:val="0"/>
            <w:color w:val="23A4DE"/>
            <w:szCs w:val="28"/>
          </w:rPr>
          <w:t>Sexual Offences Act 2003 [Sections below relate to trafficking]</w:t>
        </w:r>
      </w:hyperlink>
    </w:p>
    <w:p w:rsidR="00454EA3" w:rsidRDefault="00454EA3" w:rsidP="00454EA3"/>
    <w:p w:rsidR="00454EA3" w:rsidRDefault="002229F6" w:rsidP="00454EA3">
      <w:pPr>
        <w:pStyle w:val="Heading2"/>
        <w:numPr>
          <w:ilvl w:val="0"/>
          <w:numId w:val="40"/>
        </w:numPr>
        <w:rPr>
          <w:rFonts w:eastAsiaTheme="minorEastAsia" w:cs="Arial"/>
          <w:bCs w:val="0"/>
          <w:color w:val="23A4DE"/>
          <w:szCs w:val="28"/>
        </w:rPr>
      </w:pPr>
      <w:hyperlink w:anchor="_Cases_Involving_Articles" w:history="1">
        <w:r w:rsidR="00454EA3" w:rsidRPr="00454EA3">
          <w:rPr>
            <w:rFonts w:eastAsiaTheme="minorEastAsia" w:cs="Arial"/>
            <w:bCs w:val="0"/>
            <w:color w:val="23A4DE"/>
            <w:szCs w:val="28"/>
          </w:rPr>
          <w:t>Cases Involving Articles 59 to 64A</w:t>
        </w:r>
      </w:hyperlink>
    </w:p>
    <w:p w:rsidR="007954C5" w:rsidRDefault="007954C5" w:rsidP="007954C5">
      <w:pPr>
        <w:rPr>
          <w:rFonts w:eastAsiaTheme="minorEastAsia"/>
        </w:rPr>
      </w:pPr>
    </w:p>
    <w:p w:rsidR="007954C5" w:rsidRPr="007954C5" w:rsidRDefault="002229F6" w:rsidP="007954C5">
      <w:pPr>
        <w:pStyle w:val="Heading2"/>
        <w:numPr>
          <w:ilvl w:val="0"/>
          <w:numId w:val="40"/>
        </w:numPr>
        <w:rPr>
          <w:rFonts w:eastAsiaTheme="minorEastAsia" w:cs="Arial"/>
          <w:bCs w:val="0"/>
          <w:color w:val="23A4DE"/>
          <w:szCs w:val="28"/>
        </w:rPr>
      </w:pPr>
      <w:hyperlink w:anchor="_Foreign_Nationals_Resident" w:history="1">
        <w:r w:rsidR="007954C5" w:rsidRPr="007954C5">
          <w:rPr>
            <w:rFonts w:eastAsiaTheme="minorEastAsia" w:cs="Arial"/>
            <w:bCs w:val="0"/>
            <w:color w:val="23A4DE"/>
            <w:szCs w:val="28"/>
          </w:rPr>
          <w:t>Foreign Nationals Resident in Northern Ireland: Benefits</w:t>
        </w:r>
      </w:hyperlink>
    </w:p>
    <w:p w:rsidR="007954C5" w:rsidRPr="007954C5" w:rsidRDefault="007954C5" w:rsidP="007954C5">
      <w:pPr>
        <w:rPr>
          <w:rFonts w:eastAsiaTheme="minorEastAsia"/>
        </w:rPr>
      </w:pPr>
    </w:p>
    <w:p w:rsidR="00454EA3" w:rsidRPr="00454EA3" w:rsidRDefault="00454EA3" w:rsidP="00454EA3"/>
    <w:p w:rsidR="00454EA3" w:rsidRPr="00454EA3" w:rsidRDefault="00454EA3" w:rsidP="00454EA3"/>
    <w:p w:rsidR="00534C9C" w:rsidRPr="00534C9C" w:rsidRDefault="00534C9C" w:rsidP="00534C9C"/>
    <w:p w:rsidR="00534C9C" w:rsidRPr="00534C9C" w:rsidRDefault="00534C9C" w:rsidP="00534C9C">
      <w:pPr>
        <w:rPr>
          <w:rFonts w:eastAsiaTheme="minorEastAsia"/>
        </w:rPr>
      </w:pPr>
    </w:p>
    <w:p w:rsidR="008F4BE3" w:rsidRPr="008F4BE3" w:rsidRDefault="008F4BE3" w:rsidP="008F4BE3"/>
    <w:p w:rsidR="00581031" w:rsidRP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581031" w:rsidRDefault="00581031" w:rsidP="00581031"/>
    <w:p w:rsidR="0018790D" w:rsidRDefault="0018790D" w:rsidP="0018790D">
      <w:pPr>
        <w:pStyle w:val="NICCYHeading"/>
      </w:pPr>
      <w:r>
        <w:lastRenderedPageBreak/>
        <w:t xml:space="preserve">Office </w:t>
      </w:r>
      <w:r w:rsidRPr="0018790D">
        <w:t>of the</w:t>
      </w:r>
      <w:r>
        <w:t xml:space="preserve"> First Minister and deputy First Minister</w:t>
      </w:r>
    </w:p>
    <w:p w:rsidR="0018790D" w:rsidRPr="0018790D" w:rsidRDefault="0018790D" w:rsidP="0018790D">
      <w:pPr>
        <w:pStyle w:val="Heading2"/>
        <w:rPr>
          <w:color w:val="23A4DE"/>
          <w:lang w:val="en-US"/>
        </w:rPr>
      </w:pPr>
      <w:bookmarkStart w:id="0" w:name="_Race_Equality"/>
      <w:bookmarkEnd w:id="0"/>
      <w:r w:rsidRPr="0018790D">
        <w:rPr>
          <w:color w:val="23A4DE"/>
          <w:lang w:val="en-US"/>
        </w:rPr>
        <w:t>Race Equality</w:t>
      </w:r>
    </w:p>
    <w:p w:rsidR="0018790D" w:rsidRDefault="0018790D" w:rsidP="0018790D">
      <w:pPr>
        <w:pStyle w:val="NICCYBodyText"/>
        <w:rPr>
          <w:lang w:val="en-US"/>
        </w:rPr>
      </w:pPr>
      <w:r w:rsidRPr="0018790D">
        <w:rPr>
          <w:rFonts w:ascii="ITCFranklinGothicDemi" w:hAnsi="ITCFranklinGothicDemi" w:cs="ITCFranklinGothicDemi"/>
          <w:b/>
          <w:lang w:val="en-US"/>
        </w:rPr>
        <w:t>Mr D Bradley</w:t>
      </w:r>
      <w:r>
        <w:rPr>
          <w:rFonts w:ascii="ITCFranklinGothicDemi" w:hAnsi="ITCFranklinGothicDemi" w:cs="ITCFranklinGothicDemi"/>
          <w:lang w:val="en-US"/>
        </w:rPr>
        <w:t xml:space="preserve"> </w:t>
      </w:r>
      <w:r>
        <w:rPr>
          <w:lang w:val="en-US"/>
        </w:rPr>
        <w:t>asked the First Minister and deputy First Minister what progress has been made on updating race equality law.</w:t>
      </w:r>
    </w:p>
    <w:p w:rsidR="0018790D" w:rsidRDefault="0018790D" w:rsidP="0018790D">
      <w:pPr>
        <w:pStyle w:val="NICCYBodyText"/>
        <w:rPr>
          <w:rFonts w:ascii="ITCFranklinGothicDemi" w:hAnsi="ITCFranklinGothicDemi" w:cs="ITCFranklinGothicDemi"/>
          <w:lang w:val="en-US"/>
        </w:rPr>
      </w:pPr>
      <w:r>
        <w:rPr>
          <w:rFonts w:ascii="ITCFranklinGothicDemi" w:hAnsi="ITCFranklinGothicDemi" w:cs="ITCFranklinGothicDemi"/>
          <w:lang w:val="en-US"/>
        </w:rPr>
        <w:t>(AQO 6142/11-15)</w:t>
      </w:r>
    </w:p>
    <w:p w:rsidR="0018790D" w:rsidRDefault="0018790D" w:rsidP="0018790D">
      <w:pPr>
        <w:pStyle w:val="NICCYBodyText"/>
        <w:rPr>
          <w:rFonts w:ascii="ITCFranklinGothicDemi" w:hAnsi="ITCFranklinGothicDemi" w:cs="ITCFranklinGothicDemi"/>
          <w:lang w:val="en-US"/>
        </w:rPr>
      </w:pPr>
    </w:p>
    <w:p w:rsidR="0018790D" w:rsidRDefault="0018790D" w:rsidP="0018790D">
      <w:pPr>
        <w:pStyle w:val="NICCYBodyText"/>
        <w:rPr>
          <w:lang w:val="en-US"/>
        </w:rPr>
      </w:pPr>
      <w:r w:rsidRPr="0018790D">
        <w:rPr>
          <w:rFonts w:ascii="ITCFranklinGothicDemi" w:hAnsi="ITCFranklinGothicDemi" w:cs="ITCFranklinGothicDemi"/>
          <w:b/>
          <w:lang w:val="en-US"/>
        </w:rPr>
        <w:t>Mr P Robinson and Mr M McGuinness (The First Minister and deputy First Minister):</w:t>
      </w:r>
      <w:r>
        <w:rPr>
          <w:rFonts w:ascii="ITCFranklinGothicDemi" w:hAnsi="ITCFranklinGothicDemi" w:cs="ITCFranklinGothicDemi"/>
          <w:lang w:val="en-US"/>
        </w:rPr>
        <w:t xml:space="preserve"> </w:t>
      </w:r>
      <w:r>
        <w:rPr>
          <w:lang w:val="en-US"/>
        </w:rPr>
        <w:t>We are currently considering the options for legislative reform.  When we have made a decision we will outline our proposals.  We intend that the consultation on the draft Racial Equality Strategy will begin shortly and there are a number of questions in relation to reform of the Race Relations Order included in the document.</w:t>
      </w:r>
    </w:p>
    <w:p w:rsidR="0018790D" w:rsidRDefault="0018790D" w:rsidP="0018790D">
      <w:pPr>
        <w:rPr>
          <w:rFonts w:ascii="ITCFranklinGothicBook" w:hAnsi="ITCFranklinGothicBook" w:cs="ITCFranklinGothicBook"/>
          <w:sz w:val="20"/>
          <w:szCs w:val="20"/>
          <w:lang w:val="en-US"/>
        </w:rPr>
      </w:pPr>
    </w:p>
    <w:p w:rsidR="0018790D" w:rsidRDefault="002229F6" w:rsidP="0018790D">
      <w:hyperlink w:anchor="_top" w:history="1">
        <w:r w:rsidR="0018790D" w:rsidRPr="007715F2">
          <w:rPr>
            <w:rStyle w:val="Hyperlink"/>
          </w:rPr>
          <w:t>Back to Top</w:t>
        </w:r>
      </w:hyperlink>
    </w:p>
    <w:p w:rsidR="0018790D" w:rsidRDefault="0018790D" w:rsidP="0018790D">
      <w:pPr>
        <w:rPr>
          <w:rFonts w:ascii="ITCFranklinGothicBook" w:hAnsi="ITCFranklinGothicBook" w:cs="ITCFranklinGothicBook"/>
          <w:sz w:val="20"/>
          <w:szCs w:val="20"/>
          <w:lang w:val="en-US"/>
        </w:rPr>
      </w:pPr>
    </w:p>
    <w:p w:rsidR="0018790D" w:rsidRPr="0018790D" w:rsidRDefault="0018790D" w:rsidP="0018790D">
      <w:pPr>
        <w:pStyle w:val="Heading2"/>
        <w:rPr>
          <w:color w:val="23A4DE"/>
          <w:lang w:val="en-US"/>
        </w:rPr>
      </w:pPr>
      <w:bookmarkStart w:id="1" w:name="_Racial_Equality_Strategy"/>
      <w:bookmarkEnd w:id="1"/>
      <w:r w:rsidRPr="0018790D">
        <w:rPr>
          <w:color w:val="23A4DE"/>
          <w:lang w:val="en-US"/>
        </w:rPr>
        <w:t>Racial Equality Strategy</w:t>
      </w:r>
    </w:p>
    <w:p w:rsidR="0018790D" w:rsidRDefault="0018790D" w:rsidP="0018790D">
      <w:pPr>
        <w:pStyle w:val="NICCYBodyText"/>
        <w:rPr>
          <w:lang w:val="en-US"/>
        </w:rPr>
      </w:pPr>
      <w:r w:rsidRPr="0018790D">
        <w:rPr>
          <w:rFonts w:ascii="ITCFranklinGothicDemi" w:hAnsi="ITCFranklinGothicDemi" w:cs="ITCFranklinGothicDemi"/>
          <w:b/>
          <w:lang w:val="en-US"/>
        </w:rPr>
        <w:t>Mr F McCann</w:t>
      </w:r>
      <w:r>
        <w:rPr>
          <w:rFonts w:ascii="ITCFranklinGothicDemi" w:hAnsi="ITCFranklinGothicDemi" w:cs="ITCFranklinGothicDemi"/>
          <w:lang w:val="en-US"/>
        </w:rPr>
        <w:t xml:space="preserve"> </w:t>
      </w:r>
      <w:r>
        <w:rPr>
          <w:lang w:val="en-US"/>
        </w:rPr>
        <w:t>asked the First Minister and deputy First Minister when their racial equality strategy will go out for consultation.</w:t>
      </w:r>
    </w:p>
    <w:p w:rsidR="0018790D" w:rsidRDefault="0018790D" w:rsidP="0018790D">
      <w:pPr>
        <w:pStyle w:val="NICCYBodyText"/>
        <w:rPr>
          <w:rFonts w:ascii="ITCFranklinGothicDemi" w:hAnsi="ITCFranklinGothicDemi" w:cs="ITCFranklinGothicDemi"/>
          <w:lang w:val="en-US"/>
        </w:rPr>
      </w:pPr>
      <w:r>
        <w:rPr>
          <w:rFonts w:ascii="ITCFranklinGothicDemi" w:hAnsi="ITCFranklinGothicDemi" w:cs="ITCFranklinGothicDemi"/>
          <w:lang w:val="en-US"/>
        </w:rPr>
        <w:t>(AQO 6138/11-15)</w:t>
      </w:r>
    </w:p>
    <w:p w:rsidR="0018790D" w:rsidRDefault="0018790D" w:rsidP="0018790D">
      <w:pPr>
        <w:pStyle w:val="NICCYBodyText"/>
        <w:rPr>
          <w:rFonts w:ascii="ITCFranklinGothicDemi" w:hAnsi="ITCFranklinGothicDemi" w:cs="ITCFranklinGothicDemi"/>
          <w:lang w:val="en-US"/>
        </w:rPr>
      </w:pPr>
    </w:p>
    <w:p w:rsidR="0018790D" w:rsidRDefault="0018790D" w:rsidP="0018790D">
      <w:pPr>
        <w:pStyle w:val="NICCYBodyText"/>
        <w:rPr>
          <w:lang w:val="en-US"/>
        </w:rPr>
      </w:pPr>
      <w:r w:rsidRPr="0018790D">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Following the most recent meeting of the Racial Equality Panel on 1 April, officials are refining the draft consultation document for the Racial Equality Strategy.  This exercise is near completion and the public consultation of the revised Strategy will commence very shortly.  The consultation will last at least 12 weeks.  A number of events will be held in the areas of highest population for minority ethnic people and events will be facilitated in different languages where appropriate.</w:t>
      </w:r>
    </w:p>
    <w:p w:rsidR="0018790D" w:rsidRDefault="0018790D" w:rsidP="0018790D">
      <w:pPr>
        <w:pStyle w:val="NICCYBodyText"/>
        <w:rPr>
          <w:lang w:val="en-US"/>
        </w:rPr>
      </w:pPr>
      <w:r>
        <w:rPr>
          <w:lang w:val="en-US"/>
        </w:rPr>
        <w:t>We also intend to use social media to gather views from as many interested parties as we can.  At the end of that exercise we intend to have a reinvigorated, contemporary and focused Strategy that will help improve the lives of our minority ethnic people for the next decade.</w:t>
      </w:r>
    </w:p>
    <w:p w:rsidR="0018790D" w:rsidRDefault="0018790D" w:rsidP="0018790D"/>
    <w:p w:rsidR="0018790D" w:rsidRDefault="002229F6" w:rsidP="0018790D">
      <w:hyperlink w:anchor="_top" w:history="1">
        <w:r w:rsidR="0018790D" w:rsidRPr="007715F2">
          <w:rPr>
            <w:rStyle w:val="Hyperlink"/>
          </w:rPr>
          <w:t>Back to Top</w:t>
        </w:r>
      </w:hyperlink>
    </w:p>
    <w:p w:rsidR="0018790D" w:rsidRDefault="0018790D" w:rsidP="0018790D">
      <w:pPr>
        <w:rPr>
          <w:rFonts w:ascii="ITCFranklinGothicBook" w:hAnsi="ITCFranklinGothicBook" w:cs="ITCFranklinGothicBook"/>
          <w:sz w:val="20"/>
          <w:szCs w:val="20"/>
          <w:lang w:val="en-US"/>
        </w:rPr>
      </w:pPr>
    </w:p>
    <w:p w:rsidR="0018790D" w:rsidRDefault="0018790D" w:rsidP="0018790D">
      <w:pPr>
        <w:rPr>
          <w:rFonts w:ascii="ITCFranklinGothicBook" w:hAnsi="ITCFranklinGothicBook" w:cs="ITCFranklinGothicBook"/>
          <w:sz w:val="20"/>
          <w:szCs w:val="20"/>
          <w:lang w:val="en-US"/>
        </w:rPr>
      </w:pPr>
    </w:p>
    <w:p w:rsidR="0018790D" w:rsidRDefault="0018790D" w:rsidP="0018790D">
      <w:pPr>
        <w:rPr>
          <w:rFonts w:ascii="ITCFranklinGothicBook" w:hAnsi="ITCFranklinGothicBook" w:cs="ITCFranklinGothicBook"/>
          <w:sz w:val="20"/>
          <w:szCs w:val="20"/>
          <w:lang w:val="en-US"/>
        </w:rPr>
      </w:pPr>
    </w:p>
    <w:p w:rsidR="0018790D" w:rsidRDefault="0018790D" w:rsidP="0018790D">
      <w:pPr>
        <w:rPr>
          <w:rFonts w:ascii="ITCFranklinGothicBook" w:hAnsi="ITCFranklinGothicBook" w:cs="ITCFranklinGothicBook"/>
          <w:sz w:val="20"/>
          <w:szCs w:val="20"/>
          <w:lang w:val="en-US"/>
        </w:rPr>
      </w:pPr>
    </w:p>
    <w:p w:rsidR="0018790D" w:rsidRDefault="00020741" w:rsidP="0018790D">
      <w:pPr>
        <w:pStyle w:val="NICCYHeading"/>
        <w:rPr>
          <w:lang w:val="en-US"/>
        </w:rPr>
      </w:pPr>
      <w:r>
        <w:rPr>
          <w:rFonts w:ascii="ITCFranklinGothicBook" w:eastAsia="Times New Roman" w:hAnsi="ITCFranklinGothicBook" w:cs="ITCFranklinGothicBook"/>
          <w:b w:val="0"/>
          <w:color w:val="262626" w:themeColor="text1" w:themeTint="D9"/>
          <w:sz w:val="20"/>
          <w:szCs w:val="20"/>
          <w:lang w:val="en-US"/>
        </w:rPr>
        <w:br/>
      </w:r>
      <w:r w:rsidR="0018790D">
        <w:rPr>
          <w:lang w:val="en-US"/>
        </w:rPr>
        <w:lastRenderedPageBreak/>
        <w:t>Department of Culture, Arts and Leisure</w:t>
      </w:r>
    </w:p>
    <w:p w:rsidR="0018790D" w:rsidRPr="00020741" w:rsidRDefault="0018790D" w:rsidP="0018790D">
      <w:pPr>
        <w:pStyle w:val="Heading2"/>
        <w:rPr>
          <w:color w:val="23A4DE"/>
          <w:lang w:val="en-US"/>
        </w:rPr>
      </w:pPr>
      <w:bookmarkStart w:id="2" w:name="_Libraries_NI’s_Strategy"/>
      <w:bookmarkEnd w:id="2"/>
      <w:r w:rsidRPr="00020741">
        <w:rPr>
          <w:color w:val="23A4DE"/>
          <w:lang w:val="en-US"/>
        </w:rPr>
        <w:t>Libraries NI’s Strategy to Promote the Irish Language</w:t>
      </w:r>
    </w:p>
    <w:p w:rsidR="0018790D" w:rsidRDefault="0018790D" w:rsidP="0018790D">
      <w:pPr>
        <w:pStyle w:val="NICCYBodyText"/>
        <w:rPr>
          <w:lang w:val="en-US"/>
        </w:rPr>
      </w:pPr>
      <w:r w:rsidRPr="0018790D">
        <w:rPr>
          <w:rFonts w:ascii="ITCFranklinGothicDemi" w:hAnsi="ITCFranklinGothicDemi" w:cs="ITCFranklinGothicDemi"/>
          <w:b/>
          <w:lang w:val="en-US"/>
        </w:rPr>
        <w:t>Mr McGlone</w:t>
      </w:r>
      <w:r>
        <w:rPr>
          <w:rFonts w:ascii="ITCFranklinGothicDemi" w:hAnsi="ITCFranklinGothicDemi" w:cs="ITCFranklinGothicDemi"/>
          <w:lang w:val="en-US"/>
        </w:rPr>
        <w:t xml:space="preserve"> </w:t>
      </w:r>
      <w:r>
        <w:rPr>
          <w:lang w:val="en-US"/>
        </w:rPr>
        <w:t>asked the Minister of Culture, Arts and Leisure to detail Libraries NI’s strategy to promote the Irish language.</w:t>
      </w:r>
    </w:p>
    <w:p w:rsidR="0018790D" w:rsidRDefault="0018790D" w:rsidP="0018790D">
      <w:pPr>
        <w:pStyle w:val="NICCYBodyText"/>
        <w:rPr>
          <w:rFonts w:ascii="ITCFranklinGothicDemi" w:hAnsi="ITCFranklinGothicDemi" w:cs="ITCFranklinGothicDemi"/>
          <w:lang w:val="en-US"/>
        </w:rPr>
      </w:pPr>
      <w:r>
        <w:rPr>
          <w:rFonts w:ascii="ITCFranklinGothicDemi" w:hAnsi="ITCFranklinGothicDemi" w:cs="ITCFranklinGothicDemi"/>
          <w:lang w:val="en-US"/>
        </w:rPr>
        <w:t>(AQW 33404/11-15)</w:t>
      </w:r>
    </w:p>
    <w:p w:rsidR="0018790D" w:rsidRDefault="0018790D" w:rsidP="0018790D">
      <w:pPr>
        <w:pStyle w:val="NICCYBodyText"/>
        <w:rPr>
          <w:rFonts w:ascii="ITCFranklinGothicDemi" w:hAnsi="ITCFranklinGothicDemi" w:cs="ITCFranklinGothicDemi"/>
          <w:lang w:val="en-US"/>
        </w:rPr>
      </w:pPr>
    </w:p>
    <w:p w:rsidR="0018790D" w:rsidRDefault="0018790D" w:rsidP="0018790D">
      <w:pPr>
        <w:pStyle w:val="NICCYBodyText"/>
        <w:rPr>
          <w:lang w:val="en-US"/>
        </w:rPr>
      </w:pPr>
      <w:r w:rsidRPr="0018790D">
        <w:rPr>
          <w:rFonts w:ascii="ITCFranklinGothicDemi" w:hAnsi="ITCFranklinGothicDemi" w:cs="ITCFranklinGothicDemi"/>
          <w:b/>
          <w:lang w:val="en-US"/>
        </w:rPr>
        <w:t>Ms Ní Chuilín:</w:t>
      </w:r>
      <w:r>
        <w:rPr>
          <w:rFonts w:ascii="ITCFranklinGothicDemi" w:hAnsi="ITCFranklinGothicDemi" w:cs="ITCFranklinGothicDemi"/>
          <w:lang w:val="en-US"/>
        </w:rPr>
        <w:t xml:space="preserve"> </w:t>
      </w:r>
      <w:r>
        <w:rPr>
          <w:lang w:val="en-US"/>
        </w:rPr>
        <w:t>Libraries NI’s strategy to promote the Irish language is based around my Líofa campaign</w:t>
      </w:r>
      <w:r w:rsidR="00020741">
        <w:rPr>
          <w:lang w:val="en-US"/>
        </w:rPr>
        <w:t xml:space="preserve"> </w:t>
      </w:r>
      <w:r>
        <w:rPr>
          <w:lang w:val="en-US"/>
        </w:rPr>
        <w:t>which aspires to make Irish more accessible to people across the north of Irel</w:t>
      </w:r>
      <w:r w:rsidR="00020741">
        <w:rPr>
          <w:lang w:val="en-US"/>
        </w:rPr>
        <w:t xml:space="preserve">and.  </w:t>
      </w:r>
      <w:r>
        <w:rPr>
          <w:lang w:val="en-US"/>
        </w:rPr>
        <w:t>As part of this strategy,</w:t>
      </w:r>
      <w:r w:rsidR="00020741">
        <w:rPr>
          <w:lang w:val="en-US"/>
        </w:rPr>
        <w:t xml:space="preserve"> </w:t>
      </w:r>
      <w:r>
        <w:rPr>
          <w:lang w:val="en-US"/>
        </w:rPr>
        <w:t>Libraries NI is working to expand its Irish language stock and since April 2011 has spent over £47k on</w:t>
      </w:r>
      <w:r w:rsidR="00020741">
        <w:rPr>
          <w:lang w:val="en-US"/>
        </w:rPr>
        <w:t xml:space="preserve"> Irish language material.  </w:t>
      </w:r>
      <w:r>
        <w:rPr>
          <w:lang w:val="en-US"/>
        </w:rPr>
        <w:t xml:space="preserve">Libraries NI’s is </w:t>
      </w:r>
      <w:r w:rsidR="00020741">
        <w:rPr>
          <w:lang w:val="en-US"/>
        </w:rPr>
        <w:t>endeavoring</w:t>
      </w:r>
      <w:r>
        <w:rPr>
          <w:lang w:val="en-US"/>
        </w:rPr>
        <w:t xml:space="preserve"> to make this existing, and any new Irish language</w:t>
      </w:r>
      <w:r w:rsidR="00020741">
        <w:rPr>
          <w:lang w:val="en-US"/>
        </w:rPr>
        <w:t xml:space="preserve"> </w:t>
      </w:r>
      <w:r>
        <w:rPr>
          <w:lang w:val="en-US"/>
        </w:rPr>
        <w:t>information and reading material it acquires in the future, available in the majority of its libraries.</w:t>
      </w:r>
    </w:p>
    <w:p w:rsidR="00020741" w:rsidRDefault="00020741" w:rsidP="0018790D">
      <w:pPr>
        <w:pStyle w:val="NICCYBodyText"/>
        <w:rPr>
          <w:lang w:val="en-US"/>
        </w:rPr>
      </w:pPr>
    </w:p>
    <w:p w:rsidR="0018790D" w:rsidRDefault="0018790D" w:rsidP="0018790D">
      <w:pPr>
        <w:pStyle w:val="NICCYBodyText"/>
        <w:rPr>
          <w:lang w:val="en-US"/>
        </w:rPr>
      </w:pPr>
      <w:r>
        <w:rPr>
          <w:lang w:val="en-US"/>
        </w:rPr>
        <w:t xml:space="preserve">Currently almost 12,500 items of Irish language material (adults’ and </w:t>
      </w:r>
      <w:r w:rsidR="00020741">
        <w:rPr>
          <w:lang w:val="en-US"/>
        </w:rPr>
        <w:t>children’s</w:t>
      </w:r>
      <w:r>
        <w:rPr>
          <w:lang w:val="en-US"/>
        </w:rPr>
        <w:t>’) are available for loan</w:t>
      </w:r>
      <w:r w:rsidR="00020741">
        <w:rPr>
          <w:lang w:val="en-US"/>
        </w:rPr>
        <w:t xml:space="preserve"> </w:t>
      </w:r>
      <w:r>
        <w:rPr>
          <w:lang w:val="en-US"/>
        </w:rPr>
        <w:t>with larger collections deliberately located in branches where interest in the language is particularly</w:t>
      </w:r>
      <w:r w:rsidR="00020741">
        <w:rPr>
          <w:lang w:val="en-US"/>
        </w:rPr>
        <w:t xml:space="preserve"> strong.  </w:t>
      </w:r>
      <w:r>
        <w:rPr>
          <w:lang w:val="en-US"/>
        </w:rPr>
        <w:t>In addition Libraries NI holds an extensive collection of Irish language Heritage material which it</w:t>
      </w:r>
      <w:r w:rsidR="00020741">
        <w:rPr>
          <w:lang w:val="en-US"/>
        </w:rPr>
        <w:t xml:space="preserve"> </w:t>
      </w:r>
      <w:r>
        <w:rPr>
          <w:lang w:val="en-US"/>
        </w:rPr>
        <w:t>is seeking to make more readily accessible to the entire community.</w:t>
      </w:r>
      <w:r w:rsidR="00020741">
        <w:rPr>
          <w:lang w:val="en-US"/>
        </w:rPr>
        <w:t xml:space="preserve">  </w:t>
      </w:r>
      <w:r>
        <w:rPr>
          <w:lang w:val="en-US"/>
        </w:rPr>
        <w:t>Libraries NI continues to run an extensive programme of activities and events designed to promote</w:t>
      </w:r>
      <w:r w:rsidR="00020741">
        <w:rPr>
          <w:lang w:val="en-US"/>
        </w:rPr>
        <w:t xml:space="preserve"> </w:t>
      </w:r>
      <w:r>
        <w:rPr>
          <w:lang w:val="en-US"/>
        </w:rPr>
        <w:t>in</w:t>
      </w:r>
      <w:r w:rsidR="00020741">
        <w:rPr>
          <w:lang w:val="en-US"/>
        </w:rPr>
        <w:t xml:space="preserve">terest in and the use of Irish.  </w:t>
      </w:r>
      <w:r>
        <w:rPr>
          <w:lang w:val="en-US"/>
        </w:rPr>
        <w:t>These include local Irish language reading groups and conversational</w:t>
      </w:r>
      <w:r w:rsidR="00020741">
        <w:rPr>
          <w:lang w:val="en-US"/>
        </w:rPr>
        <w:t xml:space="preserve"> </w:t>
      </w:r>
      <w:r>
        <w:rPr>
          <w:lang w:val="en-US"/>
        </w:rPr>
        <w:t>circles, storytelling sessions for children, public talks and exhibitions.</w:t>
      </w:r>
    </w:p>
    <w:p w:rsidR="00020741" w:rsidRDefault="00020741" w:rsidP="0018790D">
      <w:pPr>
        <w:pStyle w:val="NICCYBodyText"/>
        <w:rPr>
          <w:lang w:val="en-US"/>
        </w:rPr>
      </w:pPr>
    </w:p>
    <w:p w:rsidR="0018790D" w:rsidRDefault="0018790D" w:rsidP="0018790D">
      <w:pPr>
        <w:pStyle w:val="NICCYBodyText"/>
        <w:rPr>
          <w:lang w:val="en-US"/>
        </w:rPr>
      </w:pPr>
      <w:r>
        <w:rPr>
          <w:lang w:val="en-US"/>
        </w:rPr>
        <w:t>Libraries NI will also be launching its 2014 Children’s Summer Reading Challenge in June which will</w:t>
      </w:r>
      <w:r w:rsidR="00020741">
        <w:rPr>
          <w:lang w:val="en-US"/>
        </w:rPr>
        <w:t xml:space="preserve"> </w:t>
      </w:r>
      <w:r>
        <w:rPr>
          <w:lang w:val="en-US"/>
        </w:rPr>
        <w:t>incorporate provisi</w:t>
      </w:r>
      <w:r w:rsidR="00020741">
        <w:rPr>
          <w:lang w:val="en-US"/>
        </w:rPr>
        <w:t xml:space="preserve">on for Irish language speakers.  </w:t>
      </w:r>
      <w:r>
        <w:rPr>
          <w:lang w:val="en-US"/>
        </w:rPr>
        <w:t>The authority is also planning a bilingual workshop</w:t>
      </w:r>
      <w:r w:rsidR="00020741">
        <w:rPr>
          <w:lang w:val="en-US"/>
        </w:rPr>
        <w:t xml:space="preserve"> </w:t>
      </w:r>
      <w:r>
        <w:rPr>
          <w:lang w:val="en-US"/>
        </w:rPr>
        <w:t>(Irish and English) for school children during Community Relations Week in the same month.</w:t>
      </w:r>
    </w:p>
    <w:p w:rsidR="0018790D" w:rsidRDefault="0018790D" w:rsidP="0018790D">
      <w:pPr>
        <w:rPr>
          <w:rFonts w:ascii="ITCFranklinGothicBook" w:hAnsi="ITCFranklinGothicBook" w:cs="ITCFranklinGothicBook"/>
          <w:sz w:val="20"/>
          <w:szCs w:val="20"/>
          <w:lang w:val="en-US"/>
        </w:rPr>
      </w:pPr>
    </w:p>
    <w:p w:rsidR="0018790D" w:rsidRDefault="002229F6" w:rsidP="0018790D">
      <w:hyperlink w:anchor="_top" w:history="1">
        <w:r w:rsidR="00020741" w:rsidRPr="007715F2">
          <w:rPr>
            <w:rStyle w:val="Hyperlink"/>
          </w:rPr>
          <w:t>Back to Top</w:t>
        </w:r>
      </w:hyperlink>
    </w:p>
    <w:p w:rsidR="00020741" w:rsidRDefault="00020741" w:rsidP="0018790D"/>
    <w:p w:rsidR="00020741" w:rsidRDefault="00020741" w:rsidP="0018790D"/>
    <w:p w:rsidR="00020741" w:rsidRDefault="00020741" w:rsidP="0018790D"/>
    <w:p w:rsidR="00020741" w:rsidRDefault="00020741" w:rsidP="0018790D"/>
    <w:p w:rsidR="00020741" w:rsidRDefault="00020741" w:rsidP="0018790D"/>
    <w:p w:rsidR="00020741" w:rsidRDefault="00020741" w:rsidP="0018790D"/>
    <w:p w:rsidR="00020741" w:rsidRDefault="00020741" w:rsidP="0018790D"/>
    <w:p w:rsidR="00020741" w:rsidRDefault="00020741" w:rsidP="0018790D">
      <w:pPr>
        <w:rPr>
          <w:rFonts w:ascii="ITCFranklinGothicBook" w:hAnsi="ITCFranklinGothicBook" w:cs="ITCFranklinGothicBook"/>
          <w:sz w:val="20"/>
          <w:szCs w:val="20"/>
          <w:lang w:val="en-US"/>
        </w:rPr>
      </w:pPr>
    </w:p>
    <w:p w:rsidR="00020741" w:rsidRDefault="00020741" w:rsidP="008F4BE3">
      <w:pPr>
        <w:pStyle w:val="NICCYHeading"/>
        <w:rPr>
          <w:lang w:val="en-US"/>
        </w:rPr>
      </w:pPr>
      <w:r>
        <w:rPr>
          <w:lang w:val="en-US"/>
        </w:rPr>
        <w:lastRenderedPageBreak/>
        <w:t xml:space="preserve">Department of </w:t>
      </w:r>
      <w:r w:rsidRPr="00020741">
        <w:rPr>
          <w:lang w:val="en-US"/>
        </w:rPr>
        <w:t>Education</w:t>
      </w:r>
    </w:p>
    <w:p w:rsidR="0018790D" w:rsidRPr="00020741" w:rsidRDefault="0018790D" w:rsidP="008F4BE3">
      <w:pPr>
        <w:pStyle w:val="Heading2"/>
        <w:rPr>
          <w:color w:val="23A4DE"/>
          <w:lang w:val="en-US"/>
        </w:rPr>
      </w:pPr>
      <w:bookmarkStart w:id="3" w:name="_Elective_Home_Education"/>
      <w:bookmarkEnd w:id="3"/>
      <w:r w:rsidRPr="00020741">
        <w:rPr>
          <w:color w:val="23A4DE"/>
          <w:lang w:val="en-US"/>
        </w:rPr>
        <w:t>Elective Home Education</w:t>
      </w:r>
    </w:p>
    <w:p w:rsidR="0018790D" w:rsidRDefault="0018790D" w:rsidP="00020741">
      <w:pPr>
        <w:pStyle w:val="NICCYBodyText"/>
        <w:rPr>
          <w:lang w:val="en-US"/>
        </w:rPr>
      </w:pPr>
      <w:r w:rsidRPr="00020741">
        <w:rPr>
          <w:rFonts w:ascii="ITCFranklinGothicDemi" w:hAnsi="ITCFranklinGothicDemi" w:cs="ITCFranklinGothicDemi"/>
          <w:b/>
          <w:lang w:val="en-US"/>
        </w:rPr>
        <w:t>Mr Campbell</w:t>
      </w:r>
      <w:r>
        <w:rPr>
          <w:rFonts w:ascii="ITCFranklinGothicDemi" w:hAnsi="ITCFranklinGothicDemi" w:cs="ITCFranklinGothicDemi"/>
          <w:lang w:val="en-US"/>
        </w:rPr>
        <w:t xml:space="preserve"> </w:t>
      </w:r>
      <w:r>
        <w:rPr>
          <w:lang w:val="en-US"/>
        </w:rPr>
        <w:t>asked the Minister of Education what consideration has been given to how the relevant</w:t>
      </w:r>
      <w:r w:rsidR="00020741">
        <w:rPr>
          <w:lang w:val="en-US"/>
        </w:rPr>
        <w:t xml:space="preserve"> </w:t>
      </w:r>
      <w:r>
        <w:rPr>
          <w:lang w:val="en-US"/>
        </w:rPr>
        <w:t>authorities in other regions of the UK address the issue of Elective Home Education.</w:t>
      </w:r>
    </w:p>
    <w:p w:rsidR="0018790D" w:rsidRDefault="0018790D" w:rsidP="00020741">
      <w:pPr>
        <w:pStyle w:val="NICCYBodyText"/>
        <w:rPr>
          <w:rFonts w:ascii="ITCFranklinGothicDemi" w:hAnsi="ITCFranklinGothicDemi" w:cs="ITCFranklinGothicDemi"/>
          <w:lang w:val="en-US"/>
        </w:rPr>
      </w:pPr>
      <w:r>
        <w:rPr>
          <w:rFonts w:ascii="ITCFranklinGothicDemi" w:hAnsi="ITCFranklinGothicDemi" w:cs="ITCFranklinGothicDemi"/>
          <w:lang w:val="en-US"/>
        </w:rPr>
        <w:t>(AQW 33615/11-15)</w:t>
      </w:r>
    </w:p>
    <w:p w:rsidR="00020741" w:rsidRDefault="00020741" w:rsidP="00020741">
      <w:pPr>
        <w:pStyle w:val="NICCYBodyText"/>
        <w:rPr>
          <w:rFonts w:ascii="ITCFranklinGothicDemi" w:hAnsi="ITCFranklinGothicDemi" w:cs="ITCFranklinGothicDemi"/>
          <w:lang w:val="en-US"/>
        </w:rPr>
      </w:pPr>
    </w:p>
    <w:p w:rsidR="0018790D" w:rsidRDefault="0018790D" w:rsidP="00020741">
      <w:pPr>
        <w:pStyle w:val="NICCYBodyText"/>
        <w:rPr>
          <w:lang w:val="en-US"/>
        </w:rPr>
      </w:pPr>
      <w:r w:rsidRPr="00020741">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Whilst the issue of elective home education is a devolved</w:t>
      </w:r>
      <w:r w:rsidR="00020741">
        <w:rPr>
          <w:lang w:val="en-US"/>
        </w:rPr>
        <w:t xml:space="preserve"> </w:t>
      </w:r>
      <w:r>
        <w:rPr>
          <w:lang w:val="en-US"/>
        </w:rPr>
        <w:t>policy area my Department actively seeks to ensure, as for any policy area, that appropriate</w:t>
      </w:r>
      <w:r w:rsidR="00020741">
        <w:rPr>
          <w:lang w:val="en-US"/>
        </w:rPr>
        <w:t xml:space="preserve"> </w:t>
      </w:r>
      <w:r>
        <w:rPr>
          <w:lang w:val="en-US"/>
        </w:rPr>
        <w:t>consideration is given to how such matters are addressed in other jurisdictions including the south of</w:t>
      </w:r>
      <w:r w:rsidR="00020741">
        <w:rPr>
          <w:lang w:val="en-US"/>
        </w:rPr>
        <w:t xml:space="preserve"> </w:t>
      </w:r>
      <w:r>
        <w:rPr>
          <w:lang w:val="en-US"/>
        </w:rPr>
        <w:t>Ireland, Scotland, England, Wales and further afield.</w:t>
      </w:r>
    </w:p>
    <w:p w:rsidR="00020741" w:rsidRDefault="00020741" w:rsidP="00020741">
      <w:pPr>
        <w:pStyle w:val="NICCYBodyText"/>
        <w:rPr>
          <w:lang w:val="en-US"/>
        </w:rPr>
      </w:pPr>
    </w:p>
    <w:p w:rsidR="0018790D" w:rsidRDefault="0018790D" w:rsidP="00020741">
      <w:pPr>
        <w:pStyle w:val="NICCYBodyText"/>
        <w:rPr>
          <w:lang w:val="en-US"/>
        </w:rPr>
      </w:pPr>
      <w:r>
        <w:rPr>
          <w:lang w:val="en-US"/>
        </w:rPr>
        <w:t>The Education and Library Boards are currently undertaking an open consultation on their draft</w:t>
      </w:r>
      <w:r w:rsidR="00020741">
        <w:rPr>
          <w:lang w:val="en-US"/>
        </w:rPr>
        <w:t xml:space="preserve"> </w:t>
      </w:r>
      <w:r>
        <w:rPr>
          <w:lang w:val="en-US"/>
        </w:rPr>
        <w:t>guidelines for elective home education and have advised that, in developing the guidelines, information</w:t>
      </w:r>
      <w:r w:rsidR="00020741">
        <w:rPr>
          <w:lang w:val="en-US"/>
        </w:rPr>
        <w:t xml:space="preserve"> </w:t>
      </w:r>
      <w:r>
        <w:rPr>
          <w:lang w:val="en-US"/>
        </w:rPr>
        <w:t>from a</w:t>
      </w:r>
      <w:r w:rsidR="00020741">
        <w:rPr>
          <w:lang w:val="en-US"/>
        </w:rPr>
        <w:t xml:space="preserve"> range of sources was reviewed.  </w:t>
      </w:r>
      <w:r>
        <w:rPr>
          <w:lang w:val="en-US"/>
        </w:rPr>
        <w:t>I understand that this included consideration of, for example,</w:t>
      </w:r>
      <w:r w:rsidR="00020741">
        <w:rPr>
          <w:lang w:val="en-US"/>
        </w:rPr>
        <w:t xml:space="preserve"> </w:t>
      </w:r>
      <w:r>
        <w:rPr>
          <w:lang w:val="en-US"/>
        </w:rPr>
        <w:t>the elective home education policy in the South of Ireland, the “Elective Home Education Guidelines</w:t>
      </w:r>
      <w:r w:rsidR="00020741">
        <w:rPr>
          <w:lang w:val="en-US"/>
        </w:rPr>
        <w:t xml:space="preserve"> </w:t>
      </w:r>
      <w:r>
        <w:rPr>
          <w:lang w:val="en-US"/>
        </w:rPr>
        <w:t>for Local Authorities” published in 2007 by the Department for Children, Schools and Families and</w:t>
      </w:r>
      <w:r w:rsidR="00020741">
        <w:rPr>
          <w:lang w:val="en-US"/>
        </w:rPr>
        <w:t xml:space="preserve"> </w:t>
      </w:r>
      <w:r>
        <w:rPr>
          <w:lang w:val="en-US"/>
        </w:rPr>
        <w:t>Birmingham City Council’s Elective Home Education Policy.</w:t>
      </w:r>
    </w:p>
    <w:p w:rsidR="0018790D" w:rsidRDefault="0018790D" w:rsidP="0018790D">
      <w:pPr>
        <w:rPr>
          <w:rFonts w:ascii="ITCFranklinGothicBook" w:hAnsi="ITCFranklinGothicBook" w:cs="ITCFranklinGothicBook"/>
          <w:sz w:val="20"/>
          <w:szCs w:val="20"/>
          <w:lang w:val="en-US"/>
        </w:rPr>
      </w:pPr>
    </w:p>
    <w:p w:rsidR="00020741" w:rsidRDefault="002229F6" w:rsidP="0018790D">
      <w:pPr>
        <w:rPr>
          <w:rFonts w:ascii="ITCFranklinGothicBook" w:hAnsi="ITCFranklinGothicBook" w:cs="ITCFranklinGothicBook"/>
          <w:sz w:val="20"/>
          <w:szCs w:val="20"/>
          <w:lang w:val="en-US"/>
        </w:rPr>
      </w:pPr>
      <w:hyperlink w:anchor="_top" w:history="1">
        <w:r w:rsidR="00020741" w:rsidRPr="007715F2">
          <w:rPr>
            <w:rStyle w:val="Hyperlink"/>
          </w:rPr>
          <w:t>Back to Top</w:t>
        </w:r>
      </w:hyperlink>
    </w:p>
    <w:p w:rsidR="0018790D" w:rsidRDefault="0018790D" w:rsidP="0018790D">
      <w:pPr>
        <w:rPr>
          <w:rFonts w:ascii="ITCFranklinGothicBook" w:hAnsi="ITCFranklinGothicBook" w:cs="ITCFranklinGothicBook"/>
          <w:sz w:val="20"/>
          <w:szCs w:val="20"/>
          <w:lang w:val="en-US"/>
        </w:rPr>
      </w:pPr>
    </w:p>
    <w:p w:rsidR="0018790D" w:rsidRPr="008D406D" w:rsidRDefault="0018790D" w:rsidP="00020741">
      <w:pPr>
        <w:pStyle w:val="Heading2"/>
        <w:rPr>
          <w:color w:val="23A4DE"/>
          <w:lang w:val="en-US"/>
        </w:rPr>
      </w:pPr>
      <w:bookmarkStart w:id="4" w:name="_Schools:_Physical_Education"/>
      <w:bookmarkEnd w:id="4"/>
      <w:r w:rsidRPr="008D406D">
        <w:rPr>
          <w:color w:val="23A4DE"/>
          <w:lang w:val="en-US"/>
        </w:rPr>
        <w:t>Schools: Physical Education</w:t>
      </w:r>
    </w:p>
    <w:p w:rsidR="00020741" w:rsidRDefault="0018790D" w:rsidP="00020741">
      <w:pPr>
        <w:pStyle w:val="NICCYBodyText"/>
        <w:rPr>
          <w:lang w:val="en-US"/>
        </w:rPr>
      </w:pPr>
      <w:r w:rsidRPr="00020741">
        <w:rPr>
          <w:rFonts w:ascii="ITCFranklinGothicDemi" w:hAnsi="ITCFranklinGothicDemi" w:cs="ITCFranklinGothicDemi"/>
          <w:b/>
          <w:lang w:val="en-US"/>
        </w:rPr>
        <w:t>Mr Humphrey</w:t>
      </w:r>
      <w:r>
        <w:rPr>
          <w:rFonts w:ascii="ITCFranklinGothicDemi" w:hAnsi="ITCFranklinGothicDemi" w:cs="ITCFranklinGothicDemi"/>
          <w:lang w:val="en-US"/>
        </w:rPr>
        <w:t xml:space="preserve"> </w:t>
      </w:r>
      <w:r>
        <w:rPr>
          <w:lang w:val="en-US"/>
        </w:rPr>
        <w:t>asked the Minister of Education to detail the number of schools in each education sector</w:t>
      </w:r>
      <w:r w:rsidR="00020741">
        <w:rPr>
          <w:lang w:val="en-US"/>
        </w:rPr>
        <w:t xml:space="preserve"> </w:t>
      </w:r>
      <w:r>
        <w:rPr>
          <w:lang w:val="en-US"/>
        </w:rPr>
        <w:t xml:space="preserve">which offer dance as the physical component for </w:t>
      </w:r>
      <w:r w:rsidR="00020741">
        <w:rPr>
          <w:lang w:val="en-US"/>
        </w:rPr>
        <w:t xml:space="preserve"> </w:t>
      </w:r>
      <w:r>
        <w:rPr>
          <w:lang w:val="en-US"/>
        </w:rPr>
        <w:t>(</w:t>
      </w:r>
      <w:proofErr w:type="spellStart"/>
      <w:r>
        <w:rPr>
          <w:lang w:val="en-US"/>
        </w:rPr>
        <w:t>i</w:t>
      </w:r>
      <w:proofErr w:type="spellEnd"/>
      <w:r>
        <w:rPr>
          <w:lang w:val="en-US"/>
        </w:rPr>
        <w:t>) GCSE; and</w:t>
      </w:r>
    </w:p>
    <w:p w:rsidR="0018790D" w:rsidRDefault="0018790D" w:rsidP="00020741">
      <w:pPr>
        <w:pStyle w:val="NICCYBodyText"/>
        <w:rPr>
          <w:lang w:val="en-US"/>
        </w:rPr>
      </w:pPr>
      <w:r>
        <w:rPr>
          <w:lang w:val="en-US"/>
        </w:rPr>
        <w:t>(ii) GCE Physical Education.</w:t>
      </w:r>
    </w:p>
    <w:p w:rsidR="0018790D" w:rsidRDefault="0018790D" w:rsidP="00020741">
      <w:pPr>
        <w:pStyle w:val="NICCYBodyText"/>
        <w:rPr>
          <w:rFonts w:ascii="ITCFranklinGothicDemi" w:hAnsi="ITCFranklinGothicDemi" w:cs="ITCFranklinGothicDemi"/>
          <w:lang w:val="en-US"/>
        </w:rPr>
      </w:pPr>
      <w:r>
        <w:rPr>
          <w:rFonts w:ascii="ITCFranklinGothicDemi" w:hAnsi="ITCFranklinGothicDemi" w:cs="ITCFranklinGothicDemi"/>
          <w:lang w:val="en-US"/>
        </w:rPr>
        <w:t>(AQW 33650/11-15)</w:t>
      </w:r>
    </w:p>
    <w:p w:rsidR="00020741" w:rsidRDefault="00020741" w:rsidP="00020741">
      <w:pPr>
        <w:pStyle w:val="NICCYBodyText"/>
        <w:rPr>
          <w:rFonts w:ascii="ITCFranklinGothicDemi" w:hAnsi="ITCFranklinGothicDemi" w:cs="ITCFranklinGothicDemi"/>
          <w:lang w:val="en-US"/>
        </w:rPr>
      </w:pPr>
    </w:p>
    <w:p w:rsidR="0018790D" w:rsidRDefault="0018790D" w:rsidP="00020741">
      <w:pPr>
        <w:pStyle w:val="NICCYBodyText"/>
        <w:rPr>
          <w:lang w:val="en-US"/>
        </w:rPr>
      </w:pPr>
      <w:r w:rsidRPr="0002074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informat</w:t>
      </w:r>
      <w:r w:rsidR="00020741">
        <w:rPr>
          <w:lang w:val="en-US"/>
        </w:rPr>
        <w:t xml:space="preserve">ion requested is not collected.  </w:t>
      </w:r>
      <w:r>
        <w:rPr>
          <w:lang w:val="en-US"/>
        </w:rPr>
        <w:t>The Council for Curriculum Examinations and</w:t>
      </w:r>
      <w:r w:rsidR="00020741">
        <w:rPr>
          <w:lang w:val="en-US"/>
        </w:rPr>
        <w:t xml:space="preserve"> </w:t>
      </w:r>
      <w:r>
        <w:rPr>
          <w:lang w:val="en-US"/>
        </w:rPr>
        <w:t>Assessment (CCEA) has advised that it holds records at subject level only i.e. candidates who have</w:t>
      </w:r>
      <w:r w:rsidR="00020741">
        <w:rPr>
          <w:lang w:val="en-US"/>
        </w:rPr>
        <w:t xml:space="preserve"> </w:t>
      </w:r>
      <w:r>
        <w:rPr>
          <w:lang w:val="en-US"/>
        </w:rPr>
        <w:t xml:space="preserve">achieved specific grades in </w:t>
      </w:r>
      <w:r w:rsidR="00020741">
        <w:rPr>
          <w:lang w:val="en-US"/>
        </w:rPr>
        <w:t xml:space="preserve">GCSE or GCE Physical Education.  </w:t>
      </w:r>
      <w:r>
        <w:rPr>
          <w:lang w:val="en-US"/>
        </w:rPr>
        <w:t>Although candidates may choose to study</w:t>
      </w:r>
      <w:r w:rsidR="00020741">
        <w:rPr>
          <w:lang w:val="en-US"/>
        </w:rPr>
        <w:t xml:space="preserve"> </w:t>
      </w:r>
      <w:r>
        <w:rPr>
          <w:lang w:val="en-US"/>
        </w:rPr>
        <w:t>‘Dance’ as one option/component of the specification, this level of detail is not recorded in the CCEA</w:t>
      </w:r>
      <w:r w:rsidR="00020741">
        <w:rPr>
          <w:lang w:val="en-US"/>
        </w:rPr>
        <w:t xml:space="preserve"> </w:t>
      </w:r>
      <w:r>
        <w:rPr>
          <w:lang w:val="en-US"/>
        </w:rPr>
        <w:t>examinations database.</w:t>
      </w:r>
    </w:p>
    <w:p w:rsidR="0018790D" w:rsidRDefault="0018790D" w:rsidP="0018790D">
      <w:pPr>
        <w:rPr>
          <w:rFonts w:ascii="ITCFranklinGothicDemi" w:hAnsi="ITCFranklinGothicDemi" w:cs="ITCFranklinGothicDemi"/>
          <w:lang w:val="en-US"/>
        </w:rPr>
      </w:pPr>
    </w:p>
    <w:p w:rsidR="00020741" w:rsidRDefault="002229F6" w:rsidP="00020741">
      <w:pPr>
        <w:rPr>
          <w:rFonts w:ascii="ITCFranklinGothicBook" w:hAnsi="ITCFranklinGothicBook" w:cs="ITCFranklinGothicBook"/>
          <w:sz w:val="20"/>
          <w:szCs w:val="20"/>
          <w:lang w:val="en-US"/>
        </w:rPr>
      </w:pPr>
      <w:hyperlink w:anchor="_top" w:history="1">
        <w:r w:rsidR="00020741" w:rsidRPr="007715F2">
          <w:rPr>
            <w:rStyle w:val="Hyperlink"/>
          </w:rPr>
          <w:t>Back to Top</w:t>
        </w:r>
      </w:hyperlink>
    </w:p>
    <w:p w:rsidR="0018790D" w:rsidRPr="008D406D" w:rsidRDefault="0018790D" w:rsidP="00020741">
      <w:pPr>
        <w:pStyle w:val="Heading2"/>
        <w:rPr>
          <w:color w:val="23A4DE"/>
          <w:lang w:val="en-US"/>
        </w:rPr>
      </w:pPr>
      <w:bookmarkStart w:id="5" w:name="_Primary_Schools:_Curriculum"/>
      <w:bookmarkEnd w:id="5"/>
      <w:r w:rsidRPr="008D406D">
        <w:rPr>
          <w:color w:val="23A4DE"/>
          <w:lang w:val="en-US"/>
        </w:rPr>
        <w:lastRenderedPageBreak/>
        <w:t>Primary Schools: Curriculum</w:t>
      </w:r>
    </w:p>
    <w:p w:rsidR="0018790D" w:rsidRDefault="0018790D" w:rsidP="00020741">
      <w:pPr>
        <w:pStyle w:val="NICCYBodyText"/>
        <w:rPr>
          <w:lang w:val="en-US"/>
        </w:rPr>
      </w:pPr>
      <w:r w:rsidRPr="00020741">
        <w:rPr>
          <w:rFonts w:ascii="ITCFranklinGothicDemi" w:hAnsi="ITCFranklinGothicDemi" w:cs="ITCFranklinGothicDemi"/>
          <w:b/>
          <w:lang w:val="en-US"/>
        </w:rPr>
        <w:t>Mr Humphrey</w:t>
      </w:r>
      <w:r>
        <w:rPr>
          <w:rFonts w:ascii="ITCFranklinGothicDemi" w:hAnsi="ITCFranklinGothicDemi" w:cs="ITCFranklinGothicDemi"/>
          <w:lang w:val="en-US"/>
        </w:rPr>
        <w:t xml:space="preserve"> </w:t>
      </w:r>
      <w:r>
        <w:rPr>
          <w:lang w:val="en-US"/>
        </w:rPr>
        <w:t>asked the Minister of Education to detail the number of primary schools in each</w:t>
      </w:r>
      <w:r w:rsidR="00020741">
        <w:rPr>
          <w:lang w:val="en-US"/>
        </w:rPr>
        <w:t xml:space="preserve"> </w:t>
      </w:r>
      <w:r>
        <w:rPr>
          <w:lang w:val="en-US"/>
        </w:rPr>
        <w:t>education sector which offer (</w:t>
      </w:r>
      <w:proofErr w:type="spellStart"/>
      <w:r>
        <w:rPr>
          <w:lang w:val="en-US"/>
        </w:rPr>
        <w:t>i</w:t>
      </w:r>
      <w:proofErr w:type="spellEnd"/>
      <w:r>
        <w:rPr>
          <w:lang w:val="en-US"/>
        </w:rPr>
        <w:t>) Irish dance; (ii) highland dance; and (iii) Scottish country dance as part</w:t>
      </w:r>
      <w:r w:rsidR="00020741">
        <w:rPr>
          <w:lang w:val="en-US"/>
        </w:rPr>
        <w:t xml:space="preserve"> </w:t>
      </w:r>
      <w:r>
        <w:rPr>
          <w:lang w:val="en-US"/>
        </w:rPr>
        <w:t>of the curriculum.</w:t>
      </w:r>
    </w:p>
    <w:p w:rsidR="0018790D" w:rsidRDefault="0018790D" w:rsidP="00020741">
      <w:pPr>
        <w:pStyle w:val="NICCYBodyText"/>
        <w:rPr>
          <w:rFonts w:ascii="ITCFranklinGothicDemi" w:hAnsi="ITCFranklinGothicDemi" w:cs="ITCFranklinGothicDemi"/>
          <w:lang w:val="en-US"/>
        </w:rPr>
      </w:pPr>
      <w:r>
        <w:rPr>
          <w:rFonts w:ascii="ITCFranklinGothicDemi" w:hAnsi="ITCFranklinGothicDemi" w:cs="ITCFranklinGothicDemi"/>
          <w:lang w:val="en-US"/>
        </w:rPr>
        <w:t>(AQW 33653/11-15)</w:t>
      </w:r>
    </w:p>
    <w:p w:rsidR="00020741" w:rsidRDefault="00020741" w:rsidP="00020741">
      <w:pPr>
        <w:pStyle w:val="NICCYBodyText"/>
        <w:rPr>
          <w:rFonts w:ascii="ITCFranklinGothicDemi" w:hAnsi="ITCFranklinGothicDemi" w:cs="ITCFranklinGothicDemi"/>
          <w:lang w:val="en-US"/>
        </w:rPr>
      </w:pPr>
    </w:p>
    <w:p w:rsidR="0018790D" w:rsidRPr="00020741" w:rsidRDefault="0018790D" w:rsidP="00020741">
      <w:pPr>
        <w:pStyle w:val="NICCYBodyText"/>
        <w:rPr>
          <w:lang w:val="en-US"/>
        </w:rPr>
      </w:pPr>
      <w:r w:rsidRPr="0002074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Department of Education does not collate information on the types of dance offered</w:t>
      </w:r>
      <w:r w:rsidR="00020741">
        <w:rPr>
          <w:lang w:val="en-US"/>
        </w:rPr>
        <w:t xml:space="preserve"> </w:t>
      </w:r>
      <w:r>
        <w:rPr>
          <w:lang w:val="en-US"/>
        </w:rPr>
        <w:t>by schools in their delivery of the curriculum.</w:t>
      </w:r>
    </w:p>
    <w:p w:rsidR="0018790D" w:rsidRDefault="0018790D" w:rsidP="0018790D">
      <w:pPr>
        <w:rPr>
          <w:rFonts w:ascii="ITCFranklinGothicBook" w:hAnsi="ITCFranklinGothicBook" w:cs="ITCFranklinGothicBook"/>
          <w:b/>
          <w:sz w:val="20"/>
          <w:szCs w:val="20"/>
          <w:lang w:val="en-US"/>
        </w:rPr>
      </w:pPr>
    </w:p>
    <w:p w:rsidR="00020741" w:rsidRDefault="002229F6" w:rsidP="00020741">
      <w:pPr>
        <w:rPr>
          <w:rFonts w:ascii="ITCFranklinGothicBook" w:hAnsi="ITCFranklinGothicBook" w:cs="ITCFranklinGothicBook"/>
          <w:sz w:val="20"/>
          <w:szCs w:val="20"/>
          <w:lang w:val="en-US"/>
        </w:rPr>
      </w:pPr>
      <w:hyperlink w:anchor="_top" w:history="1">
        <w:r w:rsidR="00020741" w:rsidRPr="007715F2">
          <w:rPr>
            <w:rStyle w:val="Hyperlink"/>
          </w:rPr>
          <w:t>Back to Top</w:t>
        </w:r>
      </w:hyperlink>
    </w:p>
    <w:p w:rsidR="0018790D" w:rsidRDefault="0018790D" w:rsidP="0018790D">
      <w:pPr>
        <w:rPr>
          <w:rFonts w:ascii="ITCFranklinGothicBook" w:hAnsi="ITCFranklinGothicBook" w:cs="ITCFranklinGothicBook"/>
          <w:b/>
          <w:sz w:val="20"/>
          <w:szCs w:val="20"/>
          <w:lang w:val="en-US"/>
        </w:rPr>
      </w:pPr>
    </w:p>
    <w:p w:rsidR="0018790D" w:rsidRPr="008D406D" w:rsidRDefault="0018790D" w:rsidP="00020741">
      <w:pPr>
        <w:pStyle w:val="Heading2"/>
        <w:rPr>
          <w:color w:val="23A4DE"/>
          <w:lang w:val="en-US"/>
        </w:rPr>
      </w:pPr>
      <w:bookmarkStart w:id="6" w:name="_Post-Primary_School_Curriculum"/>
      <w:bookmarkEnd w:id="6"/>
      <w:r w:rsidRPr="008D406D">
        <w:rPr>
          <w:color w:val="23A4DE"/>
          <w:lang w:val="en-US"/>
        </w:rPr>
        <w:t>Post-Primary School Curriculum</w:t>
      </w:r>
    </w:p>
    <w:p w:rsidR="0018790D" w:rsidRDefault="0018790D" w:rsidP="00020741">
      <w:pPr>
        <w:pStyle w:val="NICCYBodyText"/>
        <w:rPr>
          <w:lang w:val="en-US"/>
        </w:rPr>
      </w:pPr>
      <w:r w:rsidRPr="00020741">
        <w:rPr>
          <w:rFonts w:ascii="ITCFranklinGothicDemi" w:hAnsi="ITCFranklinGothicDemi" w:cs="ITCFranklinGothicDemi"/>
          <w:b/>
          <w:lang w:val="en-US"/>
        </w:rPr>
        <w:t>Mr Humphrey</w:t>
      </w:r>
      <w:r>
        <w:rPr>
          <w:rFonts w:ascii="ITCFranklinGothicDemi" w:hAnsi="ITCFranklinGothicDemi" w:cs="ITCFranklinGothicDemi"/>
          <w:lang w:val="en-US"/>
        </w:rPr>
        <w:t xml:space="preserve"> </w:t>
      </w:r>
      <w:r>
        <w:rPr>
          <w:lang w:val="en-US"/>
        </w:rPr>
        <w:t>asked the Minister of Education to detail the number of post-primary schools in each</w:t>
      </w:r>
      <w:r w:rsidR="00020741">
        <w:rPr>
          <w:lang w:val="en-US"/>
        </w:rPr>
        <w:t xml:space="preserve"> </w:t>
      </w:r>
      <w:r>
        <w:rPr>
          <w:lang w:val="en-US"/>
        </w:rPr>
        <w:t>education sector which offer (</w:t>
      </w:r>
      <w:proofErr w:type="spellStart"/>
      <w:r>
        <w:rPr>
          <w:lang w:val="en-US"/>
        </w:rPr>
        <w:t>i</w:t>
      </w:r>
      <w:proofErr w:type="spellEnd"/>
      <w:r>
        <w:rPr>
          <w:lang w:val="en-US"/>
        </w:rPr>
        <w:t>) Irish dance; (ii) highland dance; and (iii) Scottish country dance as part</w:t>
      </w:r>
      <w:r w:rsidR="00020741">
        <w:rPr>
          <w:lang w:val="en-US"/>
        </w:rPr>
        <w:t xml:space="preserve"> </w:t>
      </w:r>
      <w:r>
        <w:rPr>
          <w:lang w:val="en-US"/>
        </w:rPr>
        <w:t>of the curriculum.</w:t>
      </w:r>
    </w:p>
    <w:p w:rsidR="0018790D" w:rsidRDefault="0018790D" w:rsidP="00020741">
      <w:pPr>
        <w:pStyle w:val="NICCYBodyText"/>
        <w:rPr>
          <w:rFonts w:ascii="ITCFranklinGothicDemi" w:hAnsi="ITCFranklinGothicDemi" w:cs="ITCFranklinGothicDemi"/>
          <w:lang w:val="en-US"/>
        </w:rPr>
      </w:pPr>
      <w:r>
        <w:rPr>
          <w:rFonts w:ascii="ITCFranklinGothicDemi" w:hAnsi="ITCFranklinGothicDemi" w:cs="ITCFranklinGothicDemi"/>
          <w:lang w:val="en-US"/>
        </w:rPr>
        <w:t>(AQW 33704/11-15)</w:t>
      </w:r>
    </w:p>
    <w:p w:rsidR="00020741" w:rsidRDefault="00020741" w:rsidP="00020741">
      <w:pPr>
        <w:pStyle w:val="NICCYBodyText"/>
        <w:rPr>
          <w:rFonts w:ascii="ITCFranklinGothicDemi" w:hAnsi="ITCFranklinGothicDemi" w:cs="ITCFranklinGothicDemi"/>
          <w:lang w:val="en-US"/>
        </w:rPr>
      </w:pPr>
    </w:p>
    <w:p w:rsidR="00020741" w:rsidRDefault="0018790D" w:rsidP="00020741">
      <w:pPr>
        <w:pStyle w:val="NICCYBodyText"/>
        <w:rPr>
          <w:lang w:val="en-US"/>
        </w:rPr>
      </w:pPr>
      <w:r w:rsidRPr="0002074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While dance is prescribed as a specific area to be covered under the Physical Education</w:t>
      </w:r>
      <w:r w:rsidR="00020741">
        <w:rPr>
          <w:lang w:val="en-US"/>
        </w:rPr>
        <w:t xml:space="preserve"> </w:t>
      </w:r>
      <w:r>
        <w:rPr>
          <w:lang w:val="en-US"/>
        </w:rPr>
        <w:t>(PE) Area of Learning of the statutory curriculum at primary level, it is not specified within the PE</w:t>
      </w:r>
      <w:r w:rsidR="00020741">
        <w:rPr>
          <w:lang w:val="en-US"/>
        </w:rPr>
        <w:t xml:space="preserve"> </w:t>
      </w:r>
      <w:r>
        <w:rPr>
          <w:lang w:val="en-US"/>
        </w:rPr>
        <w:t>curriculum for post-primary pupils.</w:t>
      </w:r>
    </w:p>
    <w:p w:rsidR="0018790D" w:rsidRDefault="0018790D" w:rsidP="00020741">
      <w:pPr>
        <w:pStyle w:val="NICCYBodyText"/>
        <w:rPr>
          <w:lang w:val="en-US"/>
        </w:rPr>
      </w:pPr>
      <w:r>
        <w:rPr>
          <w:lang w:val="en-US"/>
        </w:rPr>
        <w:br/>
        <w:t>At post-primary level, Key Stage 3 pupils should have opportunities to increase their knowledge,</w:t>
      </w:r>
      <w:r w:rsidR="00020741">
        <w:rPr>
          <w:lang w:val="en-US"/>
        </w:rPr>
        <w:t xml:space="preserve"> </w:t>
      </w:r>
      <w:r>
        <w:rPr>
          <w:lang w:val="en-US"/>
        </w:rPr>
        <w:t>understanding and skills through frequent and regular participation in a balanced programme of</w:t>
      </w:r>
      <w:r w:rsidR="00020741">
        <w:rPr>
          <w:lang w:val="en-US"/>
        </w:rPr>
        <w:t xml:space="preserve"> </w:t>
      </w:r>
      <w:r>
        <w:rPr>
          <w:lang w:val="en-US"/>
        </w:rPr>
        <w:t xml:space="preserve">athletics, </w:t>
      </w:r>
      <w:r w:rsidR="00020741">
        <w:rPr>
          <w:lang w:val="en-US"/>
        </w:rPr>
        <w:t xml:space="preserve">games, gymnastics and swimming.  </w:t>
      </w:r>
      <w:r>
        <w:rPr>
          <w:lang w:val="en-US"/>
        </w:rPr>
        <w:t>At Key Stage 4, schools have further flexibility with their</w:t>
      </w:r>
      <w:r w:rsidR="00020741">
        <w:rPr>
          <w:lang w:val="en-US"/>
        </w:rPr>
        <w:t xml:space="preserve"> </w:t>
      </w:r>
      <w:r>
        <w:rPr>
          <w:lang w:val="en-US"/>
        </w:rPr>
        <w:t>PE provision as pupils should be enabled to plan and participate in a regular, frequent and balanced</w:t>
      </w:r>
      <w:r w:rsidR="00020741">
        <w:rPr>
          <w:lang w:val="en-US"/>
        </w:rPr>
        <w:t xml:space="preserve"> programme of physical activity.  </w:t>
      </w:r>
      <w:r>
        <w:rPr>
          <w:lang w:val="en-US"/>
        </w:rPr>
        <w:t>The content of this balanced programme is a matter for each school.</w:t>
      </w:r>
      <w:r w:rsidR="008D406D">
        <w:rPr>
          <w:lang w:val="en-US"/>
        </w:rPr>
        <w:t xml:space="preserve">  </w:t>
      </w:r>
      <w:r>
        <w:rPr>
          <w:lang w:val="en-US"/>
        </w:rPr>
        <w:t>Some post-primary schools may of course offer dance as an option within their PE curriculum, however</w:t>
      </w:r>
    </w:p>
    <w:p w:rsidR="0018790D" w:rsidRDefault="0018790D" w:rsidP="00020741">
      <w:pPr>
        <w:pStyle w:val="NICCYBodyText"/>
        <w:rPr>
          <w:lang w:val="en-US"/>
        </w:rPr>
      </w:pPr>
      <w:r>
        <w:rPr>
          <w:lang w:val="en-US"/>
        </w:rPr>
        <w:t>the Department would not hold this information.</w:t>
      </w:r>
    </w:p>
    <w:p w:rsidR="0018790D" w:rsidRDefault="0018790D" w:rsidP="0018790D">
      <w:pPr>
        <w:rPr>
          <w:rFonts w:ascii="ITCFranklinGothicBook" w:hAnsi="ITCFranklinGothicBook" w:cs="ITCFranklinGothicBook"/>
          <w:sz w:val="20"/>
          <w:szCs w:val="20"/>
          <w:lang w:val="en-US"/>
        </w:rPr>
      </w:pPr>
    </w:p>
    <w:p w:rsidR="008D406D" w:rsidRDefault="002229F6" w:rsidP="008D406D">
      <w:hyperlink w:anchor="_top" w:history="1">
        <w:r w:rsidR="008D406D" w:rsidRPr="007715F2">
          <w:rPr>
            <w:rStyle w:val="Hyperlink"/>
          </w:rPr>
          <w:t>Back to Top</w:t>
        </w:r>
      </w:hyperlink>
    </w:p>
    <w:p w:rsidR="008D406D" w:rsidRDefault="008D406D" w:rsidP="008D406D"/>
    <w:p w:rsidR="008D406D" w:rsidRDefault="008D406D" w:rsidP="008D406D"/>
    <w:p w:rsidR="008D406D" w:rsidRDefault="008D406D" w:rsidP="008D406D"/>
    <w:p w:rsidR="008D406D" w:rsidRDefault="008D406D" w:rsidP="008D406D">
      <w:pPr>
        <w:rPr>
          <w:rFonts w:ascii="ITCFranklinGothicBook" w:hAnsi="ITCFranklinGothicBook" w:cs="ITCFranklinGothicBook"/>
          <w:sz w:val="20"/>
          <w:szCs w:val="20"/>
          <w:lang w:val="en-US"/>
        </w:rPr>
      </w:pPr>
    </w:p>
    <w:p w:rsidR="008D406D" w:rsidRDefault="008D406D" w:rsidP="0018790D">
      <w:pPr>
        <w:rPr>
          <w:rFonts w:ascii="ITCFranklinGothicBook" w:hAnsi="ITCFranklinGothicBook" w:cs="ITCFranklinGothicBook"/>
          <w:sz w:val="20"/>
          <w:szCs w:val="20"/>
          <w:lang w:val="en-US"/>
        </w:rPr>
      </w:pPr>
    </w:p>
    <w:p w:rsidR="0018790D" w:rsidRDefault="0018790D" w:rsidP="0018790D">
      <w:pPr>
        <w:rPr>
          <w:rFonts w:ascii="ITCFranklinGothicBook" w:hAnsi="ITCFranklinGothicBook" w:cs="ITCFranklinGothicBook"/>
          <w:sz w:val="20"/>
          <w:szCs w:val="20"/>
          <w:lang w:val="en-US"/>
        </w:rPr>
      </w:pPr>
    </w:p>
    <w:p w:rsidR="0018790D" w:rsidRPr="008D406D" w:rsidRDefault="0018790D" w:rsidP="008D406D">
      <w:pPr>
        <w:pStyle w:val="Heading2"/>
        <w:rPr>
          <w:color w:val="23A4DE"/>
          <w:lang w:val="en-US"/>
        </w:rPr>
      </w:pPr>
      <w:bookmarkStart w:id="7" w:name="_United_Nations_Convention"/>
      <w:bookmarkEnd w:id="7"/>
      <w:r w:rsidRPr="008D406D">
        <w:rPr>
          <w:color w:val="23A4DE"/>
          <w:lang w:val="en-US"/>
        </w:rPr>
        <w:lastRenderedPageBreak/>
        <w:t xml:space="preserve">United Nations </w:t>
      </w:r>
      <w:r w:rsidR="008D406D" w:rsidRPr="008D406D">
        <w:rPr>
          <w:color w:val="23A4DE"/>
          <w:lang w:val="en-US"/>
        </w:rPr>
        <w:t>Convention</w:t>
      </w:r>
      <w:r w:rsidRPr="008D406D">
        <w:rPr>
          <w:color w:val="23A4DE"/>
          <w:lang w:val="en-US"/>
        </w:rPr>
        <w:t xml:space="preserve"> on the Rights of the Child</w:t>
      </w:r>
    </w:p>
    <w:p w:rsidR="0018790D" w:rsidRDefault="0018790D" w:rsidP="008D406D">
      <w:pPr>
        <w:pStyle w:val="NICCYBodyText"/>
        <w:rPr>
          <w:lang w:val="en-US"/>
        </w:rPr>
      </w:pPr>
      <w:r w:rsidRPr="008D406D">
        <w:rPr>
          <w:rFonts w:ascii="ITCFranklinGothicDemi" w:hAnsi="ITCFranklinGothicDemi" w:cs="ITCFranklinGothicDemi"/>
          <w:b/>
          <w:lang w:val="en-US"/>
        </w:rPr>
        <w:t>Mr Humphrey</w:t>
      </w:r>
      <w:r>
        <w:rPr>
          <w:rFonts w:ascii="ITCFranklinGothicDemi" w:hAnsi="ITCFranklinGothicDemi" w:cs="ITCFranklinGothicDemi"/>
          <w:lang w:val="en-US"/>
        </w:rPr>
        <w:t xml:space="preserve"> </w:t>
      </w:r>
      <w:r>
        <w:rPr>
          <w:lang w:val="en-US"/>
        </w:rPr>
        <w:t>asked the Minister of Education to detail the obligations that his Department has under</w:t>
      </w:r>
      <w:r w:rsidR="008D406D">
        <w:rPr>
          <w:lang w:val="en-US"/>
        </w:rPr>
        <w:t xml:space="preserve"> </w:t>
      </w:r>
      <w:r>
        <w:rPr>
          <w:lang w:val="en-US"/>
        </w:rPr>
        <w:t xml:space="preserve">the United Nations </w:t>
      </w:r>
      <w:r w:rsidR="008D406D">
        <w:rPr>
          <w:lang w:val="en-US"/>
        </w:rPr>
        <w:t>Convention</w:t>
      </w:r>
      <w:r>
        <w:rPr>
          <w:lang w:val="en-US"/>
        </w:rPr>
        <w:t xml:space="preserve"> on the Rights of the Child; and the mechanisms in place to ensure</w:t>
      </w:r>
      <w:r w:rsidR="008D406D">
        <w:rPr>
          <w:lang w:val="en-US"/>
        </w:rPr>
        <w:t xml:space="preserve"> </w:t>
      </w:r>
      <w:r>
        <w:rPr>
          <w:lang w:val="en-US"/>
        </w:rPr>
        <w:t>compliance.</w:t>
      </w:r>
    </w:p>
    <w:p w:rsidR="0018790D" w:rsidRDefault="0018790D" w:rsidP="008D406D">
      <w:pPr>
        <w:pStyle w:val="NICCYBodyText"/>
        <w:rPr>
          <w:rFonts w:ascii="ITCFranklinGothicDemi" w:hAnsi="ITCFranklinGothicDemi" w:cs="ITCFranklinGothicDemi"/>
          <w:lang w:val="en-US"/>
        </w:rPr>
      </w:pPr>
      <w:r>
        <w:rPr>
          <w:rFonts w:ascii="ITCFranklinGothicDemi" w:hAnsi="ITCFranklinGothicDemi" w:cs="ITCFranklinGothicDemi"/>
          <w:lang w:val="en-US"/>
        </w:rPr>
        <w:t>(AQW 33706/11-15)</w:t>
      </w:r>
    </w:p>
    <w:p w:rsidR="008D406D" w:rsidRDefault="008D406D" w:rsidP="008D406D">
      <w:pPr>
        <w:pStyle w:val="NICCYBodyText"/>
        <w:rPr>
          <w:rFonts w:ascii="ITCFranklinGothicDemi" w:hAnsi="ITCFranklinGothicDemi" w:cs="ITCFranklinGothicDemi"/>
          <w:lang w:val="en-US"/>
        </w:rPr>
      </w:pPr>
    </w:p>
    <w:p w:rsidR="0018790D" w:rsidRDefault="0018790D" w:rsidP="008D406D">
      <w:pPr>
        <w:pStyle w:val="NICCYBodyText"/>
        <w:rPr>
          <w:lang w:val="en-US"/>
        </w:rPr>
      </w:pPr>
      <w:r w:rsidRPr="008D406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is fully committed to the promotion and implementation of the United</w:t>
      </w:r>
      <w:r w:rsidR="008D406D">
        <w:rPr>
          <w:lang w:val="en-US"/>
        </w:rPr>
        <w:t xml:space="preserve"> </w:t>
      </w:r>
      <w:r>
        <w:rPr>
          <w:lang w:val="en-US"/>
        </w:rPr>
        <w:t>Nations Convention on the Rights</w:t>
      </w:r>
      <w:r w:rsidR="008D406D">
        <w:rPr>
          <w:lang w:val="en-US"/>
        </w:rPr>
        <w:t xml:space="preserve"> of the Child (the Convention).  </w:t>
      </w:r>
      <w:r>
        <w:rPr>
          <w:lang w:val="en-US"/>
        </w:rPr>
        <w:t>The principles and four categories</w:t>
      </w:r>
      <w:r w:rsidR="008D406D">
        <w:rPr>
          <w:lang w:val="en-US"/>
        </w:rPr>
        <w:t xml:space="preserve"> </w:t>
      </w:r>
      <w:r>
        <w:rPr>
          <w:lang w:val="en-US"/>
        </w:rPr>
        <w:t>of rights of the Convention clearly provide an important guiding framework for the development,</w:t>
      </w:r>
      <w:r w:rsidR="008D406D">
        <w:rPr>
          <w:lang w:val="en-US"/>
        </w:rPr>
        <w:t xml:space="preserve"> </w:t>
      </w:r>
      <w:r>
        <w:rPr>
          <w:lang w:val="en-US"/>
        </w:rPr>
        <w:t>implementation and review of Departmental policies, legislation and practice.</w:t>
      </w:r>
      <w:r w:rsidR="008D406D">
        <w:rPr>
          <w:lang w:val="en-US"/>
        </w:rPr>
        <w:t xml:space="preserve">  </w:t>
      </w:r>
      <w:r>
        <w:rPr>
          <w:lang w:val="en-US"/>
        </w:rPr>
        <w:t>The Convention places equal emphasis on all rights for children and recognises that these rights are</w:t>
      </w:r>
      <w:r w:rsidR="008D406D">
        <w:rPr>
          <w:lang w:val="en-US"/>
        </w:rPr>
        <w:t xml:space="preserve"> </w:t>
      </w:r>
      <w:r>
        <w:rPr>
          <w:lang w:val="en-US"/>
        </w:rPr>
        <w:t>indivisible and interrelated and that decisions with regard to one right must be made in light of all other</w:t>
      </w:r>
      <w:r w:rsidR="008D406D">
        <w:rPr>
          <w:lang w:val="en-US"/>
        </w:rPr>
        <w:t xml:space="preserve"> </w:t>
      </w:r>
      <w:r>
        <w:rPr>
          <w:lang w:val="en-US"/>
        </w:rPr>
        <w:t>rights in the Convention.</w:t>
      </w:r>
    </w:p>
    <w:p w:rsidR="008D406D" w:rsidRDefault="008D406D" w:rsidP="008D406D">
      <w:pPr>
        <w:pStyle w:val="NICCYBodyText"/>
        <w:rPr>
          <w:lang w:val="en-US"/>
        </w:rPr>
      </w:pPr>
    </w:p>
    <w:p w:rsidR="0018790D" w:rsidRDefault="0018790D" w:rsidP="008D406D">
      <w:pPr>
        <w:pStyle w:val="NICCYBodyText"/>
        <w:rPr>
          <w:lang w:val="en-US"/>
        </w:rPr>
      </w:pPr>
      <w:r>
        <w:rPr>
          <w:lang w:val="en-US"/>
        </w:rPr>
        <w:t>Reflecting this approach, my Department proactively works to ensure that children’s rights are</w:t>
      </w:r>
      <w:r w:rsidR="008D406D">
        <w:rPr>
          <w:lang w:val="en-US"/>
        </w:rPr>
        <w:t xml:space="preserve"> </w:t>
      </w:r>
      <w:r>
        <w:rPr>
          <w:lang w:val="en-US"/>
        </w:rPr>
        <w:t>respected, promoted, protected and fulfilled in the development and implementation of legislation</w:t>
      </w:r>
      <w:r w:rsidR="008D406D">
        <w:rPr>
          <w:lang w:val="en-US"/>
        </w:rPr>
        <w:t xml:space="preserve"> and policy.  </w:t>
      </w:r>
      <w:r>
        <w:rPr>
          <w:lang w:val="en-US"/>
        </w:rPr>
        <w:t xml:space="preserve">For example, DE makes a vitally important contribution to the protection and </w:t>
      </w:r>
      <w:r w:rsidR="008D406D">
        <w:rPr>
          <w:lang w:val="en-US"/>
        </w:rPr>
        <w:t>fulfillment</w:t>
      </w:r>
      <w:r>
        <w:rPr>
          <w:lang w:val="en-US"/>
        </w:rPr>
        <w:t xml:space="preserve"> of</w:t>
      </w:r>
      <w:r w:rsidR="008D406D">
        <w:rPr>
          <w:lang w:val="en-US"/>
        </w:rPr>
        <w:t xml:space="preserve"> </w:t>
      </w:r>
      <w:r>
        <w:rPr>
          <w:lang w:val="en-US"/>
        </w:rPr>
        <w:t>children’s survival and development rights as detailed under articles 28 and 29 of the UNCRC (which</w:t>
      </w:r>
      <w:r w:rsidR="008D406D">
        <w:rPr>
          <w:lang w:val="en-US"/>
        </w:rPr>
        <w:t xml:space="preserve"> </w:t>
      </w:r>
      <w:r>
        <w:rPr>
          <w:lang w:val="en-US"/>
        </w:rPr>
        <w:t>relate specifically to a child’s right to a sound and suitable education) and also those under articles 24,</w:t>
      </w:r>
      <w:r w:rsidR="008D406D">
        <w:rPr>
          <w:lang w:val="en-US"/>
        </w:rPr>
        <w:t xml:space="preserve"> </w:t>
      </w:r>
      <w:r>
        <w:rPr>
          <w:lang w:val="en-US"/>
        </w:rPr>
        <w:t>27, 30 and 41.</w:t>
      </w:r>
      <w:r w:rsidR="008D406D">
        <w:rPr>
          <w:lang w:val="en-US"/>
        </w:rPr>
        <w:t xml:space="preserve">  </w:t>
      </w:r>
      <w:r>
        <w:rPr>
          <w:lang w:val="en-US"/>
        </w:rPr>
        <w:t>In addition, the Department seeks to ensure that children’s protection and participation rights</w:t>
      </w:r>
      <w:r w:rsidR="008D406D">
        <w:rPr>
          <w:lang w:val="en-US"/>
        </w:rPr>
        <w:t xml:space="preserve"> </w:t>
      </w:r>
      <w:r>
        <w:rPr>
          <w:lang w:val="en-US"/>
        </w:rPr>
        <w:t>including, for example, those under articles 12, 13, 19, 34 are addressed and fulfilled in developing</w:t>
      </w:r>
      <w:r w:rsidR="008D406D">
        <w:rPr>
          <w:lang w:val="en-US"/>
        </w:rPr>
        <w:t xml:space="preserve"> </w:t>
      </w:r>
      <w:r>
        <w:rPr>
          <w:lang w:val="en-US"/>
        </w:rPr>
        <w:t>and implementing Departmental legislation/policy.</w:t>
      </w:r>
    </w:p>
    <w:p w:rsidR="008D406D" w:rsidRDefault="008D406D" w:rsidP="008D406D">
      <w:pPr>
        <w:pStyle w:val="NICCYBodyText"/>
        <w:rPr>
          <w:lang w:val="en-US"/>
        </w:rPr>
      </w:pPr>
    </w:p>
    <w:p w:rsidR="0018790D" w:rsidRDefault="0018790D" w:rsidP="008D406D">
      <w:pPr>
        <w:pStyle w:val="NICCYBodyText"/>
        <w:rPr>
          <w:lang w:val="en-US"/>
        </w:rPr>
      </w:pPr>
      <w:r>
        <w:rPr>
          <w:lang w:val="en-US"/>
        </w:rPr>
        <w:t>It is important to note, however, that whilst the Westminster Government ratified the Convention in</w:t>
      </w:r>
      <w:r w:rsidR="008D406D">
        <w:rPr>
          <w:lang w:val="en-US"/>
        </w:rPr>
        <w:t xml:space="preserve"> </w:t>
      </w:r>
      <w:r>
        <w:rPr>
          <w:lang w:val="en-US"/>
        </w:rPr>
        <w:t>1991 it has not been directly incorporated into law in GB or the north.</w:t>
      </w:r>
    </w:p>
    <w:p w:rsidR="0018790D" w:rsidRDefault="0018790D" w:rsidP="008D406D">
      <w:pPr>
        <w:pStyle w:val="NICCYBodyText"/>
        <w:rPr>
          <w:lang w:val="en-US"/>
        </w:rPr>
      </w:pPr>
      <w:r>
        <w:rPr>
          <w:lang w:val="en-US"/>
        </w:rPr>
        <w:t>The Office of the First Minister and deputy First Minister (OFMDFM) is the lead department here with</w:t>
      </w:r>
      <w:r w:rsidR="008D406D">
        <w:rPr>
          <w:lang w:val="en-US"/>
        </w:rPr>
        <w:t xml:space="preserve"> </w:t>
      </w:r>
      <w:r>
        <w:rPr>
          <w:lang w:val="en-US"/>
        </w:rPr>
        <w:t>responsibility for co-ordinating Departmental actions to ensure compliance with the Convention and</w:t>
      </w:r>
      <w:r w:rsidR="008D406D">
        <w:rPr>
          <w:lang w:val="en-US"/>
        </w:rPr>
        <w:t xml:space="preserve"> </w:t>
      </w:r>
      <w:r>
        <w:rPr>
          <w:lang w:val="en-US"/>
        </w:rPr>
        <w:t>my Department recently provided detailed information to OFMDFM setting out the actions taken by the</w:t>
      </w:r>
      <w:r w:rsidR="008D406D">
        <w:rPr>
          <w:lang w:val="en-US"/>
        </w:rPr>
        <w:t xml:space="preserve"> Department in this regard.  </w:t>
      </w:r>
      <w:r>
        <w:rPr>
          <w:lang w:val="en-US"/>
        </w:rPr>
        <w:t>I understand that some of this information is reflected in the State Party’s</w:t>
      </w:r>
      <w:r w:rsidR="008D406D">
        <w:rPr>
          <w:lang w:val="en-US"/>
        </w:rPr>
        <w:t xml:space="preserve"> </w:t>
      </w:r>
      <w:r>
        <w:rPr>
          <w:lang w:val="en-US"/>
        </w:rPr>
        <w:t>5th Periodic Report submitted to the United Nations on 23 May 2014.</w:t>
      </w:r>
    </w:p>
    <w:p w:rsidR="0018790D" w:rsidRDefault="0018790D" w:rsidP="0018790D">
      <w:pPr>
        <w:rPr>
          <w:rFonts w:ascii="ITCFranklinGothicBook" w:hAnsi="ITCFranklinGothicBook" w:cs="ITCFranklinGothicBook"/>
          <w:sz w:val="20"/>
          <w:szCs w:val="20"/>
          <w:lang w:val="en-US"/>
        </w:rPr>
      </w:pPr>
    </w:p>
    <w:p w:rsidR="00581031" w:rsidRPr="00581031" w:rsidRDefault="002229F6" w:rsidP="00581031">
      <w:hyperlink w:anchor="_top" w:history="1">
        <w:r w:rsidR="008D406D" w:rsidRPr="007715F2">
          <w:rPr>
            <w:rStyle w:val="Hyperlink"/>
          </w:rPr>
          <w:t>Back to Top</w:t>
        </w:r>
      </w:hyperlink>
      <w:bookmarkStart w:id="8" w:name="_Woodlands_Speech_and"/>
      <w:bookmarkEnd w:id="8"/>
      <w:r w:rsidR="00581031">
        <w:br/>
      </w:r>
    </w:p>
    <w:p w:rsidR="0018790D" w:rsidRPr="008D406D" w:rsidRDefault="0018790D" w:rsidP="008D406D">
      <w:pPr>
        <w:pStyle w:val="Heading2"/>
        <w:rPr>
          <w:color w:val="23A4DE"/>
          <w:lang w:val="en-US"/>
        </w:rPr>
      </w:pPr>
      <w:r w:rsidRPr="008D406D">
        <w:rPr>
          <w:color w:val="23A4DE"/>
          <w:lang w:val="en-US"/>
        </w:rPr>
        <w:lastRenderedPageBreak/>
        <w:t>Woodlands Speech and Language Unit</w:t>
      </w:r>
    </w:p>
    <w:p w:rsidR="0018790D" w:rsidRDefault="0018790D" w:rsidP="008D406D">
      <w:pPr>
        <w:pStyle w:val="NICCYBodyText"/>
        <w:rPr>
          <w:lang w:val="en-US"/>
        </w:rPr>
      </w:pPr>
      <w:r w:rsidRPr="008D406D">
        <w:rPr>
          <w:rFonts w:ascii="ITCFranklinGothicDemi" w:hAnsi="ITCFranklinGothicDemi" w:cs="ITCFranklinGothicDemi"/>
          <w:b/>
          <w:lang w:val="en-US"/>
        </w:rPr>
        <w:t>Mr P Ramsey</w:t>
      </w:r>
      <w:r>
        <w:rPr>
          <w:rFonts w:ascii="ITCFranklinGothicDemi" w:hAnsi="ITCFranklinGothicDemi" w:cs="ITCFranklinGothicDemi"/>
          <w:lang w:val="en-US"/>
        </w:rPr>
        <w:t xml:space="preserve"> </w:t>
      </w:r>
      <w:r>
        <w:rPr>
          <w:lang w:val="en-US"/>
        </w:rPr>
        <w:t>asked the Minister of Education what provision is available for Key Stage Two students in</w:t>
      </w:r>
      <w:r w:rsidR="008D406D">
        <w:rPr>
          <w:lang w:val="en-US"/>
        </w:rPr>
        <w:t xml:space="preserve"> </w:t>
      </w:r>
      <w:r>
        <w:rPr>
          <w:lang w:val="en-US"/>
        </w:rPr>
        <w:t>the new language classes replacing the Woodlands Speech and Language Unit.</w:t>
      </w:r>
    </w:p>
    <w:p w:rsidR="0018790D" w:rsidRDefault="0018790D" w:rsidP="008D406D">
      <w:pPr>
        <w:pStyle w:val="NICCYBodyText"/>
        <w:rPr>
          <w:rFonts w:ascii="ITCFranklinGothicDemi" w:hAnsi="ITCFranklinGothicDemi" w:cs="ITCFranklinGothicDemi"/>
          <w:lang w:val="en-US"/>
        </w:rPr>
      </w:pPr>
      <w:r>
        <w:rPr>
          <w:rFonts w:ascii="ITCFranklinGothicDemi" w:hAnsi="ITCFranklinGothicDemi" w:cs="ITCFranklinGothicDemi"/>
          <w:lang w:val="en-US"/>
        </w:rPr>
        <w:t>(AQW 33736/11-15)</w:t>
      </w:r>
    </w:p>
    <w:p w:rsidR="008D406D" w:rsidRDefault="008D406D" w:rsidP="008D406D">
      <w:pPr>
        <w:pStyle w:val="NICCYBodyText"/>
        <w:rPr>
          <w:rFonts w:ascii="ITCFranklinGothicDemi" w:hAnsi="ITCFranklinGothicDemi" w:cs="ITCFranklinGothicDemi"/>
          <w:lang w:val="en-US"/>
        </w:rPr>
      </w:pPr>
    </w:p>
    <w:p w:rsidR="0018790D" w:rsidRDefault="0018790D" w:rsidP="008D406D">
      <w:pPr>
        <w:pStyle w:val="NICCYBodyText"/>
        <w:rPr>
          <w:lang w:val="en-US"/>
        </w:rPr>
      </w:pPr>
      <w:r w:rsidRPr="008D406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Western Education and Library Board has advised that, from September 2014, there</w:t>
      </w:r>
      <w:r w:rsidR="008D406D">
        <w:rPr>
          <w:lang w:val="en-US"/>
        </w:rPr>
        <w:t xml:space="preserve"> </w:t>
      </w:r>
      <w:r>
        <w:rPr>
          <w:lang w:val="en-US"/>
        </w:rPr>
        <w:t>will be speech and language classes located at Ebrington Primary School, St. Anne’s Primary School</w:t>
      </w:r>
      <w:r w:rsidR="008D406D">
        <w:rPr>
          <w:lang w:val="en-US"/>
        </w:rPr>
        <w:t xml:space="preserve"> and Ballykelly Primary School.  </w:t>
      </w:r>
      <w:r>
        <w:rPr>
          <w:lang w:val="en-US"/>
        </w:rPr>
        <w:t>These classes will be able to cater for pupils with speech and language</w:t>
      </w:r>
      <w:r w:rsidR="008D406D">
        <w:rPr>
          <w:lang w:val="en-US"/>
        </w:rPr>
        <w:t xml:space="preserve"> </w:t>
      </w:r>
      <w:r>
        <w:rPr>
          <w:lang w:val="en-US"/>
        </w:rPr>
        <w:t>difficulties at Key Stages One and Two with provision being tailored to the individual learning needs of</w:t>
      </w:r>
      <w:r w:rsidR="008D406D">
        <w:rPr>
          <w:lang w:val="en-US"/>
        </w:rPr>
        <w:t xml:space="preserve"> </w:t>
      </w:r>
      <w:r>
        <w:rPr>
          <w:lang w:val="en-US"/>
        </w:rPr>
        <w:t>each pupil attending these units.</w:t>
      </w:r>
    </w:p>
    <w:p w:rsidR="008D406D" w:rsidRDefault="002229F6" w:rsidP="008D406D">
      <w:hyperlink w:anchor="_top" w:history="1">
        <w:r w:rsidR="008D406D" w:rsidRPr="007715F2">
          <w:rPr>
            <w:rStyle w:val="Hyperlink"/>
          </w:rPr>
          <w:t>Back to Top</w:t>
        </w:r>
      </w:hyperlink>
    </w:p>
    <w:p w:rsidR="008D406D" w:rsidRDefault="008D406D" w:rsidP="0018790D">
      <w:pPr>
        <w:rPr>
          <w:rFonts w:ascii="ITCFranklinGothicBook" w:hAnsi="ITCFranklinGothicBook" w:cs="ITCFranklinGothicBook"/>
          <w:sz w:val="20"/>
          <w:szCs w:val="20"/>
          <w:lang w:val="en-US"/>
        </w:rPr>
      </w:pPr>
    </w:p>
    <w:p w:rsidR="0018790D" w:rsidRPr="00581031" w:rsidRDefault="0018790D" w:rsidP="008D406D">
      <w:pPr>
        <w:pStyle w:val="Heading2"/>
        <w:rPr>
          <w:color w:val="23A4DE"/>
          <w:lang w:val="en-US"/>
        </w:rPr>
      </w:pPr>
      <w:bookmarkStart w:id="9" w:name="_GCSE_and_A"/>
      <w:bookmarkEnd w:id="9"/>
      <w:r w:rsidRPr="00581031">
        <w:rPr>
          <w:color w:val="23A4DE"/>
          <w:lang w:val="en-US"/>
        </w:rPr>
        <w:t>GCSE and A Level Politics</w:t>
      </w:r>
    </w:p>
    <w:p w:rsidR="0018790D" w:rsidRDefault="0018790D" w:rsidP="008D406D">
      <w:pPr>
        <w:pStyle w:val="NICCYBodyText"/>
        <w:rPr>
          <w:lang w:val="en-US"/>
        </w:rPr>
      </w:pPr>
      <w:r w:rsidRPr="008D406D">
        <w:rPr>
          <w:rFonts w:ascii="ITCFranklinGothicDemi" w:hAnsi="ITCFranklinGothicDemi" w:cs="ITCFranklinGothicDemi"/>
          <w:b/>
          <w:lang w:val="en-US"/>
        </w:rPr>
        <w:t>Mr Weir</w:t>
      </w:r>
      <w:r>
        <w:rPr>
          <w:rFonts w:ascii="ITCFranklinGothicDemi" w:hAnsi="ITCFranklinGothicDemi" w:cs="ITCFranklinGothicDemi"/>
          <w:lang w:val="en-US"/>
        </w:rPr>
        <w:t xml:space="preserve"> </w:t>
      </w:r>
      <w:r>
        <w:rPr>
          <w:lang w:val="en-US"/>
        </w:rPr>
        <w:t>asked the Minister of Education how many pupils studied (</w:t>
      </w:r>
      <w:proofErr w:type="spellStart"/>
      <w:r>
        <w:rPr>
          <w:lang w:val="en-US"/>
        </w:rPr>
        <w:t>i</w:t>
      </w:r>
      <w:proofErr w:type="spellEnd"/>
      <w:r>
        <w:rPr>
          <w:lang w:val="en-US"/>
        </w:rPr>
        <w:t>) GCSE; and (ii) A Level politics in</w:t>
      </w:r>
      <w:r w:rsidR="008D406D">
        <w:rPr>
          <w:lang w:val="en-US"/>
        </w:rPr>
        <w:t xml:space="preserve"> </w:t>
      </w:r>
      <w:r>
        <w:rPr>
          <w:lang w:val="en-US"/>
        </w:rPr>
        <w:t>each of the last ten years.</w:t>
      </w:r>
    </w:p>
    <w:p w:rsidR="0018790D" w:rsidRDefault="0018790D" w:rsidP="008D406D">
      <w:pPr>
        <w:pStyle w:val="NICCYBodyText"/>
        <w:rPr>
          <w:rFonts w:ascii="ITCFranklinGothicDemi" w:hAnsi="ITCFranklinGothicDemi" w:cs="ITCFranklinGothicDemi"/>
          <w:lang w:val="en-US"/>
        </w:rPr>
      </w:pPr>
      <w:r>
        <w:rPr>
          <w:rFonts w:ascii="ITCFranklinGothicDemi" w:hAnsi="ITCFranklinGothicDemi" w:cs="ITCFranklinGothicDemi"/>
          <w:lang w:val="en-US"/>
        </w:rPr>
        <w:t>(AQW 33784/11-15)</w:t>
      </w:r>
    </w:p>
    <w:p w:rsidR="008D406D" w:rsidRDefault="008D406D" w:rsidP="008D406D">
      <w:pPr>
        <w:pStyle w:val="NICCYBodyText"/>
        <w:rPr>
          <w:rFonts w:ascii="ITCFranklinGothicDemi" w:hAnsi="ITCFranklinGothicDemi" w:cs="ITCFranklinGothicDemi"/>
          <w:lang w:val="en-US"/>
        </w:rPr>
      </w:pPr>
    </w:p>
    <w:p w:rsidR="0018790D" w:rsidRDefault="0018790D" w:rsidP="008D406D">
      <w:pPr>
        <w:pStyle w:val="NICCYBodyText"/>
        <w:rPr>
          <w:lang w:val="en-US"/>
        </w:rPr>
      </w:pPr>
      <w:r w:rsidRPr="008D406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information requested is contained in the table below.</w:t>
      </w:r>
    </w:p>
    <w:p w:rsidR="0018790D" w:rsidRPr="008D406D" w:rsidRDefault="0018790D" w:rsidP="008D406D">
      <w:pPr>
        <w:pStyle w:val="NICCYBodyText"/>
        <w:rPr>
          <w:rFonts w:ascii="ITCFranklinGothicDemi" w:hAnsi="ITCFranklinGothicDemi" w:cs="ITCFranklinGothicDemi"/>
          <w:lang w:val="en-US"/>
        </w:rPr>
      </w:pPr>
      <w:r w:rsidRPr="008D406D">
        <w:rPr>
          <w:rFonts w:ascii="ITCFranklinGothicDemi" w:hAnsi="ITCFranklinGothicDemi" w:cs="ITCFranklinGothicDemi"/>
          <w:lang w:val="en-US"/>
        </w:rPr>
        <w:t>Number of Pupils who made one or more examination entry in Politics at either GCSE or A-level,</w:t>
      </w:r>
      <w:r w:rsidR="008D406D" w:rsidRPr="008D406D">
        <w:rPr>
          <w:rFonts w:ascii="ITCFranklinGothicDemi" w:hAnsi="ITCFranklinGothicDemi" w:cs="ITCFranklinGothicDemi"/>
          <w:lang w:val="en-US"/>
        </w:rPr>
        <w:t xml:space="preserve"> </w:t>
      </w:r>
      <w:r w:rsidRPr="008D406D">
        <w:rPr>
          <w:rFonts w:ascii="ITCFranklinGothicDemi" w:hAnsi="ITCFranklinGothicDemi" w:cs="ITCFranklinGothicDemi"/>
          <w:lang w:val="en-US"/>
        </w:rPr>
        <w:t>2003/04 – 2012/13</w:t>
      </w:r>
    </w:p>
    <w:p w:rsidR="008D406D" w:rsidRDefault="008D406D" w:rsidP="008D406D">
      <w:pPr>
        <w:pStyle w:val="NICCYBodyText"/>
        <w:rPr>
          <w:rFonts w:ascii="ITCFranklinGothicDemi" w:hAnsi="ITCFranklinGothicDemi" w:cs="ITCFranklinGothicDemi"/>
          <w:lang w:val="en-US"/>
        </w:rPr>
      </w:pPr>
    </w:p>
    <w:tbl>
      <w:tblPr>
        <w:tblStyle w:val="TableGrid"/>
        <w:tblW w:w="0" w:type="auto"/>
        <w:tblLook w:val="04A0"/>
      </w:tblPr>
      <w:tblGrid>
        <w:gridCol w:w="3282"/>
        <w:gridCol w:w="3283"/>
        <w:gridCol w:w="3283"/>
      </w:tblGrid>
      <w:tr w:rsidR="008D406D" w:rsidRPr="00581031" w:rsidTr="008D406D">
        <w:tc>
          <w:tcPr>
            <w:tcW w:w="3282" w:type="dxa"/>
          </w:tcPr>
          <w:p w:rsidR="008D406D" w:rsidRPr="00581031" w:rsidRDefault="008D406D" w:rsidP="008D406D">
            <w:pPr>
              <w:pStyle w:val="NICCYBodyText"/>
              <w:rPr>
                <w:b/>
                <w:sz w:val="22"/>
                <w:szCs w:val="22"/>
              </w:rPr>
            </w:pPr>
            <w:r w:rsidRPr="00581031">
              <w:rPr>
                <w:b/>
                <w:sz w:val="22"/>
                <w:szCs w:val="22"/>
              </w:rPr>
              <w:t>Year</w:t>
            </w:r>
          </w:p>
        </w:tc>
        <w:tc>
          <w:tcPr>
            <w:tcW w:w="3283" w:type="dxa"/>
          </w:tcPr>
          <w:p w:rsidR="008D406D" w:rsidRPr="00581031" w:rsidRDefault="008D406D" w:rsidP="008D406D">
            <w:pPr>
              <w:pStyle w:val="NICCYBodyText"/>
              <w:rPr>
                <w:rFonts w:ascii="ITCFranklinGothicDemi" w:hAnsi="ITCFranklinGothicDemi" w:cs="ITCFranklinGothicDemi"/>
                <w:b/>
                <w:sz w:val="22"/>
                <w:szCs w:val="22"/>
                <w:lang w:val="en-US"/>
              </w:rPr>
            </w:pPr>
            <w:r w:rsidRPr="00581031">
              <w:rPr>
                <w:rFonts w:ascii="ITCFranklinGothicDemi" w:hAnsi="ITCFranklinGothicDemi" w:cs="ITCFranklinGothicDemi"/>
                <w:b/>
                <w:sz w:val="22"/>
                <w:szCs w:val="22"/>
                <w:lang w:val="en-US"/>
              </w:rPr>
              <w:t>Pupils with examination entries in GCSE Politics</w:t>
            </w:r>
          </w:p>
        </w:tc>
        <w:tc>
          <w:tcPr>
            <w:tcW w:w="3283" w:type="dxa"/>
          </w:tcPr>
          <w:p w:rsidR="008D406D" w:rsidRPr="00581031" w:rsidRDefault="008D406D" w:rsidP="008D406D">
            <w:pPr>
              <w:pStyle w:val="NICCYBodyText"/>
              <w:rPr>
                <w:rFonts w:ascii="ITCFranklinGothicDemi" w:hAnsi="ITCFranklinGothicDemi" w:cs="ITCFranklinGothicDemi"/>
                <w:b/>
                <w:sz w:val="22"/>
                <w:szCs w:val="22"/>
                <w:lang w:val="en-US"/>
              </w:rPr>
            </w:pPr>
            <w:r w:rsidRPr="00581031">
              <w:rPr>
                <w:rFonts w:ascii="ITCFranklinGothicDemi" w:hAnsi="ITCFranklinGothicDemi" w:cs="ITCFranklinGothicDemi"/>
                <w:b/>
                <w:sz w:val="22"/>
                <w:szCs w:val="22"/>
                <w:lang w:val="en-US"/>
              </w:rPr>
              <w:t>Pupils with examination entries in A-level Politics</w:t>
            </w:r>
          </w:p>
        </w:tc>
      </w:tr>
      <w:tr w:rsidR="008D406D" w:rsidRPr="00581031" w:rsidTr="008D406D">
        <w:tc>
          <w:tcPr>
            <w:tcW w:w="3282" w:type="dxa"/>
          </w:tcPr>
          <w:p w:rsidR="008D406D" w:rsidRPr="00581031" w:rsidRDefault="008D406D"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2003/04</w:t>
            </w:r>
          </w:p>
        </w:tc>
        <w:tc>
          <w:tcPr>
            <w:tcW w:w="3283" w:type="dxa"/>
          </w:tcPr>
          <w:p w:rsidR="008D406D" w:rsidRPr="00581031" w:rsidRDefault="008D406D"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8D406D" w:rsidRPr="00581031" w:rsidRDefault="008D406D"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1078</w:t>
            </w:r>
          </w:p>
        </w:tc>
      </w:tr>
      <w:tr w:rsidR="008D406D" w:rsidRPr="00581031" w:rsidTr="008D406D">
        <w:tc>
          <w:tcPr>
            <w:tcW w:w="3282" w:type="dxa"/>
          </w:tcPr>
          <w:p w:rsidR="008D406D"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2004/05</w:t>
            </w:r>
          </w:p>
        </w:tc>
        <w:tc>
          <w:tcPr>
            <w:tcW w:w="3283" w:type="dxa"/>
          </w:tcPr>
          <w:p w:rsidR="008D406D"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8D406D"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1115</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2005/06</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1090</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2006/07</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1011</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2007/08</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978</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2008/09</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1018</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2009/10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931</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2010/11</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1050</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2011/12</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992</w:t>
            </w:r>
          </w:p>
        </w:tc>
      </w:tr>
      <w:tr w:rsidR="00581031" w:rsidRPr="00581031" w:rsidTr="008D406D">
        <w:tc>
          <w:tcPr>
            <w:tcW w:w="3282"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2012/13</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0</w:t>
            </w:r>
          </w:p>
        </w:tc>
        <w:tc>
          <w:tcPr>
            <w:tcW w:w="3283" w:type="dxa"/>
          </w:tcPr>
          <w:p w:rsidR="00581031" w:rsidRPr="00581031" w:rsidRDefault="00581031" w:rsidP="008D406D">
            <w:pPr>
              <w:pStyle w:val="NICCYBodyText"/>
              <w:rPr>
                <w:rFonts w:ascii="ITCFranklinGothicDemi" w:hAnsi="ITCFranklinGothicDemi" w:cs="ITCFranklinGothicDemi"/>
                <w:sz w:val="22"/>
                <w:szCs w:val="22"/>
                <w:lang w:val="en-US"/>
              </w:rPr>
            </w:pPr>
            <w:r w:rsidRPr="00581031">
              <w:rPr>
                <w:rFonts w:ascii="ITCFranklinGothicDemi" w:hAnsi="ITCFranklinGothicDemi" w:cs="ITCFranklinGothicDemi"/>
                <w:sz w:val="22"/>
                <w:szCs w:val="22"/>
                <w:lang w:val="en-US"/>
              </w:rPr>
              <w:t>1001</w:t>
            </w:r>
          </w:p>
        </w:tc>
      </w:tr>
    </w:tbl>
    <w:p w:rsidR="00581031" w:rsidRDefault="00581031" w:rsidP="00581031">
      <w:pPr>
        <w:pStyle w:val="NICCYBodyText"/>
        <w:rPr>
          <w:sz w:val="18"/>
          <w:szCs w:val="18"/>
          <w:lang w:val="en-US"/>
        </w:rPr>
      </w:pPr>
      <w:r>
        <w:rPr>
          <w:rFonts w:ascii="ITCFranklinGothicDemi" w:hAnsi="ITCFranklinGothicDemi" w:cs="ITCFranklinGothicDemi"/>
          <w:sz w:val="18"/>
          <w:szCs w:val="18"/>
          <w:lang w:val="en-US"/>
        </w:rPr>
        <w:t>Source</w:t>
      </w:r>
      <w:r>
        <w:rPr>
          <w:sz w:val="18"/>
          <w:szCs w:val="18"/>
          <w:lang w:val="en-US"/>
        </w:rPr>
        <w:t>: RM Education</w:t>
      </w:r>
    </w:p>
    <w:p w:rsidR="00581031" w:rsidRDefault="00581031" w:rsidP="00581031"/>
    <w:p w:rsidR="00581031" w:rsidRDefault="002229F6" w:rsidP="00581031">
      <w:hyperlink w:anchor="_top" w:history="1">
        <w:r w:rsidR="00581031" w:rsidRPr="007715F2">
          <w:rPr>
            <w:rStyle w:val="Hyperlink"/>
          </w:rPr>
          <w:t>Back to Top</w:t>
        </w:r>
      </w:hyperlink>
    </w:p>
    <w:p w:rsidR="0018790D" w:rsidRPr="00581031" w:rsidRDefault="0018790D" w:rsidP="00581031">
      <w:pPr>
        <w:pStyle w:val="Heading2"/>
        <w:rPr>
          <w:color w:val="23A4DE"/>
          <w:lang w:val="en-US"/>
        </w:rPr>
      </w:pPr>
      <w:bookmarkStart w:id="10" w:name="_Shankill_Manifesto_for"/>
      <w:bookmarkEnd w:id="10"/>
      <w:r w:rsidRPr="00581031">
        <w:rPr>
          <w:color w:val="23A4DE"/>
          <w:lang w:val="en-US"/>
        </w:rPr>
        <w:lastRenderedPageBreak/>
        <w:t>Shankill Manifesto for Education</w:t>
      </w:r>
    </w:p>
    <w:p w:rsidR="0018790D" w:rsidRDefault="0018790D" w:rsidP="00581031">
      <w:pPr>
        <w:pStyle w:val="NICCYBodyText"/>
        <w:rPr>
          <w:lang w:val="en-US"/>
        </w:rPr>
      </w:pPr>
      <w:r w:rsidRPr="00581031">
        <w:rPr>
          <w:rFonts w:ascii="ITCFranklinGothicDemi" w:hAnsi="ITCFranklinGothicDemi" w:cs="ITCFranklinGothicDemi"/>
          <w:b/>
          <w:lang w:val="en-US"/>
        </w:rPr>
        <w:t>Mr Humphrey</w:t>
      </w:r>
      <w:r>
        <w:rPr>
          <w:rFonts w:ascii="ITCFranklinGothicDemi" w:hAnsi="ITCFranklinGothicDemi" w:cs="ITCFranklinGothicDemi"/>
          <w:lang w:val="en-US"/>
        </w:rPr>
        <w:t xml:space="preserve"> </w:t>
      </w:r>
      <w:r>
        <w:rPr>
          <w:lang w:val="en-US"/>
        </w:rPr>
        <w:t>asked the Minister of Education for an update on the implementation of the Shankill</w:t>
      </w:r>
      <w:r w:rsidR="00581031">
        <w:rPr>
          <w:lang w:val="en-US"/>
        </w:rPr>
        <w:t xml:space="preserve"> </w:t>
      </w:r>
      <w:r>
        <w:rPr>
          <w:lang w:val="en-US"/>
        </w:rPr>
        <w:t>Manifesto for Education.</w:t>
      </w:r>
    </w:p>
    <w:p w:rsidR="0018790D" w:rsidRDefault="0018790D" w:rsidP="00581031">
      <w:pPr>
        <w:pStyle w:val="NICCYBodyText"/>
        <w:rPr>
          <w:rFonts w:ascii="ITCFranklinGothicDemi" w:hAnsi="ITCFranklinGothicDemi" w:cs="ITCFranklinGothicDemi"/>
          <w:lang w:val="en-US"/>
        </w:rPr>
      </w:pPr>
      <w:r>
        <w:rPr>
          <w:rFonts w:ascii="ITCFranklinGothicDemi" w:hAnsi="ITCFranklinGothicDemi" w:cs="ITCFranklinGothicDemi"/>
          <w:lang w:val="en-US"/>
        </w:rPr>
        <w:t>(AQO 6223/11-15)</w:t>
      </w:r>
    </w:p>
    <w:p w:rsidR="00581031" w:rsidRDefault="00581031" w:rsidP="00581031">
      <w:pPr>
        <w:pStyle w:val="NICCYBodyText"/>
        <w:rPr>
          <w:rFonts w:ascii="ITCFranklinGothicDemi" w:hAnsi="ITCFranklinGothicDemi" w:cs="ITCFranklinGothicDemi"/>
          <w:lang w:val="en-US"/>
        </w:rPr>
      </w:pPr>
    </w:p>
    <w:p w:rsidR="0018790D" w:rsidRDefault="0018790D" w:rsidP="00581031">
      <w:pPr>
        <w:pStyle w:val="NICCYBodyText"/>
        <w:rPr>
          <w:lang w:val="en-US"/>
        </w:rPr>
      </w:pPr>
      <w:r w:rsidRPr="0058103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met with Nigel Dodds MP and Jackie Redpath of the Greater Shankill Partnership Board</w:t>
      </w:r>
      <w:r w:rsidR="00581031">
        <w:rPr>
          <w:lang w:val="en-US"/>
        </w:rPr>
        <w:t xml:space="preserve"> </w:t>
      </w:r>
      <w:r>
        <w:rPr>
          <w:lang w:val="en-US"/>
        </w:rPr>
        <w:t>in December 2013 to discuss the Shankill Manifesto for Education.</w:t>
      </w:r>
    </w:p>
    <w:p w:rsidR="0018790D" w:rsidRDefault="0018790D" w:rsidP="00581031">
      <w:pPr>
        <w:pStyle w:val="NICCYBodyText"/>
        <w:rPr>
          <w:lang w:val="en-US"/>
        </w:rPr>
      </w:pPr>
      <w:r>
        <w:rPr>
          <w:lang w:val="en-US"/>
        </w:rPr>
        <w:t>Since that meeting the Partnership Board has submitted a new proposal to the Department for the</w:t>
      </w:r>
      <w:r w:rsidR="00581031">
        <w:rPr>
          <w:lang w:val="en-US"/>
        </w:rPr>
        <w:t xml:space="preserve"> </w:t>
      </w:r>
      <w:r>
        <w:rPr>
          <w:lang w:val="en-US"/>
        </w:rPr>
        <w:t>development of a framework for collaborative working by relevant agencies and partners with the aim of</w:t>
      </w:r>
      <w:r w:rsidR="00581031">
        <w:rPr>
          <w:lang w:val="en-US"/>
        </w:rPr>
        <w:t xml:space="preserve"> </w:t>
      </w:r>
      <w:r>
        <w:rPr>
          <w:lang w:val="en-US"/>
        </w:rPr>
        <w:t>designating the area a ‘Children’s Zone’.</w:t>
      </w:r>
    </w:p>
    <w:p w:rsidR="00581031" w:rsidRDefault="00581031" w:rsidP="00581031">
      <w:pPr>
        <w:pStyle w:val="NICCYBodyText"/>
        <w:rPr>
          <w:lang w:val="en-US"/>
        </w:rPr>
      </w:pPr>
    </w:p>
    <w:p w:rsidR="0018790D" w:rsidRDefault="0018790D" w:rsidP="00581031">
      <w:pPr>
        <w:pStyle w:val="NICCYBodyText"/>
        <w:rPr>
          <w:lang w:val="en-US"/>
        </w:rPr>
      </w:pPr>
      <w:r>
        <w:rPr>
          <w:lang w:val="en-US"/>
        </w:rPr>
        <w:t>I am heartened by the commitment shown by the community leaders and their recognition that the</w:t>
      </w:r>
      <w:r w:rsidR="00581031">
        <w:rPr>
          <w:lang w:val="en-US"/>
        </w:rPr>
        <w:t xml:space="preserve"> </w:t>
      </w:r>
      <w:r>
        <w:rPr>
          <w:lang w:val="en-US"/>
        </w:rPr>
        <w:t>community itself has a particular and significant role to play.</w:t>
      </w:r>
      <w:r w:rsidR="00581031">
        <w:rPr>
          <w:lang w:val="en-US"/>
        </w:rPr>
        <w:t xml:space="preserve">  </w:t>
      </w:r>
      <w:r>
        <w:rPr>
          <w:lang w:val="en-US"/>
        </w:rPr>
        <w:t>I am committed to supporting the framework and their proposal to designate the area as a ‘Shankill</w:t>
      </w:r>
    </w:p>
    <w:p w:rsidR="0018790D" w:rsidRDefault="0018790D" w:rsidP="00581031">
      <w:pPr>
        <w:pStyle w:val="NICCYBodyText"/>
        <w:rPr>
          <w:lang w:val="en-US"/>
        </w:rPr>
      </w:pPr>
      <w:r>
        <w:rPr>
          <w:lang w:val="en-US"/>
        </w:rPr>
        <w:t>Children’s Zone’.</w:t>
      </w:r>
      <w:r w:rsidR="00581031">
        <w:rPr>
          <w:lang w:val="en-US"/>
        </w:rPr>
        <w:t xml:space="preserve">  </w:t>
      </w:r>
      <w:r>
        <w:rPr>
          <w:lang w:val="en-US"/>
        </w:rPr>
        <w:t>I understand that the community are not at the implementation stage and that there is still work to be</w:t>
      </w:r>
      <w:r w:rsidR="00581031">
        <w:rPr>
          <w:lang w:val="en-US"/>
        </w:rPr>
        <w:t xml:space="preserve"> </w:t>
      </w:r>
      <w:r>
        <w:rPr>
          <w:lang w:val="en-US"/>
        </w:rPr>
        <w:t>undertake</w:t>
      </w:r>
      <w:r w:rsidR="00581031">
        <w:rPr>
          <w:lang w:val="en-US"/>
        </w:rPr>
        <w:t xml:space="preserve">n with regard to the framework.  </w:t>
      </w:r>
      <w:r>
        <w:rPr>
          <w:lang w:val="en-US"/>
        </w:rPr>
        <w:t>However my officials have been working closely with Jackie</w:t>
      </w:r>
      <w:r w:rsidR="00581031">
        <w:rPr>
          <w:lang w:val="en-US"/>
        </w:rPr>
        <w:t xml:space="preserve"> </w:t>
      </w:r>
      <w:r>
        <w:rPr>
          <w:lang w:val="en-US"/>
        </w:rPr>
        <w:t>Redpath and the Greater Shankill Partnership Board and will continue to do so.</w:t>
      </w:r>
    </w:p>
    <w:p w:rsidR="0018790D" w:rsidRDefault="0018790D" w:rsidP="0018790D">
      <w:pPr>
        <w:rPr>
          <w:rFonts w:ascii="ITCFranklinGothicBook" w:hAnsi="ITCFranklinGothicBook" w:cs="ITCFranklinGothicBook"/>
          <w:sz w:val="20"/>
          <w:szCs w:val="20"/>
          <w:lang w:val="en-US"/>
        </w:rPr>
      </w:pPr>
    </w:p>
    <w:p w:rsidR="00581031" w:rsidRDefault="002229F6" w:rsidP="00581031">
      <w:hyperlink w:anchor="_top" w:history="1">
        <w:r w:rsidR="00581031" w:rsidRPr="007715F2">
          <w:rPr>
            <w:rStyle w:val="Hyperlink"/>
          </w:rPr>
          <w:t>Back to Top</w:t>
        </w:r>
      </w:hyperlink>
    </w:p>
    <w:p w:rsidR="00581031" w:rsidRDefault="00581031" w:rsidP="0018790D">
      <w:pPr>
        <w:rPr>
          <w:rFonts w:ascii="ITCFranklinGothicBook" w:hAnsi="ITCFranklinGothicBook" w:cs="ITCFranklinGothicBook"/>
          <w:sz w:val="20"/>
          <w:szCs w:val="20"/>
          <w:lang w:val="en-US"/>
        </w:rPr>
      </w:pPr>
    </w:p>
    <w:p w:rsidR="0018790D" w:rsidRPr="00581031" w:rsidRDefault="0018790D" w:rsidP="00581031">
      <w:pPr>
        <w:pStyle w:val="Heading2"/>
        <w:rPr>
          <w:color w:val="23A4DE"/>
          <w:lang w:val="en-US"/>
        </w:rPr>
      </w:pPr>
      <w:bookmarkStart w:id="11" w:name="_Free_School_Meals"/>
      <w:bookmarkEnd w:id="11"/>
      <w:r w:rsidRPr="00581031">
        <w:rPr>
          <w:color w:val="23A4DE"/>
          <w:lang w:val="en-US"/>
        </w:rPr>
        <w:t>Free School Meals</w:t>
      </w:r>
    </w:p>
    <w:p w:rsidR="0018790D" w:rsidRDefault="0018790D" w:rsidP="00581031">
      <w:pPr>
        <w:pStyle w:val="NICCYBodyText"/>
        <w:rPr>
          <w:lang w:val="en-US"/>
        </w:rPr>
      </w:pPr>
      <w:r w:rsidRPr="00581031">
        <w:rPr>
          <w:rFonts w:ascii="ITCFranklinGothicDemi" w:hAnsi="ITCFranklinGothicDemi" w:cs="ITCFranklinGothicDemi"/>
          <w:b/>
          <w:lang w:val="en-US"/>
        </w:rPr>
        <w:t>Mr Brady</w:t>
      </w:r>
      <w:r>
        <w:rPr>
          <w:rFonts w:ascii="ITCFranklinGothicDemi" w:hAnsi="ITCFranklinGothicDemi" w:cs="ITCFranklinGothicDemi"/>
          <w:lang w:val="en-US"/>
        </w:rPr>
        <w:t xml:space="preserve"> </w:t>
      </w:r>
      <w:r>
        <w:rPr>
          <w:lang w:val="en-US"/>
        </w:rPr>
        <w:t>asked the Minister of Education whether his Department will benefit from additional</w:t>
      </w:r>
      <w:r w:rsidR="00581031">
        <w:rPr>
          <w:lang w:val="en-US"/>
        </w:rPr>
        <w:t xml:space="preserve"> </w:t>
      </w:r>
      <w:r>
        <w:rPr>
          <w:lang w:val="en-US"/>
        </w:rPr>
        <w:t>resources as a result of the Barnett Consequentials following the decision to extend Free School Meal</w:t>
      </w:r>
      <w:r w:rsidR="00581031">
        <w:rPr>
          <w:lang w:val="en-US"/>
        </w:rPr>
        <w:t xml:space="preserve"> </w:t>
      </w:r>
      <w:r>
        <w:rPr>
          <w:lang w:val="en-US"/>
        </w:rPr>
        <w:t>entitlement in England.</w:t>
      </w:r>
    </w:p>
    <w:p w:rsidR="0018790D" w:rsidRDefault="0018790D" w:rsidP="00581031">
      <w:pPr>
        <w:pStyle w:val="NICCYBodyText"/>
        <w:rPr>
          <w:rFonts w:ascii="ITCFranklinGothicDemi" w:hAnsi="ITCFranklinGothicDemi" w:cs="ITCFranklinGothicDemi"/>
          <w:lang w:val="en-US"/>
        </w:rPr>
      </w:pPr>
      <w:r>
        <w:rPr>
          <w:rFonts w:ascii="ITCFranklinGothicDemi" w:hAnsi="ITCFranklinGothicDemi" w:cs="ITCFranklinGothicDemi"/>
          <w:lang w:val="en-US"/>
        </w:rPr>
        <w:t>(AQO 6227/11-15)</w:t>
      </w:r>
    </w:p>
    <w:p w:rsidR="00581031" w:rsidRDefault="00581031" w:rsidP="00581031">
      <w:pPr>
        <w:pStyle w:val="NICCYBodyText"/>
        <w:rPr>
          <w:rFonts w:ascii="ITCFranklinGothicDemi" w:hAnsi="ITCFranklinGothicDemi" w:cs="ITCFranklinGothicDemi"/>
          <w:lang w:val="en-US"/>
        </w:rPr>
      </w:pPr>
    </w:p>
    <w:p w:rsidR="0018790D" w:rsidRDefault="0018790D" w:rsidP="00581031">
      <w:pPr>
        <w:pStyle w:val="NICCYBodyText"/>
        <w:rPr>
          <w:lang w:val="en-US"/>
        </w:rPr>
      </w:pPr>
      <w:r w:rsidRPr="0058103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All Barnett consequentials are unhypothecated and hence it is up to the Executive to</w:t>
      </w:r>
      <w:r w:rsidR="00581031">
        <w:rPr>
          <w:lang w:val="en-US"/>
        </w:rPr>
        <w:t xml:space="preserve"> </w:t>
      </w:r>
      <w:r>
        <w:rPr>
          <w:lang w:val="en-US"/>
        </w:rPr>
        <w:t>decide on the</w:t>
      </w:r>
      <w:r w:rsidR="00581031">
        <w:rPr>
          <w:lang w:val="en-US"/>
        </w:rPr>
        <w:t xml:space="preserve"> use of any additional funding.  </w:t>
      </w:r>
      <w:r>
        <w:rPr>
          <w:lang w:val="en-US"/>
        </w:rPr>
        <w:t>However I met with the Finance Minister on Tuesday 27</w:t>
      </w:r>
      <w:r w:rsidR="00581031">
        <w:rPr>
          <w:lang w:val="en-US"/>
        </w:rPr>
        <w:t xml:space="preserve"> </w:t>
      </w:r>
      <w:r>
        <w:rPr>
          <w:lang w:val="en-US"/>
        </w:rPr>
        <w:t>May to discuss how this additional £38 million allocation could be uti</w:t>
      </w:r>
      <w:r w:rsidR="00581031">
        <w:rPr>
          <w:lang w:val="en-US"/>
        </w:rPr>
        <w:t xml:space="preserve">lised for educational purposes.  </w:t>
      </w:r>
      <w:r>
        <w:rPr>
          <w:lang w:val="en-US"/>
        </w:rPr>
        <w:t>I</w:t>
      </w:r>
      <w:r w:rsidR="00581031">
        <w:rPr>
          <w:lang w:val="en-US"/>
        </w:rPr>
        <w:t xml:space="preserve"> </w:t>
      </w:r>
      <w:r>
        <w:rPr>
          <w:lang w:val="en-US"/>
        </w:rPr>
        <w:t>will continue to seek to maximise the funding allocated to the education sector.</w:t>
      </w:r>
    </w:p>
    <w:p w:rsidR="0018790D" w:rsidRDefault="0018790D" w:rsidP="0018790D">
      <w:pPr>
        <w:rPr>
          <w:rFonts w:ascii="ITCFranklinGothicBook" w:hAnsi="ITCFranklinGothicBook" w:cs="ITCFranklinGothicBook"/>
          <w:sz w:val="20"/>
          <w:szCs w:val="20"/>
          <w:lang w:val="en-US"/>
        </w:rPr>
      </w:pPr>
    </w:p>
    <w:p w:rsidR="00581031" w:rsidRDefault="002229F6" w:rsidP="00581031">
      <w:hyperlink w:anchor="_top" w:history="1">
        <w:r w:rsidR="00581031" w:rsidRPr="007715F2">
          <w:rPr>
            <w:rStyle w:val="Hyperlink"/>
          </w:rPr>
          <w:t>Back to Top</w:t>
        </w:r>
      </w:hyperlink>
    </w:p>
    <w:p w:rsidR="00581031" w:rsidRDefault="00581031" w:rsidP="0018790D">
      <w:pPr>
        <w:rPr>
          <w:rFonts w:ascii="ITCFranklinGothicBook" w:hAnsi="ITCFranklinGothicBook" w:cs="ITCFranklinGothicBook"/>
          <w:sz w:val="20"/>
          <w:szCs w:val="20"/>
          <w:lang w:val="en-US"/>
        </w:rPr>
      </w:pPr>
    </w:p>
    <w:p w:rsidR="00581031" w:rsidRDefault="00581031" w:rsidP="0018790D">
      <w:pPr>
        <w:rPr>
          <w:rFonts w:ascii="ITCFranklinGothicBook" w:hAnsi="ITCFranklinGothicBook" w:cs="ITCFranklinGothicBook"/>
          <w:sz w:val="20"/>
          <w:szCs w:val="20"/>
          <w:lang w:val="en-US"/>
        </w:rPr>
      </w:pPr>
    </w:p>
    <w:p w:rsidR="00581031" w:rsidRDefault="00581031" w:rsidP="0018790D">
      <w:pPr>
        <w:autoSpaceDE w:val="0"/>
        <w:autoSpaceDN w:val="0"/>
        <w:adjustRightInd w:val="0"/>
        <w:rPr>
          <w:rFonts w:ascii="ITCFranklinGothicBook" w:hAnsi="ITCFranklinGothicBook" w:cs="ITCFranklinGothicBook"/>
          <w:sz w:val="20"/>
          <w:szCs w:val="20"/>
          <w:lang w:val="en-US"/>
        </w:rPr>
      </w:pPr>
    </w:p>
    <w:p w:rsidR="0018790D" w:rsidRPr="00581031" w:rsidRDefault="0018790D" w:rsidP="00581031">
      <w:pPr>
        <w:pStyle w:val="Heading2"/>
        <w:rPr>
          <w:color w:val="23A4DE"/>
          <w:lang w:val="en-US"/>
        </w:rPr>
      </w:pPr>
      <w:bookmarkStart w:id="12" w:name="_Education_and_Skills"/>
      <w:bookmarkEnd w:id="12"/>
      <w:r w:rsidRPr="00581031">
        <w:rPr>
          <w:color w:val="23A4DE"/>
          <w:lang w:val="en-US"/>
        </w:rPr>
        <w:lastRenderedPageBreak/>
        <w:t>Education and Skills Authority</w:t>
      </w:r>
    </w:p>
    <w:p w:rsidR="0018790D" w:rsidRDefault="0018790D" w:rsidP="00581031">
      <w:pPr>
        <w:pStyle w:val="NICCYBodyText"/>
        <w:rPr>
          <w:lang w:val="en-US"/>
        </w:rPr>
      </w:pPr>
      <w:r w:rsidRPr="00581031">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Minister of Education when he will publish his list of alternatives to the Education</w:t>
      </w:r>
      <w:r w:rsidR="00581031">
        <w:rPr>
          <w:lang w:val="en-US"/>
        </w:rPr>
        <w:t xml:space="preserve"> </w:t>
      </w:r>
      <w:r>
        <w:rPr>
          <w:lang w:val="en-US"/>
        </w:rPr>
        <w:t>and Skills Authority and their expected impact on Area Based Planning.</w:t>
      </w:r>
    </w:p>
    <w:p w:rsidR="0018790D" w:rsidRDefault="0018790D" w:rsidP="00581031">
      <w:pPr>
        <w:pStyle w:val="NICCYBodyText"/>
        <w:rPr>
          <w:rFonts w:ascii="ITCFranklinGothicDemi" w:hAnsi="ITCFranklinGothicDemi" w:cs="ITCFranklinGothicDemi"/>
          <w:lang w:val="en-US"/>
        </w:rPr>
      </w:pPr>
      <w:r>
        <w:rPr>
          <w:rFonts w:ascii="ITCFranklinGothicDemi" w:hAnsi="ITCFranklinGothicDemi" w:cs="ITCFranklinGothicDemi"/>
          <w:lang w:val="en-US"/>
        </w:rPr>
        <w:t>(AQO 6228/11-15)</w:t>
      </w:r>
    </w:p>
    <w:p w:rsidR="00581031" w:rsidRDefault="00581031" w:rsidP="00581031">
      <w:pPr>
        <w:pStyle w:val="NICCYBodyText"/>
        <w:rPr>
          <w:rFonts w:ascii="ITCFranklinGothicDemi" w:hAnsi="ITCFranklinGothicDemi" w:cs="ITCFranklinGothicDemi"/>
          <w:lang w:val="en-US"/>
        </w:rPr>
      </w:pPr>
    </w:p>
    <w:p w:rsidR="0018790D" w:rsidRDefault="0018790D" w:rsidP="00581031">
      <w:pPr>
        <w:pStyle w:val="NICCYBodyText"/>
        <w:rPr>
          <w:lang w:val="en-US"/>
        </w:rPr>
      </w:pPr>
      <w:r w:rsidRPr="0058103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have submitted a paper to the Executive proposing that the five Education and Library</w:t>
      </w:r>
      <w:r w:rsidR="00581031">
        <w:rPr>
          <w:lang w:val="en-US"/>
        </w:rPr>
        <w:t xml:space="preserve"> </w:t>
      </w:r>
      <w:r>
        <w:rPr>
          <w:lang w:val="en-US"/>
        </w:rPr>
        <w:t>Boards are r</w:t>
      </w:r>
      <w:r w:rsidR="00581031">
        <w:rPr>
          <w:lang w:val="en-US"/>
        </w:rPr>
        <w:t xml:space="preserve">eplaced by one Education Board.  </w:t>
      </w:r>
      <w:r>
        <w:rPr>
          <w:lang w:val="en-US"/>
        </w:rPr>
        <w:t>This is needed to ensure that education administration</w:t>
      </w:r>
      <w:r w:rsidR="00581031">
        <w:rPr>
          <w:lang w:val="en-US"/>
        </w:rPr>
        <w:t xml:space="preserve"> </w:t>
      </w:r>
      <w:r>
        <w:rPr>
          <w:lang w:val="en-US"/>
        </w:rPr>
        <w:t>will be compatible with our new local councils from 1 April, 2015. Key challenges such as Area Planning</w:t>
      </w:r>
      <w:r w:rsidR="00581031">
        <w:rPr>
          <w:lang w:val="en-US"/>
        </w:rPr>
        <w:t xml:space="preserve"> </w:t>
      </w:r>
      <w:r>
        <w:rPr>
          <w:lang w:val="en-US"/>
        </w:rPr>
        <w:t>will be taken forward in the context of the Executive’s agreement.</w:t>
      </w:r>
    </w:p>
    <w:p w:rsidR="0018790D" w:rsidRDefault="0018790D" w:rsidP="0018790D">
      <w:pPr>
        <w:rPr>
          <w:rFonts w:ascii="ITCFranklinGothicBook" w:hAnsi="ITCFranklinGothicBook" w:cs="ITCFranklinGothicBook"/>
          <w:sz w:val="20"/>
          <w:szCs w:val="20"/>
          <w:lang w:val="en-US"/>
        </w:rPr>
      </w:pPr>
    </w:p>
    <w:p w:rsidR="00581031" w:rsidRDefault="002229F6" w:rsidP="00581031">
      <w:hyperlink w:anchor="_top" w:history="1">
        <w:r w:rsidR="00581031" w:rsidRPr="007715F2">
          <w:rPr>
            <w:rStyle w:val="Hyperlink"/>
          </w:rPr>
          <w:t>Back to Top</w:t>
        </w:r>
      </w:hyperlink>
    </w:p>
    <w:p w:rsidR="00581031" w:rsidRDefault="00581031"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 w:rsidR="008F4BE3" w:rsidRDefault="008F4BE3" w:rsidP="00581031">
      <w:pPr>
        <w:pStyle w:val="NICCYHeading"/>
      </w:pPr>
    </w:p>
    <w:p w:rsidR="008F4BE3" w:rsidRDefault="008F4BE3" w:rsidP="00581031">
      <w:pPr>
        <w:pStyle w:val="NICCYHeading"/>
      </w:pPr>
    </w:p>
    <w:p w:rsidR="008F4BE3" w:rsidRDefault="008F4BE3" w:rsidP="00581031">
      <w:pPr>
        <w:pStyle w:val="NICCYHeading"/>
      </w:pPr>
    </w:p>
    <w:p w:rsidR="00581031" w:rsidRPr="008F4BE3" w:rsidRDefault="00581031" w:rsidP="00581031">
      <w:pPr>
        <w:pStyle w:val="NICCYHeading"/>
      </w:pPr>
      <w:r w:rsidRPr="008F4BE3">
        <w:lastRenderedPageBreak/>
        <w:t>Department for Employment and Learning</w:t>
      </w:r>
    </w:p>
    <w:p w:rsidR="0018790D" w:rsidRPr="008F4BE3" w:rsidRDefault="0018790D" w:rsidP="008F4BE3">
      <w:pPr>
        <w:pStyle w:val="Heading2"/>
        <w:rPr>
          <w:color w:val="23A4DE"/>
          <w:lang w:val="en-US"/>
        </w:rPr>
      </w:pPr>
      <w:bookmarkStart w:id="13" w:name="_EU_Youth_Guarantee"/>
      <w:bookmarkEnd w:id="13"/>
      <w:r w:rsidRPr="008F4BE3">
        <w:rPr>
          <w:color w:val="23A4DE"/>
          <w:lang w:val="en-US"/>
        </w:rPr>
        <w:t>EU Youth Guarantee Scheme</w:t>
      </w:r>
    </w:p>
    <w:p w:rsidR="0018790D" w:rsidRDefault="0018790D" w:rsidP="008F4BE3">
      <w:pPr>
        <w:pStyle w:val="NICCYBodyText"/>
        <w:rPr>
          <w:lang w:val="en-US"/>
        </w:rPr>
      </w:pPr>
      <w:r w:rsidRPr="008F4BE3">
        <w:rPr>
          <w:rFonts w:ascii="ITCFranklinGothicDemi" w:hAnsi="ITCFranklinGothicDemi" w:cs="ITCFranklinGothicDemi"/>
          <w:b/>
          <w:lang w:val="en-US"/>
        </w:rPr>
        <w:t>Ms Fearon</w:t>
      </w:r>
      <w:r>
        <w:rPr>
          <w:rFonts w:ascii="ITCFranklinGothicDemi" w:hAnsi="ITCFranklinGothicDemi" w:cs="ITCFranklinGothicDemi"/>
          <w:lang w:val="en-US"/>
        </w:rPr>
        <w:t xml:space="preserve"> </w:t>
      </w:r>
      <w:r>
        <w:rPr>
          <w:lang w:val="en-US"/>
        </w:rPr>
        <w:t>asked the Minister for Employment and Learning how he intends to engage with the recently</w:t>
      </w:r>
      <w:r w:rsidR="008F4BE3">
        <w:rPr>
          <w:lang w:val="en-US"/>
        </w:rPr>
        <w:t xml:space="preserve"> </w:t>
      </w:r>
      <w:r>
        <w:rPr>
          <w:lang w:val="en-US"/>
        </w:rPr>
        <w:t>returned Members of the European Parliament in relation to the establishment of a properly funded EU</w:t>
      </w:r>
      <w:r w:rsidR="008F4BE3">
        <w:rPr>
          <w:lang w:val="en-US"/>
        </w:rPr>
        <w:t xml:space="preserve"> </w:t>
      </w:r>
      <w:r>
        <w:rPr>
          <w:lang w:val="en-US"/>
        </w:rPr>
        <w:t>youth guarantee scheme.</w:t>
      </w:r>
    </w:p>
    <w:p w:rsidR="0018790D" w:rsidRDefault="0018790D" w:rsidP="008F4BE3">
      <w:pPr>
        <w:pStyle w:val="NICCYBodyText"/>
        <w:rPr>
          <w:rFonts w:ascii="ITCFranklinGothicDemi" w:hAnsi="ITCFranklinGothicDemi" w:cs="ITCFranklinGothicDemi"/>
          <w:lang w:val="en-US"/>
        </w:rPr>
      </w:pPr>
      <w:r>
        <w:rPr>
          <w:rFonts w:ascii="ITCFranklinGothicDemi" w:hAnsi="ITCFranklinGothicDemi" w:cs="ITCFranklinGothicDemi"/>
          <w:lang w:val="en-US"/>
        </w:rPr>
        <w:t>(AQO 6243/11-15)</w:t>
      </w:r>
    </w:p>
    <w:p w:rsidR="008F4BE3" w:rsidRDefault="008F4BE3" w:rsidP="008F4BE3">
      <w:pPr>
        <w:pStyle w:val="NICCYBodyText"/>
        <w:rPr>
          <w:rFonts w:ascii="ITCFranklinGothicDemi" w:hAnsi="ITCFranklinGothicDemi" w:cs="ITCFranklinGothicDemi"/>
          <w:lang w:val="en-US"/>
        </w:rPr>
      </w:pPr>
    </w:p>
    <w:p w:rsidR="0018790D" w:rsidRDefault="0018790D" w:rsidP="008F4BE3">
      <w:pPr>
        <w:pStyle w:val="NICCYBodyText"/>
        <w:rPr>
          <w:lang w:val="en-US"/>
        </w:rPr>
      </w:pPr>
      <w:r w:rsidRPr="008F4BE3">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The EU Youth Guarantee is a framework</w:t>
      </w:r>
      <w:r w:rsidR="008F4BE3">
        <w:rPr>
          <w:lang w:val="en-US"/>
        </w:rPr>
        <w:t xml:space="preserve"> and not a scheme or programme.  </w:t>
      </w:r>
      <w:r>
        <w:rPr>
          <w:lang w:val="en-US"/>
        </w:rPr>
        <w:t>As our level of</w:t>
      </w:r>
      <w:r w:rsidR="008F4BE3">
        <w:rPr>
          <w:lang w:val="en-US"/>
        </w:rPr>
        <w:t xml:space="preserve"> </w:t>
      </w:r>
      <w:r>
        <w:rPr>
          <w:lang w:val="en-US"/>
        </w:rPr>
        <w:t>youth unemployment, while challenging, is less severe than in many other parts of Europe, Northern</w:t>
      </w:r>
      <w:r w:rsidR="008F4BE3">
        <w:rPr>
          <w:lang w:val="en-US"/>
        </w:rPr>
        <w:t xml:space="preserve"> </w:t>
      </w:r>
      <w:r>
        <w:rPr>
          <w:lang w:val="en-US"/>
        </w:rPr>
        <w:t>Ireland is not eligible for EU Youth Employment Initiative funding.</w:t>
      </w:r>
    </w:p>
    <w:p w:rsidR="008F4BE3" w:rsidRDefault="008F4BE3" w:rsidP="008F4BE3">
      <w:pPr>
        <w:pStyle w:val="NICCYBodyText"/>
        <w:rPr>
          <w:lang w:val="en-US"/>
        </w:rPr>
      </w:pPr>
    </w:p>
    <w:p w:rsidR="0018790D" w:rsidRDefault="0018790D" w:rsidP="008F4BE3">
      <w:pPr>
        <w:pStyle w:val="NICCYBodyText"/>
        <w:rPr>
          <w:lang w:val="en-US"/>
        </w:rPr>
      </w:pPr>
      <w:r>
        <w:rPr>
          <w:lang w:val="en-US"/>
        </w:rPr>
        <w:t>Through the range of DEL programmes, Northern Ireland is delivering a Youth Guarantee.</w:t>
      </w:r>
    </w:p>
    <w:p w:rsidR="008F4BE3" w:rsidRDefault="0018790D" w:rsidP="008F4BE3">
      <w:pPr>
        <w:pStyle w:val="NICCYBodyText"/>
        <w:rPr>
          <w:lang w:val="en-US"/>
        </w:rPr>
      </w:pPr>
      <w:r>
        <w:rPr>
          <w:lang w:val="en-US"/>
        </w:rPr>
        <w:t>All 16-17 year old school leavers have a guarantee of a training place through Training for Success</w:t>
      </w:r>
      <w:r w:rsidR="008F4BE3">
        <w:rPr>
          <w:lang w:val="en-US"/>
        </w:rPr>
        <w:t xml:space="preserve"> </w:t>
      </w:r>
      <w:r>
        <w:rPr>
          <w:lang w:val="en-US"/>
        </w:rPr>
        <w:t>with extended eligibility for those with a disability and from an in care background. 18-24 year olds can</w:t>
      </w:r>
      <w:r w:rsidR="008F4BE3">
        <w:rPr>
          <w:lang w:val="en-US"/>
        </w:rPr>
        <w:t xml:space="preserve"> </w:t>
      </w:r>
      <w:r>
        <w:rPr>
          <w:lang w:val="en-US"/>
        </w:rPr>
        <w:t>avail of a range of provisi</w:t>
      </w:r>
      <w:r w:rsidR="008F4BE3">
        <w:rPr>
          <w:lang w:val="en-US"/>
        </w:rPr>
        <w:t xml:space="preserve">on including further education, </w:t>
      </w:r>
      <w:r>
        <w:rPr>
          <w:lang w:val="en-US"/>
        </w:rPr>
        <w:t>apprenticeship</w:t>
      </w:r>
      <w:r w:rsidR="008F4BE3">
        <w:rPr>
          <w:lang w:val="en-US"/>
        </w:rPr>
        <w:t xml:space="preserve">s, foundation degrees, Steps to </w:t>
      </w:r>
      <w:r>
        <w:rPr>
          <w:lang w:val="en-US"/>
        </w:rPr>
        <w:t xml:space="preserve">Work, and the Youth Employment Scheme. </w:t>
      </w:r>
    </w:p>
    <w:p w:rsidR="0018790D" w:rsidRDefault="0018790D" w:rsidP="008F4BE3">
      <w:pPr>
        <w:pStyle w:val="NICCYBodyText"/>
        <w:rPr>
          <w:lang w:val="en-US"/>
        </w:rPr>
      </w:pPr>
      <w:r>
        <w:rPr>
          <w:lang w:val="en-US"/>
        </w:rPr>
        <w:t>In addition my Department provides a comprehensive range</w:t>
      </w:r>
      <w:r w:rsidR="008F4BE3">
        <w:rPr>
          <w:lang w:val="en-US"/>
        </w:rPr>
        <w:t xml:space="preserve"> </w:t>
      </w:r>
      <w:r>
        <w:rPr>
          <w:lang w:val="en-US"/>
        </w:rPr>
        <w:t>of programmes for individuals who are not in employment, education or training supported through the</w:t>
      </w:r>
      <w:r w:rsidR="008F4BE3">
        <w:rPr>
          <w:lang w:val="en-US"/>
        </w:rPr>
        <w:t xml:space="preserve"> </w:t>
      </w:r>
      <w:r>
        <w:rPr>
          <w:lang w:val="en-US"/>
        </w:rPr>
        <w:t>Pathways to Success strategy and the European Social Fund.</w:t>
      </w:r>
    </w:p>
    <w:p w:rsidR="008F4BE3" w:rsidRDefault="008F4BE3" w:rsidP="008F4BE3">
      <w:pPr>
        <w:pStyle w:val="NICCYBodyText"/>
        <w:rPr>
          <w:lang w:val="en-US"/>
        </w:rPr>
      </w:pPr>
    </w:p>
    <w:p w:rsidR="0018790D" w:rsidRDefault="0018790D" w:rsidP="008F4BE3">
      <w:pPr>
        <w:pStyle w:val="NICCYBodyText"/>
        <w:rPr>
          <w:lang w:val="en-US"/>
        </w:rPr>
      </w:pPr>
      <w:r>
        <w:rPr>
          <w:lang w:val="en-US"/>
        </w:rPr>
        <w:t>My Department plans to allocate over half of the ESF funding for 2014-20 to programmes targeting</w:t>
      </w:r>
      <w:r w:rsidR="008F4BE3">
        <w:rPr>
          <w:lang w:val="en-US"/>
        </w:rPr>
        <w:t xml:space="preserve"> </w:t>
      </w:r>
      <w:r>
        <w:rPr>
          <w:lang w:val="en-US"/>
        </w:rPr>
        <w:t>young people.</w:t>
      </w:r>
      <w:r w:rsidR="008F4BE3">
        <w:rPr>
          <w:lang w:val="en-US"/>
        </w:rPr>
        <w:t xml:space="preserve">  </w:t>
      </w:r>
      <w:r>
        <w:rPr>
          <w:lang w:val="en-US"/>
        </w:rPr>
        <w:t>The ESF allocation to the new Programme for 2014-2020 will be €205 million, giving a</w:t>
      </w:r>
      <w:r w:rsidR="008F4BE3">
        <w:rPr>
          <w:lang w:val="en-US"/>
        </w:rPr>
        <w:t xml:space="preserve"> </w:t>
      </w:r>
      <w:r>
        <w:rPr>
          <w:lang w:val="en-US"/>
        </w:rPr>
        <w:t>total fund value of £417 mill</w:t>
      </w:r>
      <w:r w:rsidR="008F4BE3">
        <w:rPr>
          <w:lang w:val="en-US"/>
        </w:rPr>
        <w:t xml:space="preserve">ion, including matched funding.  </w:t>
      </w:r>
      <w:r>
        <w:rPr>
          <w:lang w:val="en-US"/>
        </w:rPr>
        <w:t>In the new ESF Programme, there will be a</w:t>
      </w:r>
      <w:r w:rsidR="008F4BE3">
        <w:rPr>
          <w:lang w:val="en-US"/>
        </w:rPr>
        <w:t xml:space="preserve"> </w:t>
      </w:r>
      <w:r>
        <w:rPr>
          <w:lang w:val="en-US"/>
        </w:rPr>
        <w:t>specific focus on supporting young people who are not in education, employment or training; this will be</w:t>
      </w:r>
      <w:r w:rsidR="008F4BE3">
        <w:rPr>
          <w:lang w:val="en-US"/>
        </w:rPr>
        <w:t xml:space="preserve"> </w:t>
      </w:r>
      <w:r>
        <w:rPr>
          <w:lang w:val="en-US"/>
        </w:rPr>
        <w:t>through a ring-fenced allocation under Priority 1 of £50 million, which includes matched funding.</w:t>
      </w:r>
      <w:r w:rsidR="008F4BE3">
        <w:rPr>
          <w:lang w:val="en-US"/>
        </w:rPr>
        <w:t xml:space="preserve">  </w:t>
      </w:r>
      <w:r>
        <w:rPr>
          <w:lang w:val="en-US"/>
        </w:rPr>
        <w:t>In addition, young people who are not in education, employment or training will also benefit from activity</w:t>
      </w:r>
      <w:r w:rsidR="008F4BE3">
        <w:rPr>
          <w:lang w:val="en-US"/>
        </w:rPr>
        <w:t xml:space="preserve"> </w:t>
      </w:r>
      <w:r>
        <w:rPr>
          <w:lang w:val="en-US"/>
        </w:rPr>
        <w:t>under Priority 2, through the Community Family Support Programme, and under Priority 3, which will</w:t>
      </w:r>
    </w:p>
    <w:p w:rsidR="00534C9C" w:rsidRDefault="0018790D" w:rsidP="008F4BE3">
      <w:pPr>
        <w:pStyle w:val="NICCYBodyText"/>
        <w:rPr>
          <w:lang w:val="en-US"/>
        </w:rPr>
      </w:pPr>
      <w:r>
        <w:rPr>
          <w:lang w:val="en-US"/>
        </w:rPr>
        <w:t>focus on apprenticeships and youth training.</w:t>
      </w:r>
      <w:r w:rsidR="00534C9C">
        <w:rPr>
          <w:lang w:val="en-US"/>
        </w:rPr>
        <w:t xml:space="preserve">  </w:t>
      </w:r>
      <w:r>
        <w:rPr>
          <w:lang w:val="en-US"/>
        </w:rPr>
        <w:t>During his recent visit to Belfast, Commissioner László Andor acknowledged Northern Ireland’s</w:t>
      </w:r>
      <w:r w:rsidR="008F4BE3">
        <w:rPr>
          <w:lang w:val="en-US"/>
        </w:rPr>
        <w:t xml:space="preserve"> </w:t>
      </w:r>
      <w:r>
        <w:rPr>
          <w:lang w:val="en-US"/>
        </w:rPr>
        <w:t>approach to supporting the Yout</w:t>
      </w:r>
      <w:r w:rsidR="008F4BE3">
        <w:rPr>
          <w:lang w:val="en-US"/>
        </w:rPr>
        <w:t xml:space="preserve">h Guarantee framework.  </w:t>
      </w:r>
    </w:p>
    <w:p w:rsidR="00534C9C" w:rsidRDefault="00534C9C" w:rsidP="008F4BE3">
      <w:pPr>
        <w:pStyle w:val="NICCYBodyText"/>
        <w:rPr>
          <w:lang w:val="en-US"/>
        </w:rPr>
      </w:pPr>
    </w:p>
    <w:p w:rsidR="00534C9C" w:rsidRDefault="00534C9C" w:rsidP="008F4BE3">
      <w:pPr>
        <w:pStyle w:val="NICCYBodyText"/>
        <w:rPr>
          <w:lang w:val="en-US"/>
        </w:rPr>
      </w:pPr>
    </w:p>
    <w:p w:rsidR="00534C9C" w:rsidRDefault="00534C9C" w:rsidP="008F4BE3">
      <w:pPr>
        <w:pStyle w:val="NICCYBodyText"/>
        <w:rPr>
          <w:lang w:val="en-US"/>
        </w:rPr>
      </w:pPr>
    </w:p>
    <w:p w:rsidR="0018790D" w:rsidRDefault="0018790D" w:rsidP="008F4BE3">
      <w:pPr>
        <w:pStyle w:val="NICCYBodyText"/>
        <w:rPr>
          <w:lang w:val="en-US"/>
        </w:rPr>
      </w:pPr>
      <w:r>
        <w:rPr>
          <w:lang w:val="en-US"/>
        </w:rPr>
        <w:lastRenderedPageBreak/>
        <w:t>My intention is to work in partnership with</w:t>
      </w:r>
      <w:r w:rsidR="008F4BE3">
        <w:rPr>
          <w:lang w:val="en-US"/>
        </w:rPr>
        <w:t xml:space="preserve"> </w:t>
      </w:r>
      <w:r>
        <w:rPr>
          <w:lang w:val="en-US"/>
        </w:rPr>
        <w:t>the recently returned Members of the European Parliament and anyone else who can help ensure that</w:t>
      </w:r>
      <w:r w:rsidR="008F4BE3">
        <w:rPr>
          <w:lang w:val="en-US"/>
        </w:rPr>
        <w:t xml:space="preserve"> </w:t>
      </w:r>
      <w:r>
        <w:rPr>
          <w:lang w:val="en-US"/>
        </w:rPr>
        <w:t>Northern Ireland maximises all opportunities within Europe,</w:t>
      </w:r>
      <w:r w:rsidR="008F4BE3">
        <w:rPr>
          <w:lang w:val="en-US"/>
        </w:rPr>
        <w:t xml:space="preserve"> </w:t>
      </w:r>
      <w:r>
        <w:rPr>
          <w:lang w:val="en-US"/>
        </w:rPr>
        <w:t>including funding opportunities.</w:t>
      </w:r>
    </w:p>
    <w:p w:rsidR="0018790D" w:rsidRDefault="0018790D" w:rsidP="0018790D">
      <w:pPr>
        <w:rPr>
          <w:rFonts w:ascii="ITCFranklinGothicBook" w:hAnsi="ITCFranklinGothicBook" w:cs="ITCFranklinGothicBook"/>
          <w:sz w:val="20"/>
          <w:szCs w:val="20"/>
          <w:lang w:val="en-US"/>
        </w:rPr>
      </w:pPr>
    </w:p>
    <w:p w:rsidR="008F4BE3" w:rsidRDefault="002229F6" w:rsidP="008F4BE3">
      <w:hyperlink w:anchor="_top" w:history="1">
        <w:r w:rsidR="008F4BE3" w:rsidRPr="007715F2">
          <w:rPr>
            <w:rStyle w:val="Hyperlink"/>
          </w:rPr>
          <w:t>Back to Top</w:t>
        </w:r>
      </w:hyperlink>
    </w:p>
    <w:p w:rsidR="008F4BE3" w:rsidRDefault="008F4BE3" w:rsidP="0018790D">
      <w:pPr>
        <w:rPr>
          <w:rFonts w:ascii="ITCFranklinGothicBook" w:hAnsi="ITCFranklinGothicBook" w:cs="ITCFranklinGothicBook"/>
          <w:sz w:val="20"/>
          <w:szCs w:val="20"/>
          <w:lang w:val="en-US"/>
        </w:rPr>
      </w:pPr>
    </w:p>
    <w:p w:rsidR="0018790D" w:rsidRDefault="0018790D" w:rsidP="0018790D">
      <w:pPr>
        <w:rPr>
          <w:rFonts w:ascii="ITCFranklinGothicBook" w:hAnsi="ITCFranklinGothicBook" w:cs="ITCFranklinGothicBook"/>
          <w:sz w:val="20"/>
          <w:szCs w:val="20"/>
          <w:lang w:val="en-US"/>
        </w:rPr>
      </w:pPr>
    </w:p>
    <w:p w:rsidR="008F4BE3" w:rsidRDefault="008F4BE3"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8F4BE3" w:rsidRDefault="00534C9C" w:rsidP="00534C9C">
      <w:pPr>
        <w:pStyle w:val="NICCYHeading"/>
        <w:rPr>
          <w:lang w:val="en-US"/>
        </w:rPr>
      </w:pPr>
      <w:r>
        <w:rPr>
          <w:lang w:val="en-US"/>
        </w:rPr>
        <w:lastRenderedPageBreak/>
        <w:t>Department of Health</w:t>
      </w:r>
    </w:p>
    <w:p w:rsidR="0018790D" w:rsidRPr="00534C9C" w:rsidRDefault="0018790D" w:rsidP="00534C9C">
      <w:pPr>
        <w:pStyle w:val="Heading2"/>
        <w:rPr>
          <w:color w:val="23A4DE"/>
          <w:lang w:val="en-US"/>
        </w:rPr>
      </w:pPr>
      <w:bookmarkStart w:id="14" w:name="_Disposable_Nappies"/>
      <w:bookmarkEnd w:id="14"/>
      <w:r w:rsidRPr="00534C9C">
        <w:rPr>
          <w:color w:val="23A4DE"/>
          <w:lang w:val="en-US"/>
        </w:rPr>
        <w:t>Disposable Nappies</w:t>
      </w:r>
    </w:p>
    <w:p w:rsidR="00534C9C" w:rsidRDefault="0018790D" w:rsidP="00534C9C">
      <w:pPr>
        <w:pStyle w:val="NICCYBodyText"/>
      </w:pPr>
      <w:r w:rsidRPr="00534C9C">
        <w:rPr>
          <w:b/>
        </w:rPr>
        <w:t>Mr Agnew</w:t>
      </w:r>
      <w:r w:rsidRPr="00534C9C">
        <w:t xml:space="preserve"> asked the Minister of Health, Social Services and Public Safety to detail </w:t>
      </w:r>
    </w:p>
    <w:p w:rsidR="00534C9C" w:rsidRDefault="0018790D" w:rsidP="00534C9C">
      <w:pPr>
        <w:pStyle w:val="NICCYBodyText"/>
      </w:pPr>
      <w:r w:rsidRPr="00534C9C">
        <w:t>(</w:t>
      </w:r>
      <w:proofErr w:type="spellStart"/>
      <w:r w:rsidRPr="00534C9C">
        <w:t>i</w:t>
      </w:r>
      <w:proofErr w:type="spellEnd"/>
      <w:r w:rsidRPr="00534C9C">
        <w:t>) the incentives</w:t>
      </w:r>
      <w:r w:rsidR="00534C9C">
        <w:t xml:space="preserve"> </w:t>
      </w:r>
      <w:r w:rsidRPr="00534C9C">
        <w:t>in place to promote the use of reusable nappies;</w:t>
      </w:r>
    </w:p>
    <w:p w:rsidR="00534C9C" w:rsidRDefault="0018790D" w:rsidP="00534C9C">
      <w:pPr>
        <w:pStyle w:val="NICCYBodyText"/>
      </w:pPr>
      <w:r w:rsidRPr="00534C9C">
        <w:t>(ii) the incentives he is putting in place to encourage</w:t>
      </w:r>
      <w:r w:rsidR="00534C9C">
        <w:t xml:space="preserve"> </w:t>
      </w:r>
      <w:r w:rsidRPr="00534C9C">
        <w:t>pare</w:t>
      </w:r>
      <w:r w:rsidR="00534C9C">
        <w:t>nts to choose reusable nappies;</w:t>
      </w:r>
    </w:p>
    <w:p w:rsidR="0018790D" w:rsidRPr="00534C9C" w:rsidRDefault="0018790D" w:rsidP="00534C9C">
      <w:pPr>
        <w:pStyle w:val="NICCYBodyText"/>
      </w:pPr>
      <w:r w:rsidRPr="00534C9C">
        <w:t>(iii) for his assessment of the impact the gift of disposable</w:t>
      </w:r>
      <w:r w:rsidR="00534C9C">
        <w:t xml:space="preserve"> </w:t>
      </w:r>
      <w:r w:rsidRPr="00534C9C">
        <w:t>nappies to parents of newborns by corporations has on the uptake of disposable nappies.</w:t>
      </w:r>
    </w:p>
    <w:p w:rsidR="0018790D" w:rsidRDefault="0018790D" w:rsidP="00534C9C">
      <w:pPr>
        <w:pStyle w:val="NICCYBodyText"/>
      </w:pPr>
      <w:r w:rsidRPr="00534C9C">
        <w:t>(AQW 33522/11-15)</w:t>
      </w:r>
    </w:p>
    <w:p w:rsidR="00534C9C" w:rsidRPr="00534C9C" w:rsidRDefault="00534C9C" w:rsidP="00534C9C">
      <w:pPr>
        <w:pStyle w:val="NICCYBodyText"/>
      </w:pPr>
    </w:p>
    <w:p w:rsidR="0018790D" w:rsidRPr="00534C9C" w:rsidRDefault="0018790D" w:rsidP="00534C9C">
      <w:pPr>
        <w:pStyle w:val="NICCYBodyText"/>
      </w:pPr>
      <w:r w:rsidRPr="00534C9C">
        <w:rPr>
          <w:b/>
        </w:rPr>
        <w:t>Mr Poots:</w:t>
      </w:r>
      <w:r w:rsidRPr="00534C9C">
        <w:t xml:space="preserve"> The Public Health Agency (PHA) issues The Pregnancy Book to all first time mothers which includes</w:t>
      </w:r>
      <w:r w:rsidR="00534C9C">
        <w:t xml:space="preserve"> </w:t>
      </w:r>
      <w:r w:rsidRPr="00534C9C">
        <w:t>information regarding nappies in general and provides advice on both cloth and disposable nappies.</w:t>
      </w:r>
    </w:p>
    <w:p w:rsidR="00534C9C" w:rsidRDefault="00534C9C" w:rsidP="00534C9C">
      <w:pPr>
        <w:pStyle w:val="NICCYBodyText"/>
      </w:pPr>
    </w:p>
    <w:p w:rsidR="0018790D" w:rsidRDefault="0018790D" w:rsidP="00534C9C">
      <w:pPr>
        <w:pStyle w:val="NICCYBodyText"/>
      </w:pPr>
      <w:r w:rsidRPr="00534C9C">
        <w:t>While the PHA does not provide direct incentives for the use of either type of nappy, The Pregnancy</w:t>
      </w:r>
      <w:r w:rsidR="00534C9C">
        <w:t xml:space="preserve"> </w:t>
      </w:r>
      <w:r w:rsidRPr="00534C9C">
        <w:t>Book does advise that, “Washable cloth nappies are cheaper than disposable nappies, even when</w:t>
      </w:r>
      <w:r w:rsidR="00534C9C">
        <w:t xml:space="preserve"> </w:t>
      </w:r>
      <w:r w:rsidRPr="00534C9C">
        <w:t>you take into account the cost of washing them at home or getting them washed by a laundry service.</w:t>
      </w:r>
      <w:r w:rsidR="00534C9C">
        <w:t xml:space="preserve">  </w:t>
      </w:r>
      <w:r w:rsidRPr="00534C9C">
        <w:t>They are more environmentally friendly and are ea</w:t>
      </w:r>
      <w:r w:rsidR="00534C9C">
        <w:t xml:space="preserve">sily laundered in a 60ºC wash.”  </w:t>
      </w:r>
      <w:r w:rsidRPr="00534C9C">
        <w:t>It also provides</w:t>
      </w:r>
      <w:r w:rsidR="00534C9C">
        <w:t xml:space="preserve"> </w:t>
      </w:r>
      <w:r w:rsidRPr="00534C9C">
        <w:t>advice on accessories needed to use cloth nappies (pins, liners, sterilising equipment etc) and links to</w:t>
      </w:r>
      <w:r w:rsidR="00534C9C">
        <w:t xml:space="preserve"> </w:t>
      </w:r>
      <w:r w:rsidRPr="00534C9C">
        <w:t>information about local suppliers and laundry services.</w:t>
      </w:r>
    </w:p>
    <w:p w:rsidR="00534C9C" w:rsidRPr="00534C9C" w:rsidRDefault="00534C9C" w:rsidP="00534C9C">
      <w:pPr>
        <w:pStyle w:val="NICCYBodyText"/>
      </w:pPr>
    </w:p>
    <w:p w:rsidR="00534C9C" w:rsidRDefault="0018790D" w:rsidP="00534C9C">
      <w:pPr>
        <w:pStyle w:val="NICCYBodyText"/>
      </w:pPr>
      <w:r w:rsidRPr="00534C9C">
        <w:t>New mothers are given free product sample-packs and information from Bounty, which is a charitable</w:t>
      </w:r>
      <w:r w:rsidR="00534C9C">
        <w:t xml:space="preserve"> trust.  </w:t>
      </w:r>
      <w:r w:rsidRPr="00534C9C">
        <w:t>The samples provide opport</w:t>
      </w:r>
      <w:r w:rsidR="00534C9C">
        <w:t xml:space="preserve">unities to ‘try before buying’.  </w:t>
      </w:r>
      <w:r w:rsidRPr="00534C9C">
        <w:t>The packs are issued at the beginning</w:t>
      </w:r>
      <w:r w:rsidR="00534C9C">
        <w:t xml:space="preserve"> </w:t>
      </w:r>
      <w:r w:rsidRPr="00534C9C">
        <w:t>of pregnancy and after a baby is born, and their contents ar</w:t>
      </w:r>
      <w:r w:rsidR="00534C9C">
        <w:t xml:space="preserve">e the responsibility of Bounty.  </w:t>
      </w:r>
    </w:p>
    <w:p w:rsidR="00534C9C" w:rsidRDefault="00534C9C" w:rsidP="00534C9C">
      <w:pPr>
        <w:pStyle w:val="NICCYBodyText"/>
      </w:pPr>
    </w:p>
    <w:p w:rsidR="0018790D" w:rsidRPr="00534C9C" w:rsidRDefault="0018790D" w:rsidP="00534C9C">
      <w:pPr>
        <w:pStyle w:val="NICCYBodyText"/>
      </w:pPr>
      <w:r w:rsidRPr="00534C9C">
        <w:t>My Department</w:t>
      </w:r>
      <w:r w:rsidR="00534C9C">
        <w:t xml:space="preserve"> </w:t>
      </w:r>
      <w:r w:rsidRPr="00534C9C">
        <w:t>does not hold information on the impact of these packs on the uptake of disposable nappies.</w:t>
      </w:r>
    </w:p>
    <w:p w:rsidR="0018790D" w:rsidRDefault="0018790D" w:rsidP="0018790D">
      <w:pPr>
        <w:rPr>
          <w:rFonts w:ascii="ITCFranklinGothicBook" w:hAnsi="ITCFranklinGothicBook" w:cs="ITCFranklinGothicBook"/>
          <w:sz w:val="20"/>
          <w:szCs w:val="20"/>
          <w:lang w:val="en-US"/>
        </w:rPr>
      </w:pPr>
    </w:p>
    <w:p w:rsidR="00534C9C" w:rsidRDefault="002229F6" w:rsidP="00534C9C">
      <w:hyperlink w:anchor="_top" w:history="1">
        <w:r w:rsidR="00534C9C" w:rsidRPr="007715F2">
          <w:rPr>
            <w:rStyle w:val="Hyperlink"/>
          </w:rPr>
          <w:t>Back to Top</w:t>
        </w:r>
      </w:hyperlink>
    </w:p>
    <w:p w:rsidR="0018790D" w:rsidRDefault="0018790D" w:rsidP="0018790D">
      <w:pPr>
        <w:rPr>
          <w:rFonts w:ascii="ITCFranklinGothicBook" w:hAnsi="ITCFranklinGothicBook" w:cs="ITCFranklinGothicBook"/>
          <w:sz w:val="20"/>
          <w:szCs w:val="20"/>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534C9C" w:rsidRDefault="00534C9C" w:rsidP="0018790D">
      <w:pPr>
        <w:autoSpaceDE w:val="0"/>
        <w:autoSpaceDN w:val="0"/>
        <w:adjustRightInd w:val="0"/>
        <w:rPr>
          <w:rFonts w:ascii="ITCFranklinGothicDemi" w:hAnsi="ITCFranklinGothicDemi" w:cs="ITCFranklinGothicDemi"/>
          <w:lang w:val="en-US"/>
        </w:rPr>
      </w:pPr>
    </w:p>
    <w:p w:rsidR="0018790D" w:rsidRPr="00534C9C" w:rsidRDefault="0018790D" w:rsidP="00534C9C">
      <w:pPr>
        <w:pStyle w:val="Heading2"/>
        <w:rPr>
          <w:color w:val="23A4DE"/>
          <w:lang w:val="en-US"/>
        </w:rPr>
      </w:pPr>
      <w:bookmarkStart w:id="15" w:name="_Services_Provided_by"/>
      <w:bookmarkEnd w:id="15"/>
      <w:r w:rsidRPr="00534C9C">
        <w:rPr>
          <w:color w:val="23A4DE"/>
          <w:lang w:val="en-US"/>
        </w:rPr>
        <w:lastRenderedPageBreak/>
        <w:t>Services Provided by Family Support</w:t>
      </w:r>
    </w:p>
    <w:p w:rsidR="0018790D" w:rsidRDefault="0018790D" w:rsidP="00534C9C">
      <w:pPr>
        <w:pStyle w:val="NICCYBodyText"/>
        <w:rPr>
          <w:lang w:val="en-US"/>
        </w:rPr>
      </w:pPr>
      <w:r w:rsidRPr="00534C9C">
        <w:rPr>
          <w:rFonts w:ascii="ITCFranklinGothicDemi" w:hAnsi="ITCFranklinGothicDemi" w:cs="ITCFranklinGothicDemi"/>
          <w:b/>
          <w:lang w:val="en-US"/>
        </w:rPr>
        <w:t>Mr McGlone</w:t>
      </w:r>
      <w:r>
        <w:rPr>
          <w:rFonts w:ascii="ITCFranklinGothicDemi" w:hAnsi="ITCFranklinGothicDemi" w:cs="ITCFranklinGothicDemi"/>
          <w:lang w:val="en-US"/>
        </w:rPr>
        <w:t xml:space="preserve"> </w:t>
      </w:r>
      <w:r>
        <w:rPr>
          <w:lang w:val="en-US"/>
        </w:rPr>
        <w:t>asked the Minister of Health, Social Services and Public Safety what services are provided</w:t>
      </w:r>
      <w:r w:rsidR="00534C9C">
        <w:rPr>
          <w:lang w:val="en-US"/>
        </w:rPr>
        <w:t xml:space="preserve"> </w:t>
      </w:r>
      <w:r>
        <w:rPr>
          <w:lang w:val="en-US"/>
        </w:rPr>
        <w:t>by Family Support; and to outline the availability of these services in each Health and Social Care Trust.</w:t>
      </w:r>
    </w:p>
    <w:p w:rsidR="0018790D" w:rsidRDefault="0018790D" w:rsidP="00534C9C">
      <w:pPr>
        <w:pStyle w:val="NICCYBodyText"/>
        <w:rPr>
          <w:rFonts w:ascii="ITCFranklinGothicDemi" w:hAnsi="ITCFranklinGothicDemi" w:cs="ITCFranklinGothicDemi"/>
          <w:lang w:val="en-US"/>
        </w:rPr>
      </w:pPr>
      <w:r>
        <w:rPr>
          <w:rFonts w:ascii="ITCFranklinGothicDemi" w:hAnsi="ITCFranklinGothicDemi" w:cs="ITCFranklinGothicDemi"/>
          <w:lang w:val="en-US"/>
        </w:rPr>
        <w:t>(AQW 33583/11-15)</w:t>
      </w:r>
    </w:p>
    <w:p w:rsidR="00534C9C" w:rsidRDefault="00534C9C" w:rsidP="00534C9C">
      <w:pPr>
        <w:pStyle w:val="NICCYBodyText"/>
        <w:rPr>
          <w:rFonts w:ascii="ITCFranklinGothicDemi" w:hAnsi="ITCFranklinGothicDemi" w:cs="ITCFranklinGothicDemi"/>
          <w:lang w:val="en-US"/>
        </w:rPr>
      </w:pPr>
    </w:p>
    <w:p w:rsidR="0018790D" w:rsidRDefault="0018790D" w:rsidP="00534C9C">
      <w:pPr>
        <w:pStyle w:val="NICCYBodyText"/>
        <w:rPr>
          <w:lang w:val="en-US"/>
        </w:rPr>
      </w:pPr>
      <w:r w:rsidRPr="00534C9C">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Family Support is broad term that covers a wide range of services delivered by HSC Trusts</w:t>
      </w:r>
      <w:r w:rsidR="00534C9C">
        <w:rPr>
          <w:lang w:val="en-US"/>
        </w:rPr>
        <w:t xml:space="preserve"> </w:t>
      </w:r>
      <w:r>
        <w:rPr>
          <w:lang w:val="en-US"/>
        </w:rPr>
        <w:t>and other Agencies. These include:</w:t>
      </w:r>
    </w:p>
    <w:p w:rsidR="0018790D" w:rsidRDefault="0018790D" w:rsidP="00534C9C">
      <w:pPr>
        <w:pStyle w:val="NICCYBodyText"/>
        <w:numPr>
          <w:ilvl w:val="0"/>
          <w:numId w:val="41"/>
        </w:numPr>
        <w:rPr>
          <w:lang w:val="en-US"/>
        </w:rPr>
      </w:pPr>
      <w:r>
        <w:rPr>
          <w:lang w:val="en-US"/>
        </w:rPr>
        <w:t>Family Intervention Teams;</w:t>
      </w:r>
    </w:p>
    <w:p w:rsidR="0018790D" w:rsidRDefault="0018790D" w:rsidP="00534C9C">
      <w:pPr>
        <w:pStyle w:val="NICCYBodyText"/>
        <w:numPr>
          <w:ilvl w:val="0"/>
          <w:numId w:val="41"/>
        </w:numPr>
        <w:rPr>
          <w:lang w:val="en-US"/>
        </w:rPr>
      </w:pPr>
      <w:r>
        <w:rPr>
          <w:lang w:val="en-US"/>
        </w:rPr>
        <w:t>The Community Family Support Programme; and</w:t>
      </w:r>
    </w:p>
    <w:p w:rsidR="0018790D" w:rsidRDefault="0018790D" w:rsidP="00534C9C">
      <w:pPr>
        <w:pStyle w:val="NICCYBodyText"/>
        <w:numPr>
          <w:ilvl w:val="0"/>
          <w:numId w:val="41"/>
        </w:numPr>
        <w:rPr>
          <w:lang w:val="en-US"/>
        </w:rPr>
      </w:pPr>
      <w:r>
        <w:rPr>
          <w:lang w:val="en-US"/>
        </w:rPr>
        <w:t>Family Support Hubs.</w:t>
      </w:r>
    </w:p>
    <w:p w:rsidR="00534C9C" w:rsidRDefault="00534C9C" w:rsidP="00534C9C">
      <w:pPr>
        <w:pStyle w:val="NICCYBodyText"/>
        <w:ind w:left="720"/>
        <w:rPr>
          <w:lang w:val="en-US"/>
        </w:rPr>
      </w:pPr>
    </w:p>
    <w:p w:rsidR="00534C9C" w:rsidRDefault="0018790D" w:rsidP="00534C9C">
      <w:pPr>
        <w:pStyle w:val="NICCYBodyText"/>
        <w:rPr>
          <w:lang w:val="en-US"/>
        </w:rPr>
      </w:pPr>
      <w:r>
        <w:rPr>
          <w:lang w:val="en-US"/>
        </w:rPr>
        <w:t>Family Intervention Teams are situated within each HSC Trust area and seek to safeguard and promote</w:t>
      </w:r>
      <w:r w:rsidR="00534C9C">
        <w:rPr>
          <w:lang w:val="en-US"/>
        </w:rPr>
        <w:t xml:space="preserve"> </w:t>
      </w:r>
      <w:r>
        <w:rPr>
          <w:lang w:val="en-US"/>
        </w:rPr>
        <w:t>best outcomes for children and families through the provision of a professional, accountable and</w:t>
      </w:r>
      <w:r w:rsidR="00534C9C">
        <w:rPr>
          <w:lang w:val="en-US"/>
        </w:rPr>
        <w:t xml:space="preserve"> quality social work service.  </w:t>
      </w:r>
      <w:r>
        <w:rPr>
          <w:lang w:val="en-US"/>
        </w:rPr>
        <w:t>They deliver family support</w:t>
      </w:r>
      <w:r w:rsidR="00534C9C">
        <w:rPr>
          <w:lang w:val="en-US"/>
        </w:rPr>
        <w:t xml:space="preserve"> and child protection services.  </w:t>
      </w:r>
      <w:r>
        <w:rPr>
          <w:lang w:val="en-US"/>
        </w:rPr>
        <w:t>They also provide</w:t>
      </w:r>
      <w:r w:rsidR="00534C9C">
        <w:rPr>
          <w:lang w:val="en-US"/>
        </w:rPr>
        <w:t xml:space="preserve"> </w:t>
      </w:r>
      <w:r>
        <w:rPr>
          <w:lang w:val="en-US"/>
        </w:rPr>
        <w:t>services to court and have the Gateway Service including the single point of entry to access Gateway.</w:t>
      </w:r>
    </w:p>
    <w:p w:rsidR="0018790D" w:rsidRDefault="0018790D" w:rsidP="00534C9C">
      <w:pPr>
        <w:pStyle w:val="NICCYBodyText"/>
        <w:rPr>
          <w:lang w:val="en-US"/>
        </w:rPr>
      </w:pPr>
      <w:r>
        <w:rPr>
          <w:lang w:val="en-US"/>
        </w:rPr>
        <w:br/>
        <w:t>The Community Family Support Programme is a Delivering Social Change signature project entitled</w:t>
      </w:r>
      <w:r w:rsidR="00534C9C">
        <w:rPr>
          <w:lang w:val="en-US"/>
        </w:rPr>
        <w:t xml:space="preserve"> </w:t>
      </w:r>
      <w:r>
        <w:rPr>
          <w:lang w:val="en-US"/>
        </w:rPr>
        <w:t>‘Pathways t</w:t>
      </w:r>
      <w:r w:rsidR="00534C9C">
        <w:rPr>
          <w:lang w:val="en-US"/>
        </w:rPr>
        <w:t xml:space="preserve">o Employment for Young People’.  </w:t>
      </w:r>
      <w:r>
        <w:rPr>
          <w:lang w:val="en-US"/>
        </w:rPr>
        <w:t>This programme, led by DEL, is being delivered in five</w:t>
      </w:r>
      <w:r w:rsidR="00534C9C">
        <w:rPr>
          <w:lang w:val="en-US"/>
        </w:rPr>
        <w:t xml:space="preserve"> </w:t>
      </w:r>
      <w:r>
        <w:rPr>
          <w:lang w:val="en-US"/>
        </w:rPr>
        <w:t>areas, based on the Health and Social Care Trust areas. Community Family Support Programme</w:t>
      </w:r>
      <w:r w:rsidR="00534C9C">
        <w:rPr>
          <w:lang w:val="en-US"/>
        </w:rPr>
        <w:t xml:space="preserve"> </w:t>
      </w:r>
      <w:r>
        <w:rPr>
          <w:lang w:val="en-US"/>
        </w:rPr>
        <w:t>providers work in partnership with statutory agencies such as Health and Social Care Trusts and the</w:t>
      </w:r>
      <w:r w:rsidR="00534C9C">
        <w:rPr>
          <w:lang w:val="en-US"/>
        </w:rPr>
        <w:t xml:space="preserve"> </w:t>
      </w:r>
      <w:r>
        <w:rPr>
          <w:lang w:val="en-US"/>
        </w:rPr>
        <w:t>Youth Justice Agency to support families.</w:t>
      </w:r>
    </w:p>
    <w:p w:rsidR="00534C9C" w:rsidRDefault="00534C9C" w:rsidP="00534C9C">
      <w:pPr>
        <w:pStyle w:val="NICCYBodyText"/>
        <w:rPr>
          <w:lang w:val="en-US"/>
        </w:rPr>
      </w:pPr>
    </w:p>
    <w:p w:rsidR="0018790D" w:rsidRDefault="0018790D" w:rsidP="00534C9C">
      <w:pPr>
        <w:pStyle w:val="NICCYBodyText"/>
        <w:rPr>
          <w:lang w:val="en-US"/>
        </w:rPr>
      </w:pPr>
      <w:r>
        <w:rPr>
          <w:lang w:val="en-US"/>
        </w:rPr>
        <w:t>A Family Support Hub is a multi-agency network of statutory, community and voluntary organizations</w:t>
      </w:r>
      <w:r w:rsidR="00534C9C">
        <w:rPr>
          <w:lang w:val="en-US"/>
        </w:rPr>
        <w:t xml:space="preserve"> </w:t>
      </w:r>
      <w:r>
        <w:rPr>
          <w:lang w:val="en-US"/>
        </w:rPr>
        <w:t>that either provide early intervention services or work with families who need early intervention services.</w:t>
      </w:r>
      <w:r w:rsidR="00534C9C">
        <w:rPr>
          <w:lang w:val="en-US"/>
        </w:rPr>
        <w:t xml:space="preserve">  </w:t>
      </w:r>
      <w:r>
        <w:rPr>
          <w:lang w:val="en-US"/>
        </w:rPr>
        <w:t>Delivering Social Change funding has been used to establish a further 10 hubs, bringing the total to</w:t>
      </w:r>
      <w:r w:rsidR="00534C9C">
        <w:rPr>
          <w:lang w:val="en-US"/>
        </w:rPr>
        <w:t xml:space="preserve"> 25 across Northern Ireland.  </w:t>
      </w:r>
      <w:r>
        <w:rPr>
          <w:lang w:val="en-US"/>
        </w:rPr>
        <w:t>This funding will also enable a minimum of 1700 additional family support</w:t>
      </w:r>
      <w:r w:rsidR="00534C9C">
        <w:rPr>
          <w:lang w:val="en-US"/>
        </w:rPr>
        <w:t xml:space="preserve"> </w:t>
      </w:r>
      <w:r>
        <w:rPr>
          <w:lang w:val="en-US"/>
        </w:rPr>
        <w:t>interventions to be delivered, across a two year period, in addition to the interventions already being</w:t>
      </w:r>
      <w:r w:rsidR="00534C9C">
        <w:rPr>
          <w:lang w:val="en-US"/>
        </w:rPr>
        <w:t xml:space="preserve"> </w:t>
      </w:r>
      <w:r>
        <w:rPr>
          <w:lang w:val="en-US"/>
        </w:rPr>
        <w:t>provided.</w:t>
      </w:r>
      <w:r w:rsidR="00534C9C">
        <w:rPr>
          <w:lang w:val="en-US"/>
        </w:rPr>
        <w:t xml:space="preserve">  </w:t>
      </w:r>
      <w:r>
        <w:rPr>
          <w:lang w:val="en-US"/>
        </w:rPr>
        <w:t>The network accepts referrals of families who need early intervention family support and uses their</w:t>
      </w:r>
    </w:p>
    <w:p w:rsidR="0018790D" w:rsidRDefault="0018790D" w:rsidP="00534C9C">
      <w:pPr>
        <w:pStyle w:val="NICCYBodyText"/>
        <w:rPr>
          <w:lang w:val="en-US"/>
        </w:rPr>
      </w:pPr>
      <w:r>
        <w:rPr>
          <w:lang w:val="en-US"/>
        </w:rPr>
        <w:t xml:space="preserve">knowledge of local service providers </w:t>
      </w:r>
      <w:r w:rsidR="00534C9C">
        <w:rPr>
          <w:lang w:val="en-US"/>
        </w:rPr>
        <w:t xml:space="preserve">and the Family Support Database </w:t>
      </w:r>
      <w:r>
        <w:rPr>
          <w:lang w:val="en-US"/>
        </w:rPr>
        <w:t>(www.familysupportni.gov.uk) to</w:t>
      </w:r>
      <w:r w:rsidR="00534C9C">
        <w:rPr>
          <w:lang w:val="en-US"/>
        </w:rPr>
        <w:t xml:space="preserve"> </w:t>
      </w:r>
      <w:r>
        <w:rPr>
          <w:lang w:val="en-US"/>
        </w:rPr>
        <w:t>signpost families with specific needs to appropriate services.</w:t>
      </w:r>
    </w:p>
    <w:p w:rsidR="00534C9C" w:rsidRDefault="002229F6" w:rsidP="00534C9C">
      <w:hyperlink w:anchor="_top" w:history="1">
        <w:r w:rsidR="00534C9C" w:rsidRPr="007715F2">
          <w:rPr>
            <w:rStyle w:val="Hyperlink"/>
          </w:rPr>
          <w:t>Back to Top</w:t>
        </w:r>
      </w:hyperlink>
    </w:p>
    <w:p w:rsidR="0018790D" w:rsidRDefault="0018790D" w:rsidP="00534C9C">
      <w:pPr>
        <w:pStyle w:val="NICCYBodyText"/>
        <w:rPr>
          <w:lang w:val="en-US"/>
        </w:rPr>
      </w:pPr>
    </w:p>
    <w:p w:rsidR="0018790D" w:rsidRDefault="00534C9C" w:rsidP="00534C9C">
      <w:pPr>
        <w:pStyle w:val="NICCYHeading"/>
        <w:rPr>
          <w:lang w:val="en-US"/>
        </w:rPr>
      </w:pPr>
      <w:r>
        <w:rPr>
          <w:lang w:val="en-US"/>
        </w:rPr>
        <w:t>Department of Justice</w:t>
      </w:r>
    </w:p>
    <w:p w:rsidR="0018790D" w:rsidRPr="00534C9C" w:rsidRDefault="0018790D" w:rsidP="00534C9C">
      <w:pPr>
        <w:pStyle w:val="Heading2"/>
        <w:rPr>
          <w:color w:val="23A4DE"/>
          <w:lang w:val="en-US"/>
        </w:rPr>
      </w:pPr>
      <w:bookmarkStart w:id="16" w:name="_Sexual_Offences_Act"/>
      <w:bookmarkEnd w:id="16"/>
      <w:r w:rsidRPr="00534C9C">
        <w:rPr>
          <w:color w:val="23A4DE"/>
          <w:lang w:val="en-US"/>
        </w:rPr>
        <w:t>Sexual Offences Act 2003 [Sections below relate to trafficking]</w:t>
      </w:r>
    </w:p>
    <w:p w:rsidR="00534C9C" w:rsidRDefault="0018790D" w:rsidP="00534C9C">
      <w:pPr>
        <w:pStyle w:val="NICCYBodyText"/>
        <w:rPr>
          <w:lang w:val="en-US"/>
        </w:rPr>
      </w:pPr>
      <w:r w:rsidRPr="00534C9C">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Justice how many cases involving offences under</w:t>
      </w:r>
    </w:p>
    <w:p w:rsidR="00534C9C" w:rsidRDefault="0018790D" w:rsidP="00534C9C">
      <w:pPr>
        <w:pStyle w:val="NICCYBodyText"/>
        <w:rPr>
          <w:lang w:val="en-US"/>
        </w:rPr>
      </w:pPr>
      <w:r>
        <w:rPr>
          <w:lang w:val="en-US"/>
        </w:rPr>
        <w:t xml:space="preserve"> (</w:t>
      </w:r>
      <w:proofErr w:type="spellStart"/>
      <w:proofErr w:type="gramStart"/>
      <w:r>
        <w:rPr>
          <w:lang w:val="en-US"/>
        </w:rPr>
        <w:t>i</w:t>
      </w:r>
      <w:proofErr w:type="spellEnd"/>
      <w:proofErr w:type="gramEnd"/>
      <w:r>
        <w:rPr>
          <w:lang w:val="en-US"/>
        </w:rPr>
        <w:t>) Section 57 of</w:t>
      </w:r>
      <w:r w:rsidR="00534C9C">
        <w:rPr>
          <w:lang w:val="en-US"/>
        </w:rPr>
        <w:t xml:space="preserve"> </w:t>
      </w:r>
      <w:r>
        <w:rPr>
          <w:lang w:val="en-US"/>
        </w:rPr>
        <w:t xml:space="preserve">the Sexual Offences Act 2003; </w:t>
      </w:r>
    </w:p>
    <w:p w:rsidR="00534C9C" w:rsidRDefault="0018790D" w:rsidP="00534C9C">
      <w:pPr>
        <w:pStyle w:val="NICCYBodyText"/>
        <w:rPr>
          <w:lang w:val="en-US"/>
        </w:rPr>
      </w:pPr>
      <w:r>
        <w:rPr>
          <w:lang w:val="en-US"/>
        </w:rPr>
        <w:t xml:space="preserve">(ii) Section 58 of the Sexual Offences Act 2003; </w:t>
      </w:r>
    </w:p>
    <w:p w:rsidR="00534C9C" w:rsidRDefault="0018790D" w:rsidP="00534C9C">
      <w:pPr>
        <w:pStyle w:val="NICCYBodyText"/>
        <w:rPr>
          <w:lang w:val="en-US"/>
        </w:rPr>
      </w:pPr>
      <w:r>
        <w:rPr>
          <w:lang w:val="en-US"/>
        </w:rPr>
        <w:t>(iii) Section 58A of the</w:t>
      </w:r>
      <w:r w:rsidR="00534C9C">
        <w:rPr>
          <w:lang w:val="en-US"/>
        </w:rPr>
        <w:t xml:space="preserve"> </w:t>
      </w:r>
      <w:r>
        <w:rPr>
          <w:lang w:val="en-US"/>
        </w:rPr>
        <w:t xml:space="preserve">Sexual Offences Act 2003; and </w:t>
      </w:r>
    </w:p>
    <w:p w:rsidR="00454EA3" w:rsidRDefault="0018790D" w:rsidP="00534C9C">
      <w:pPr>
        <w:pStyle w:val="NICCYBodyText"/>
        <w:rPr>
          <w:lang w:val="en-US"/>
        </w:rPr>
      </w:pPr>
      <w:r>
        <w:rPr>
          <w:lang w:val="en-US"/>
        </w:rPr>
        <w:t xml:space="preserve">(iv) Section 59 of the Sexual Offences Act 2003, are </w:t>
      </w:r>
    </w:p>
    <w:p w:rsidR="00454EA3" w:rsidRDefault="0018790D" w:rsidP="00534C9C">
      <w:pPr>
        <w:pStyle w:val="NICCYBodyText"/>
        <w:rPr>
          <w:lang w:val="en-US"/>
        </w:rPr>
      </w:pPr>
      <w:r>
        <w:rPr>
          <w:lang w:val="en-US"/>
        </w:rPr>
        <w:t xml:space="preserve">currently in the </w:t>
      </w:r>
    </w:p>
    <w:p w:rsidR="0018790D" w:rsidRDefault="0018790D" w:rsidP="00534C9C">
      <w:pPr>
        <w:pStyle w:val="NICCYBodyText"/>
        <w:rPr>
          <w:lang w:val="en-US"/>
        </w:rPr>
      </w:pPr>
      <w:r>
        <w:rPr>
          <w:lang w:val="en-US"/>
        </w:rPr>
        <w:t>(a)</w:t>
      </w:r>
      <w:r w:rsidR="00454EA3">
        <w:rPr>
          <w:lang w:val="en-US"/>
        </w:rPr>
        <w:t xml:space="preserve"> </w:t>
      </w:r>
      <w:r>
        <w:rPr>
          <w:lang w:val="en-US"/>
        </w:rPr>
        <w:t>Magistrates Court; and (b) Crown court systems, broken down by court division.</w:t>
      </w:r>
    </w:p>
    <w:p w:rsidR="0018790D" w:rsidRDefault="0018790D" w:rsidP="00534C9C">
      <w:pPr>
        <w:pStyle w:val="NICCYBodyText"/>
        <w:rPr>
          <w:rFonts w:ascii="ITCFranklinGothicDemi" w:hAnsi="ITCFranklinGothicDemi" w:cs="ITCFranklinGothicDemi"/>
          <w:lang w:val="en-US"/>
        </w:rPr>
      </w:pPr>
      <w:r>
        <w:rPr>
          <w:rFonts w:ascii="ITCFranklinGothicDemi" w:hAnsi="ITCFranklinGothicDemi" w:cs="ITCFranklinGothicDemi"/>
          <w:lang w:val="en-US"/>
        </w:rPr>
        <w:t>(AQW 33659/11-15)</w:t>
      </w:r>
    </w:p>
    <w:p w:rsidR="00454EA3" w:rsidRDefault="00454EA3" w:rsidP="00534C9C">
      <w:pPr>
        <w:pStyle w:val="NICCYBodyText"/>
        <w:rPr>
          <w:rFonts w:ascii="ITCFranklinGothicDemi" w:hAnsi="ITCFranklinGothicDemi" w:cs="ITCFranklinGothicDemi"/>
          <w:lang w:val="en-US"/>
        </w:rPr>
      </w:pPr>
    </w:p>
    <w:p w:rsidR="0018790D" w:rsidRDefault="0018790D" w:rsidP="00534C9C">
      <w:pPr>
        <w:pStyle w:val="NICCYBodyText"/>
        <w:rPr>
          <w:lang w:val="en-US"/>
        </w:rPr>
      </w:pPr>
      <w:r w:rsidRPr="00454EA3">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The following table details the number of cases in the Magistrates’ Courts by court division as</w:t>
      </w:r>
      <w:r w:rsidR="00454EA3">
        <w:rPr>
          <w:lang w:val="en-US"/>
        </w:rPr>
        <w:t xml:space="preserve"> at 27 May 2014.  </w:t>
      </w:r>
      <w:r>
        <w:rPr>
          <w:lang w:val="en-US"/>
        </w:rPr>
        <w:t>There were no cases in the Crown Court at this date.</w:t>
      </w:r>
    </w:p>
    <w:p w:rsidR="00454EA3" w:rsidRDefault="00454EA3" w:rsidP="00534C9C">
      <w:pPr>
        <w:pStyle w:val="NICCYBodyText"/>
        <w:rPr>
          <w:rFonts w:ascii="ITCFranklinGothicDemi" w:hAnsi="ITCFranklinGothicDemi" w:cs="ITCFranklinGothicDemi"/>
          <w:lang w:val="en-US"/>
        </w:rPr>
      </w:pPr>
    </w:p>
    <w:tbl>
      <w:tblPr>
        <w:tblStyle w:val="TableGrid"/>
        <w:tblW w:w="0" w:type="auto"/>
        <w:tblLook w:val="04A0"/>
      </w:tblPr>
      <w:tblGrid>
        <w:gridCol w:w="5070"/>
        <w:gridCol w:w="1134"/>
        <w:gridCol w:w="1401"/>
        <w:gridCol w:w="1292"/>
        <w:gridCol w:w="951"/>
      </w:tblGrid>
      <w:tr w:rsidR="00454EA3" w:rsidRPr="00454EA3" w:rsidTr="00454EA3">
        <w:tc>
          <w:tcPr>
            <w:tcW w:w="5070" w:type="dxa"/>
            <w:vMerge w:val="restart"/>
            <w:vAlign w:val="center"/>
          </w:tcPr>
          <w:p w:rsidR="00454EA3" w:rsidRPr="00454EA3" w:rsidRDefault="00454EA3" w:rsidP="00454EA3">
            <w:pPr>
              <w:pStyle w:val="NICCYBodyText"/>
              <w:rPr>
                <w:b/>
                <w:sz w:val="22"/>
                <w:szCs w:val="22"/>
                <w:lang w:val="en-US"/>
              </w:rPr>
            </w:pPr>
            <w:r w:rsidRPr="00454EA3">
              <w:rPr>
                <w:b/>
                <w:sz w:val="22"/>
                <w:szCs w:val="22"/>
                <w:lang w:val="en-US"/>
              </w:rPr>
              <w:t>Offence</w:t>
            </w:r>
          </w:p>
        </w:tc>
        <w:tc>
          <w:tcPr>
            <w:tcW w:w="3827" w:type="dxa"/>
            <w:gridSpan w:val="3"/>
          </w:tcPr>
          <w:p w:rsidR="00454EA3" w:rsidRPr="00454EA3" w:rsidRDefault="00454EA3" w:rsidP="00454EA3">
            <w:pPr>
              <w:pStyle w:val="NICCYBodyText"/>
              <w:jc w:val="center"/>
              <w:rPr>
                <w:b/>
                <w:sz w:val="22"/>
                <w:szCs w:val="22"/>
                <w:lang w:val="en-US"/>
              </w:rPr>
            </w:pPr>
            <w:r w:rsidRPr="00454EA3">
              <w:rPr>
                <w:b/>
                <w:sz w:val="22"/>
                <w:szCs w:val="22"/>
                <w:lang w:val="en-US"/>
              </w:rPr>
              <w:t>Court Division</w:t>
            </w:r>
          </w:p>
        </w:tc>
        <w:tc>
          <w:tcPr>
            <w:tcW w:w="951" w:type="dxa"/>
            <w:vMerge w:val="restart"/>
            <w:vAlign w:val="center"/>
          </w:tcPr>
          <w:p w:rsidR="00454EA3" w:rsidRPr="00454EA3" w:rsidRDefault="00454EA3" w:rsidP="00454EA3">
            <w:pPr>
              <w:pStyle w:val="NICCYBodyText"/>
              <w:rPr>
                <w:b/>
                <w:sz w:val="22"/>
                <w:szCs w:val="22"/>
                <w:lang w:val="en-US"/>
              </w:rPr>
            </w:pPr>
            <w:r w:rsidRPr="00454EA3">
              <w:rPr>
                <w:b/>
                <w:sz w:val="22"/>
                <w:szCs w:val="22"/>
                <w:lang w:val="en-US"/>
              </w:rPr>
              <w:t>Total</w:t>
            </w:r>
          </w:p>
        </w:tc>
      </w:tr>
      <w:tr w:rsidR="00454EA3" w:rsidRPr="00454EA3" w:rsidTr="00454EA3">
        <w:tc>
          <w:tcPr>
            <w:tcW w:w="5070" w:type="dxa"/>
            <w:vMerge/>
          </w:tcPr>
          <w:p w:rsidR="00454EA3" w:rsidRPr="00454EA3" w:rsidRDefault="00454EA3" w:rsidP="00534C9C">
            <w:pPr>
              <w:pStyle w:val="NICCYBodyText"/>
              <w:rPr>
                <w:sz w:val="22"/>
                <w:szCs w:val="22"/>
                <w:lang w:val="en-US"/>
              </w:rPr>
            </w:pPr>
          </w:p>
        </w:tc>
        <w:tc>
          <w:tcPr>
            <w:tcW w:w="1134" w:type="dxa"/>
          </w:tcPr>
          <w:p w:rsidR="00454EA3" w:rsidRPr="00454EA3" w:rsidRDefault="00454EA3" w:rsidP="00534C9C">
            <w:pPr>
              <w:pStyle w:val="NICCYBodyText"/>
              <w:rPr>
                <w:b/>
                <w:sz w:val="22"/>
                <w:szCs w:val="22"/>
                <w:lang w:val="en-US"/>
              </w:rPr>
            </w:pPr>
            <w:proofErr w:type="spellStart"/>
            <w:r w:rsidRPr="00454EA3">
              <w:rPr>
                <w:b/>
                <w:sz w:val="22"/>
                <w:szCs w:val="22"/>
                <w:lang w:val="en-US"/>
              </w:rPr>
              <w:t>Ards</w:t>
            </w:r>
            <w:proofErr w:type="spellEnd"/>
          </w:p>
        </w:tc>
        <w:tc>
          <w:tcPr>
            <w:tcW w:w="1401" w:type="dxa"/>
          </w:tcPr>
          <w:p w:rsidR="00454EA3" w:rsidRPr="00454EA3" w:rsidRDefault="00454EA3" w:rsidP="00534C9C">
            <w:pPr>
              <w:pStyle w:val="NICCYBodyText"/>
              <w:rPr>
                <w:b/>
                <w:sz w:val="22"/>
                <w:szCs w:val="22"/>
                <w:lang w:val="en-US"/>
              </w:rPr>
            </w:pPr>
            <w:r w:rsidRPr="00454EA3">
              <w:rPr>
                <w:b/>
                <w:sz w:val="22"/>
                <w:szCs w:val="22"/>
                <w:lang w:val="en-US"/>
              </w:rPr>
              <w:t>Belfast</w:t>
            </w:r>
          </w:p>
        </w:tc>
        <w:tc>
          <w:tcPr>
            <w:tcW w:w="1292" w:type="dxa"/>
          </w:tcPr>
          <w:p w:rsidR="00454EA3" w:rsidRPr="00454EA3" w:rsidRDefault="00454EA3" w:rsidP="00534C9C">
            <w:pPr>
              <w:pStyle w:val="NICCYBodyText"/>
              <w:rPr>
                <w:b/>
                <w:sz w:val="22"/>
                <w:szCs w:val="22"/>
                <w:lang w:val="en-US"/>
              </w:rPr>
            </w:pPr>
            <w:r w:rsidRPr="00454EA3">
              <w:rPr>
                <w:b/>
                <w:sz w:val="22"/>
                <w:szCs w:val="22"/>
                <w:lang w:val="en-US"/>
              </w:rPr>
              <w:t>Craigavon</w:t>
            </w:r>
          </w:p>
        </w:tc>
        <w:tc>
          <w:tcPr>
            <w:tcW w:w="951" w:type="dxa"/>
            <w:vMerge/>
          </w:tcPr>
          <w:p w:rsidR="00454EA3" w:rsidRPr="00454EA3" w:rsidRDefault="00454EA3" w:rsidP="00534C9C">
            <w:pPr>
              <w:pStyle w:val="NICCYBodyText"/>
              <w:rPr>
                <w:sz w:val="22"/>
                <w:szCs w:val="22"/>
                <w:lang w:val="en-US"/>
              </w:rPr>
            </w:pPr>
          </w:p>
        </w:tc>
      </w:tr>
      <w:tr w:rsidR="00454EA3" w:rsidRPr="00454EA3" w:rsidTr="00454EA3">
        <w:tc>
          <w:tcPr>
            <w:tcW w:w="5070" w:type="dxa"/>
          </w:tcPr>
          <w:p w:rsidR="00454EA3" w:rsidRPr="00454EA3" w:rsidRDefault="00454EA3" w:rsidP="00534C9C">
            <w:pPr>
              <w:pStyle w:val="NICCYBodyText"/>
              <w:rPr>
                <w:sz w:val="22"/>
                <w:szCs w:val="22"/>
                <w:lang w:val="en-US"/>
              </w:rPr>
            </w:pPr>
            <w:proofErr w:type="spellStart"/>
            <w:r w:rsidRPr="00454EA3">
              <w:rPr>
                <w:sz w:val="22"/>
                <w:szCs w:val="22"/>
                <w:lang w:val="en-US"/>
              </w:rPr>
              <w:t>i</w:t>
            </w:r>
            <w:proofErr w:type="spellEnd"/>
            <w:r w:rsidRPr="00454EA3">
              <w:rPr>
                <w:sz w:val="22"/>
                <w:szCs w:val="22"/>
                <w:lang w:val="en-US"/>
              </w:rPr>
              <w:t>) Section 57 Sexual Offences Act 2003</w:t>
            </w:r>
          </w:p>
        </w:tc>
        <w:tc>
          <w:tcPr>
            <w:tcW w:w="1134" w:type="dxa"/>
          </w:tcPr>
          <w:p w:rsidR="00454EA3" w:rsidRPr="00454EA3" w:rsidRDefault="00454EA3" w:rsidP="00534C9C">
            <w:pPr>
              <w:pStyle w:val="NICCYBodyText"/>
              <w:rPr>
                <w:sz w:val="22"/>
                <w:szCs w:val="22"/>
                <w:lang w:val="en-US"/>
              </w:rPr>
            </w:pPr>
            <w:r w:rsidRPr="00454EA3">
              <w:rPr>
                <w:sz w:val="22"/>
                <w:szCs w:val="22"/>
                <w:lang w:val="en-US"/>
              </w:rPr>
              <w:t>0</w:t>
            </w:r>
          </w:p>
        </w:tc>
        <w:tc>
          <w:tcPr>
            <w:tcW w:w="1401" w:type="dxa"/>
          </w:tcPr>
          <w:p w:rsidR="00454EA3" w:rsidRPr="00454EA3" w:rsidRDefault="00454EA3" w:rsidP="00534C9C">
            <w:pPr>
              <w:pStyle w:val="NICCYBodyText"/>
              <w:rPr>
                <w:sz w:val="22"/>
                <w:szCs w:val="22"/>
                <w:lang w:val="en-US"/>
              </w:rPr>
            </w:pPr>
            <w:r w:rsidRPr="00454EA3">
              <w:rPr>
                <w:sz w:val="22"/>
                <w:szCs w:val="22"/>
                <w:lang w:val="en-US"/>
              </w:rPr>
              <w:t>0</w:t>
            </w:r>
          </w:p>
        </w:tc>
        <w:tc>
          <w:tcPr>
            <w:tcW w:w="1292" w:type="dxa"/>
          </w:tcPr>
          <w:p w:rsidR="00454EA3" w:rsidRPr="00454EA3" w:rsidRDefault="00454EA3" w:rsidP="00534C9C">
            <w:pPr>
              <w:pStyle w:val="NICCYBodyText"/>
              <w:rPr>
                <w:sz w:val="22"/>
                <w:szCs w:val="22"/>
                <w:lang w:val="en-US"/>
              </w:rPr>
            </w:pPr>
            <w:r w:rsidRPr="00454EA3">
              <w:rPr>
                <w:sz w:val="22"/>
                <w:szCs w:val="22"/>
                <w:lang w:val="en-US"/>
              </w:rPr>
              <w:t>0</w:t>
            </w:r>
          </w:p>
        </w:tc>
        <w:tc>
          <w:tcPr>
            <w:tcW w:w="951" w:type="dxa"/>
          </w:tcPr>
          <w:p w:rsidR="00454EA3" w:rsidRPr="00454EA3" w:rsidRDefault="00454EA3" w:rsidP="00534C9C">
            <w:pPr>
              <w:pStyle w:val="NICCYBodyText"/>
              <w:rPr>
                <w:b/>
                <w:sz w:val="22"/>
                <w:szCs w:val="22"/>
                <w:lang w:val="en-US"/>
              </w:rPr>
            </w:pPr>
            <w:r w:rsidRPr="00454EA3">
              <w:rPr>
                <w:b/>
                <w:sz w:val="22"/>
                <w:szCs w:val="22"/>
                <w:lang w:val="en-US"/>
              </w:rPr>
              <w:t>0</w:t>
            </w:r>
          </w:p>
        </w:tc>
      </w:tr>
      <w:tr w:rsidR="00454EA3" w:rsidRPr="00454EA3" w:rsidTr="00454EA3">
        <w:tc>
          <w:tcPr>
            <w:tcW w:w="5070" w:type="dxa"/>
          </w:tcPr>
          <w:p w:rsidR="00454EA3" w:rsidRPr="00454EA3" w:rsidRDefault="00454EA3" w:rsidP="00534C9C">
            <w:pPr>
              <w:pStyle w:val="NICCYBodyText"/>
              <w:rPr>
                <w:sz w:val="22"/>
                <w:szCs w:val="22"/>
                <w:lang w:val="en-US"/>
              </w:rPr>
            </w:pPr>
            <w:r w:rsidRPr="00454EA3">
              <w:rPr>
                <w:sz w:val="22"/>
                <w:szCs w:val="22"/>
                <w:lang w:val="en-US"/>
              </w:rPr>
              <w:t>ii) Section 58 (1) Sexual Offences Act 2003</w:t>
            </w:r>
          </w:p>
        </w:tc>
        <w:tc>
          <w:tcPr>
            <w:tcW w:w="1134" w:type="dxa"/>
          </w:tcPr>
          <w:p w:rsidR="00454EA3" w:rsidRPr="00454EA3" w:rsidRDefault="00454EA3" w:rsidP="00534C9C">
            <w:pPr>
              <w:pStyle w:val="NICCYBodyText"/>
              <w:rPr>
                <w:sz w:val="22"/>
                <w:szCs w:val="22"/>
                <w:lang w:val="en-US"/>
              </w:rPr>
            </w:pPr>
            <w:r w:rsidRPr="00454EA3">
              <w:rPr>
                <w:sz w:val="22"/>
                <w:szCs w:val="22"/>
                <w:lang w:val="en-US"/>
              </w:rPr>
              <w:t>1</w:t>
            </w:r>
          </w:p>
        </w:tc>
        <w:tc>
          <w:tcPr>
            <w:tcW w:w="1401" w:type="dxa"/>
          </w:tcPr>
          <w:p w:rsidR="00454EA3" w:rsidRPr="00454EA3" w:rsidRDefault="00454EA3" w:rsidP="00534C9C">
            <w:pPr>
              <w:pStyle w:val="NICCYBodyText"/>
              <w:rPr>
                <w:sz w:val="22"/>
                <w:szCs w:val="22"/>
                <w:lang w:val="en-US"/>
              </w:rPr>
            </w:pPr>
            <w:r w:rsidRPr="00454EA3">
              <w:rPr>
                <w:sz w:val="22"/>
                <w:szCs w:val="22"/>
                <w:lang w:val="en-US"/>
              </w:rPr>
              <w:t>0</w:t>
            </w:r>
          </w:p>
        </w:tc>
        <w:tc>
          <w:tcPr>
            <w:tcW w:w="1292" w:type="dxa"/>
          </w:tcPr>
          <w:p w:rsidR="00454EA3" w:rsidRPr="00454EA3" w:rsidRDefault="00454EA3" w:rsidP="00534C9C">
            <w:pPr>
              <w:pStyle w:val="NICCYBodyText"/>
              <w:rPr>
                <w:sz w:val="22"/>
                <w:szCs w:val="22"/>
                <w:lang w:val="en-US"/>
              </w:rPr>
            </w:pPr>
            <w:r w:rsidRPr="00454EA3">
              <w:rPr>
                <w:sz w:val="22"/>
                <w:szCs w:val="22"/>
                <w:lang w:val="en-US"/>
              </w:rPr>
              <w:t>1</w:t>
            </w:r>
          </w:p>
        </w:tc>
        <w:tc>
          <w:tcPr>
            <w:tcW w:w="951" w:type="dxa"/>
          </w:tcPr>
          <w:p w:rsidR="00454EA3" w:rsidRPr="00454EA3" w:rsidRDefault="00454EA3" w:rsidP="00534C9C">
            <w:pPr>
              <w:pStyle w:val="NICCYBodyText"/>
              <w:rPr>
                <w:b/>
                <w:sz w:val="22"/>
                <w:szCs w:val="22"/>
                <w:lang w:val="en-US"/>
              </w:rPr>
            </w:pPr>
            <w:r w:rsidRPr="00454EA3">
              <w:rPr>
                <w:b/>
                <w:sz w:val="22"/>
                <w:szCs w:val="22"/>
                <w:lang w:val="en-US"/>
              </w:rPr>
              <w:t>2</w:t>
            </w:r>
          </w:p>
        </w:tc>
      </w:tr>
      <w:tr w:rsidR="00454EA3" w:rsidRPr="00454EA3" w:rsidTr="00454EA3">
        <w:tc>
          <w:tcPr>
            <w:tcW w:w="5070" w:type="dxa"/>
          </w:tcPr>
          <w:p w:rsidR="00454EA3" w:rsidRPr="00454EA3" w:rsidRDefault="00454EA3" w:rsidP="00534C9C">
            <w:pPr>
              <w:pStyle w:val="NICCYBodyText"/>
              <w:rPr>
                <w:sz w:val="22"/>
                <w:szCs w:val="22"/>
                <w:lang w:val="en-US"/>
              </w:rPr>
            </w:pPr>
            <w:r w:rsidRPr="00454EA3">
              <w:rPr>
                <w:sz w:val="22"/>
                <w:szCs w:val="22"/>
                <w:lang w:val="en-US"/>
              </w:rPr>
              <w:t>iii) Section 58 (1), (a) Sexual Offences Act 2003</w:t>
            </w:r>
          </w:p>
        </w:tc>
        <w:tc>
          <w:tcPr>
            <w:tcW w:w="1134" w:type="dxa"/>
          </w:tcPr>
          <w:p w:rsidR="00454EA3" w:rsidRPr="00454EA3" w:rsidRDefault="00454EA3" w:rsidP="00534C9C">
            <w:pPr>
              <w:pStyle w:val="NICCYBodyText"/>
              <w:rPr>
                <w:sz w:val="22"/>
                <w:szCs w:val="22"/>
                <w:lang w:val="en-US"/>
              </w:rPr>
            </w:pPr>
            <w:r w:rsidRPr="00454EA3">
              <w:rPr>
                <w:sz w:val="22"/>
                <w:szCs w:val="22"/>
                <w:lang w:val="en-US"/>
              </w:rPr>
              <w:t>0</w:t>
            </w:r>
          </w:p>
        </w:tc>
        <w:tc>
          <w:tcPr>
            <w:tcW w:w="1401" w:type="dxa"/>
          </w:tcPr>
          <w:p w:rsidR="00454EA3" w:rsidRPr="00454EA3" w:rsidRDefault="00454EA3" w:rsidP="00534C9C">
            <w:pPr>
              <w:pStyle w:val="NICCYBodyText"/>
              <w:rPr>
                <w:sz w:val="22"/>
                <w:szCs w:val="22"/>
                <w:lang w:val="en-US"/>
              </w:rPr>
            </w:pPr>
            <w:r w:rsidRPr="00454EA3">
              <w:rPr>
                <w:sz w:val="22"/>
                <w:szCs w:val="22"/>
                <w:lang w:val="en-US"/>
              </w:rPr>
              <w:t>1</w:t>
            </w:r>
          </w:p>
        </w:tc>
        <w:tc>
          <w:tcPr>
            <w:tcW w:w="1292" w:type="dxa"/>
          </w:tcPr>
          <w:p w:rsidR="00454EA3" w:rsidRPr="00454EA3" w:rsidRDefault="00454EA3" w:rsidP="00534C9C">
            <w:pPr>
              <w:pStyle w:val="NICCYBodyText"/>
              <w:rPr>
                <w:sz w:val="22"/>
                <w:szCs w:val="22"/>
                <w:lang w:val="en-US"/>
              </w:rPr>
            </w:pPr>
            <w:r w:rsidRPr="00454EA3">
              <w:rPr>
                <w:sz w:val="22"/>
                <w:szCs w:val="22"/>
                <w:lang w:val="en-US"/>
              </w:rPr>
              <w:t>0</w:t>
            </w:r>
          </w:p>
        </w:tc>
        <w:tc>
          <w:tcPr>
            <w:tcW w:w="951" w:type="dxa"/>
          </w:tcPr>
          <w:p w:rsidR="00454EA3" w:rsidRPr="00454EA3" w:rsidRDefault="00454EA3" w:rsidP="00534C9C">
            <w:pPr>
              <w:pStyle w:val="NICCYBodyText"/>
              <w:rPr>
                <w:b/>
                <w:sz w:val="22"/>
                <w:szCs w:val="22"/>
                <w:lang w:val="en-US"/>
              </w:rPr>
            </w:pPr>
            <w:r w:rsidRPr="00454EA3">
              <w:rPr>
                <w:b/>
                <w:sz w:val="22"/>
                <w:szCs w:val="22"/>
                <w:lang w:val="en-US"/>
              </w:rPr>
              <w:t>1</w:t>
            </w:r>
          </w:p>
        </w:tc>
      </w:tr>
      <w:tr w:rsidR="00454EA3" w:rsidRPr="00454EA3" w:rsidTr="00454EA3">
        <w:tc>
          <w:tcPr>
            <w:tcW w:w="5070" w:type="dxa"/>
          </w:tcPr>
          <w:p w:rsidR="00454EA3" w:rsidRPr="00454EA3" w:rsidRDefault="00454EA3" w:rsidP="00534C9C">
            <w:pPr>
              <w:pStyle w:val="NICCYBodyText"/>
              <w:rPr>
                <w:sz w:val="22"/>
                <w:szCs w:val="22"/>
                <w:lang w:val="en-US"/>
              </w:rPr>
            </w:pPr>
            <w:r w:rsidRPr="00454EA3">
              <w:rPr>
                <w:sz w:val="22"/>
                <w:szCs w:val="22"/>
                <w:lang w:val="en-US"/>
              </w:rPr>
              <w:t>(iv) Section 59 Sexual Offences Act 2003</w:t>
            </w:r>
          </w:p>
        </w:tc>
        <w:tc>
          <w:tcPr>
            <w:tcW w:w="1134" w:type="dxa"/>
          </w:tcPr>
          <w:p w:rsidR="00454EA3" w:rsidRPr="00454EA3" w:rsidRDefault="00454EA3" w:rsidP="00534C9C">
            <w:pPr>
              <w:pStyle w:val="NICCYBodyText"/>
              <w:rPr>
                <w:sz w:val="22"/>
                <w:szCs w:val="22"/>
                <w:lang w:val="en-US"/>
              </w:rPr>
            </w:pPr>
            <w:r w:rsidRPr="00454EA3">
              <w:rPr>
                <w:sz w:val="22"/>
                <w:szCs w:val="22"/>
                <w:lang w:val="en-US"/>
              </w:rPr>
              <w:t>0</w:t>
            </w:r>
          </w:p>
        </w:tc>
        <w:tc>
          <w:tcPr>
            <w:tcW w:w="1401" w:type="dxa"/>
          </w:tcPr>
          <w:p w:rsidR="00454EA3" w:rsidRPr="00454EA3" w:rsidRDefault="00454EA3" w:rsidP="00534C9C">
            <w:pPr>
              <w:pStyle w:val="NICCYBodyText"/>
              <w:rPr>
                <w:sz w:val="22"/>
                <w:szCs w:val="22"/>
                <w:lang w:val="en-US"/>
              </w:rPr>
            </w:pPr>
            <w:r w:rsidRPr="00454EA3">
              <w:rPr>
                <w:sz w:val="22"/>
                <w:szCs w:val="22"/>
                <w:lang w:val="en-US"/>
              </w:rPr>
              <w:t>0</w:t>
            </w:r>
          </w:p>
        </w:tc>
        <w:tc>
          <w:tcPr>
            <w:tcW w:w="1292" w:type="dxa"/>
          </w:tcPr>
          <w:p w:rsidR="00454EA3" w:rsidRPr="00454EA3" w:rsidRDefault="00454EA3" w:rsidP="00534C9C">
            <w:pPr>
              <w:pStyle w:val="NICCYBodyText"/>
              <w:rPr>
                <w:sz w:val="22"/>
                <w:szCs w:val="22"/>
                <w:lang w:val="en-US"/>
              </w:rPr>
            </w:pPr>
            <w:r w:rsidRPr="00454EA3">
              <w:rPr>
                <w:sz w:val="22"/>
                <w:szCs w:val="22"/>
                <w:lang w:val="en-US"/>
              </w:rPr>
              <w:t>0</w:t>
            </w:r>
          </w:p>
        </w:tc>
        <w:tc>
          <w:tcPr>
            <w:tcW w:w="951" w:type="dxa"/>
          </w:tcPr>
          <w:p w:rsidR="00454EA3" w:rsidRPr="00454EA3" w:rsidRDefault="00454EA3" w:rsidP="00534C9C">
            <w:pPr>
              <w:pStyle w:val="NICCYBodyText"/>
              <w:rPr>
                <w:b/>
                <w:sz w:val="22"/>
                <w:szCs w:val="22"/>
                <w:lang w:val="en-US"/>
              </w:rPr>
            </w:pPr>
            <w:r w:rsidRPr="00454EA3">
              <w:rPr>
                <w:b/>
                <w:sz w:val="22"/>
                <w:szCs w:val="22"/>
                <w:lang w:val="en-US"/>
              </w:rPr>
              <w:t>0</w:t>
            </w:r>
          </w:p>
        </w:tc>
      </w:tr>
      <w:tr w:rsidR="00454EA3" w:rsidRPr="00454EA3" w:rsidTr="00454EA3">
        <w:tc>
          <w:tcPr>
            <w:tcW w:w="5070" w:type="dxa"/>
            <w:vAlign w:val="bottom"/>
          </w:tcPr>
          <w:p w:rsidR="00454EA3" w:rsidRPr="00454EA3" w:rsidRDefault="00454EA3" w:rsidP="00454EA3">
            <w:pPr>
              <w:pStyle w:val="NICCYBodyText"/>
              <w:jc w:val="right"/>
              <w:rPr>
                <w:b/>
                <w:sz w:val="22"/>
                <w:szCs w:val="22"/>
                <w:lang w:val="en-US"/>
              </w:rPr>
            </w:pPr>
            <w:r w:rsidRPr="00454EA3">
              <w:rPr>
                <w:b/>
                <w:sz w:val="22"/>
                <w:szCs w:val="22"/>
                <w:lang w:val="en-US"/>
              </w:rPr>
              <w:t>Total</w:t>
            </w:r>
          </w:p>
        </w:tc>
        <w:tc>
          <w:tcPr>
            <w:tcW w:w="1134" w:type="dxa"/>
          </w:tcPr>
          <w:p w:rsidR="00454EA3" w:rsidRPr="00454EA3" w:rsidRDefault="00454EA3" w:rsidP="00534C9C">
            <w:pPr>
              <w:pStyle w:val="NICCYBodyText"/>
              <w:rPr>
                <w:sz w:val="22"/>
                <w:szCs w:val="22"/>
                <w:lang w:val="en-US"/>
              </w:rPr>
            </w:pPr>
          </w:p>
        </w:tc>
        <w:tc>
          <w:tcPr>
            <w:tcW w:w="1401" w:type="dxa"/>
          </w:tcPr>
          <w:p w:rsidR="00454EA3" w:rsidRPr="00454EA3" w:rsidRDefault="00454EA3" w:rsidP="00534C9C">
            <w:pPr>
              <w:pStyle w:val="NICCYBodyText"/>
              <w:rPr>
                <w:sz w:val="22"/>
                <w:szCs w:val="22"/>
                <w:lang w:val="en-US"/>
              </w:rPr>
            </w:pPr>
          </w:p>
        </w:tc>
        <w:tc>
          <w:tcPr>
            <w:tcW w:w="1292" w:type="dxa"/>
          </w:tcPr>
          <w:p w:rsidR="00454EA3" w:rsidRPr="00454EA3" w:rsidRDefault="00454EA3" w:rsidP="00534C9C">
            <w:pPr>
              <w:pStyle w:val="NICCYBodyText"/>
              <w:rPr>
                <w:sz w:val="22"/>
                <w:szCs w:val="22"/>
                <w:lang w:val="en-US"/>
              </w:rPr>
            </w:pPr>
          </w:p>
        </w:tc>
        <w:tc>
          <w:tcPr>
            <w:tcW w:w="951" w:type="dxa"/>
          </w:tcPr>
          <w:p w:rsidR="00454EA3" w:rsidRPr="00454EA3" w:rsidRDefault="00454EA3" w:rsidP="00534C9C">
            <w:pPr>
              <w:pStyle w:val="NICCYBodyText"/>
              <w:rPr>
                <w:b/>
                <w:sz w:val="22"/>
                <w:szCs w:val="22"/>
                <w:lang w:val="en-US"/>
              </w:rPr>
            </w:pPr>
            <w:r w:rsidRPr="00454EA3">
              <w:rPr>
                <w:b/>
                <w:sz w:val="22"/>
                <w:szCs w:val="22"/>
                <w:lang w:val="en-US"/>
              </w:rPr>
              <w:t>3</w:t>
            </w:r>
          </w:p>
        </w:tc>
      </w:tr>
    </w:tbl>
    <w:p w:rsidR="0018790D" w:rsidRPr="00454EA3" w:rsidRDefault="0018790D" w:rsidP="00534C9C">
      <w:pPr>
        <w:pStyle w:val="NICCYBodyText"/>
        <w:rPr>
          <w:sz w:val="22"/>
          <w:szCs w:val="22"/>
          <w:lang w:val="en-US"/>
        </w:rPr>
      </w:pPr>
      <w:r w:rsidRPr="00454EA3">
        <w:rPr>
          <w:sz w:val="22"/>
          <w:szCs w:val="22"/>
          <w:lang w:val="en-US"/>
        </w:rPr>
        <w:t>Source – Integrated Court Operations System.</w:t>
      </w:r>
    </w:p>
    <w:p w:rsidR="0018790D" w:rsidRDefault="0018790D" w:rsidP="0018790D">
      <w:pPr>
        <w:rPr>
          <w:rFonts w:ascii="ITCFranklinGothicBook" w:hAnsi="ITCFranklinGothicBook" w:cs="ITCFranklinGothicBook"/>
          <w:sz w:val="18"/>
          <w:szCs w:val="18"/>
          <w:lang w:val="en-US"/>
        </w:rPr>
      </w:pPr>
    </w:p>
    <w:p w:rsidR="00454EA3" w:rsidRDefault="002229F6" w:rsidP="00454EA3">
      <w:hyperlink w:anchor="_top" w:history="1">
        <w:r w:rsidR="00454EA3" w:rsidRPr="007715F2">
          <w:rPr>
            <w:rStyle w:val="Hyperlink"/>
          </w:rPr>
          <w:t>Back to Top</w:t>
        </w:r>
      </w:hyperlink>
    </w:p>
    <w:p w:rsidR="0018790D" w:rsidRDefault="0018790D"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454EA3" w:rsidRDefault="00454EA3" w:rsidP="0018790D">
      <w:pPr>
        <w:rPr>
          <w:rFonts w:ascii="ITCFranklinGothicBook" w:hAnsi="ITCFranklinGothicBook" w:cs="ITCFranklinGothicBook"/>
          <w:sz w:val="18"/>
          <w:szCs w:val="18"/>
          <w:lang w:val="en-US"/>
        </w:rPr>
      </w:pPr>
    </w:p>
    <w:p w:rsidR="0018790D" w:rsidRPr="00454EA3" w:rsidRDefault="0018790D" w:rsidP="00454EA3">
      <w:pPr>
        <w:pStyle w:val="Heading2"/>
        <w:rPr>
          <w:color w:val="23A4DE"/>
          <w:lang w:val="en-US"/>
        </w:rPr>
      </w:pPr>
      <w:bookmarkStart w:id="17" w:name="_Cases_Involving_Articles"/>
      <w:bookmarkEnd w:id="17"/>
      <w:r w:rsidRPr="00454EA3">
        <w:rPr>
          <w:color w:val="23A4DE"/>
          <w:lang w:val="en-US"/>
        </w:rPr>
        <w:lastRenderedPageBreak/>
        <w:t>Cases Involving Articles 59 to 64A</w:t>
      </w:r>
    </w:p>
    <w:p w:rsidR="00454EA3" w:rsidRDefault="0018790D" w:rsidP="00454EA3">
      <w:pPr>
        <w:pStyle w:val="NICCYBodyText"/>
        <w:rPr>
          <w:lang w:val="en-US"/>
        </w:rPr>
      </w:pPr>
      <w:r w:rsidRPr="00454EA3">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asked the Minister of Justice how many cases involving Articles 59 to 64A inclusive of</w:t>
      </w:r>
      <w:r w:rsidR="00454EA3">
        <w:rPr>
          <w:lang w:val="en-US"/>
        </w:rPr>
        <w:t xml:space="preserve"> </w:t>
      </w:r>
      <w:r>
        <w:rPr>
          <w:lang w:val="en-US"/>
        </w:rPr>
        <w:t xml:space="preserve">the Sexual Offences (NI) Order 2008 are currently in the </w:t>
      </w:r>
    </w:p>
    <w:p w:rsidR="00454EA3" w:rsidRDefault="0018790D" w:rsidP="00454EA3">
      <w:pPr>
        <w:pStyle w:val="NICCYBodyText"/>
        <w:rPr>
          <w:lang w:val="en-US"/>
        </w:rPr>
      </w:pPr>
      <w:r>
        <w:rPr>
          <w:lang w:val="en-US"/>
        </w:rPr>
        <w:t>(</w:t>
      </w:r>
      <w:proofErr w:type="spellStart"/>
      <w:r>
        <w:rPr>
          <w:lang w:val="en-US"/>
        </w:rPr>
        <w:t>i</w:t>
      </w:r>
      <w:proofErr w:type="spellEnd"/>
      <w:r>
        <w:rPr>
          <w:lang w:val="en-US"/>
        </w:rPr>
        <w:t xml:space="preserve">) Magistrates Court; and </w:t>
      </w:r>
    </w:p>
    <w:p w:rsidR="0018790D" w:rsidRDefault="0018790D" w:rsidP="00454EA3">
      <w:pPr>
        <w:pStyle w:val="NICCYBodyText"/>
        <w:rPr>
          <w:lang w:val="en-US"/>
        </w:rPr>
      </w:pPr>
      <w:r>
        <w:rPr>
          <w:lang w:val="en-US"/>
        </w:rPr>
        <w:t>(ii) Crown Court</w:t>
      </w:r>
      <w:r w:rsidR="00454EA3">
        <w:rPr>
          <w:lang w:val="en-US"/>
        </w:rPr>
        <w:t xml:space="preserve"> </w:t>
      </w:r>
      <w:r>
        <w:rPr>
          <w:lang w:val="en-US"/>
        </w:rPr>
        <w:t>systems, broken down by order and court division.</w:t>
      </w:r>
    </w:p>
    <w:p w:rsidR="0018790D" w:rsidRDefault="0018790D" w:rsidP="00454EA3">
      <w:pPr>
        <w:pStyle w:val="NICCYBodyText"/>
        <w:rPr>
          <w:rFonts w:ascii="ITCFranklinGothicDemi" w:hAnsi="ITCFranklinGothicDemi" w:cs="ITCFranklinGothicDemi"/>
          <w:lang w:val="en-US"/>
        </w:rPr>
      </w:pPr>
      <w:r>
        <w:rPr>
          <w:rFonts w:ascii="ITCFranklinGothicDemi" w:hAnsi="ITCFranklinGothicDemi" w:cs="ITCFranklinGothicDemi"/>
          <w:lang w:val="en-US"/>
        </w:rPr>
        <w:t>(AQW 33691/11-15)</w:t>
      </w:r>
    </w:p>
    <w:p w:rsidR="00454EA3" w:rsidRDefault="00454EA3" w:rsidP="00454EA3">
      <w:pPr>
        <w:pStyle w:val="NICCYBodyText"/>
        <w:rPr>
          <w:rFonts w:ascii="ITCFranklinGothicDemi" w:hAnsi="ITCFranklinGothicDemi" w:cs="ITCFranklinGothicDemi"/>
          <w:lang w:val="en-US"/>
        </w:rPr>
      </w:pPr>
    </w:p>
    <w:p w:rsidR="0018790D" w:rsidRDefault="0018790D" w:rsidP="00454EA3">
      <w:pPr>
        <w:pStyle w:val="NICCYBodyText"/>
        <w:rPr>
          <w:lang w:val="en-US"/>
        </w:rPr>
      </w:pPr>
      <w:r w:rsidRPr="00454EA3">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As at 29 May 2014, there are currently three cases in Belfast Magistrates’ Court and two</w:t>
      </w:r>
      <w:r w:rsidR="00454EA3">
        <w:rPr>
          <w:lang w:val="en-US"/>
        </w:rPr>
        <w:t xml:space="preserve"> </w:t>
      </w:r>
      <w:r>
        <w:rPr>
          <w:lang w:val="en-US"/>
        </w:rPr>
        <w:t>cases in Belfast Crown Court.</w:t>
      </w:r>
    </w:p>
    <w:p w:rsidR="00454EA3" w:rsidRDefault="00454EA3" w:rsidP="00454EA3">
      <w:pPr>
        <w:pStyle w:val="NICCYBodyText"/>
        <w:rPr>
          <w:lang w:val="en-US"/>
        </w:rPr>
      </w:pPr>
    </w:p>
    <w:p w:rsidR="0018790D" w:rsidRDefault="0018790D" w:rsidP="00454EA3">
      <w:pPr>
        <w:pStyle w:val="NICCYBodyText"/>
        <w:rPr>
          <w:lang w:val="en-US"/>
        </w:rPr>
      </w:pPr>
      <w:r>
        <w:rPr>
          <w:lang w:val="en-US"/>
        </w:rPr>
        <w:t>Two of the Magistrates’ Court cases relate to charges under Article 63 of the Sexual Offences (Northern</w:t>
      </w:r>
      <w:r w:rsidR="00454EA3">
        <w:rPr>
          <w:lang w:val="en-US"/>
        </w:rPr>
        <w:t xml:space="preserve"> </w:t>
      </w:r>
      <w:r>
        <w:rPr>
          <w:lang w:val="en-US"/>
        </w:rPr>
        <w:t>Ireland) Order 2008 (the Order), the remaining case involves charges under both Articles 63 and 64.</w:t>
      </w:r>
    </w:p>
    <w:p w:rsidR="00454EA3" w:rsidRDefault="00454EA3" w:rsidP="00454EA3">
      <w:pPr>
        <w:pStyle w:val="NICCYBodyText"/>
        <w:rPr>
          <w:lang w:val="en-US"/>
        </w:rPr>
      </w:pPr>
    </w:p>
    <w:p w:rsidR="0018790D" w:rsidRDefault="0018790D" w:rsidP="00454EA3">
      <w:pPr>
        <w:pStyle w:val="NICCYBodyText"/>
        <w:rPr>
          <w:lang w:val="en-US"/>
        </w:rPr>
      </w:pPr>
      <w:r>
        <w:rPr>
          <w:lang w:val="en-US"/>
        </w:rPr>
        <w:t>One Crown Court case relates to charges under Article 63 and the other involves charges under both</w:t>
      </w:r>
      <w:r w:rsidR="00454EA3">
        <w:rPr>
          <w:lang w:val="en-US"/>
        </w:rPr>
        <w:t xml:space="preserve"> </w:t>
      </w:r>
      <w:r>
        <w:rPr>
          <w:lang w:val="en-US"/>
        </w:rPr>
        <w:t>Articles 63 and 64.</w:t>
      </w:r>
    </w:p>
    <w:p w:rsidR="0018790D" w:rsidRDefault="0018790D" w:rsidP="0018790D">
      <w:pPr>
        <w:rPr>
          <w:rFonts w:ascii="ITCFranklinGothicBook" w:hAnsi="ITCFranklinGothicBook" w:cs="ITCFranklinGothicBook"/>
          <w:sz w:val="20"/>
          <w:szCs w:val="20"/>
          <w:lang w:val="en-US"/>
        </w:rPr>
      </w:pPr>
    </w:p>
    <w:p w:rsidR="00454EA3" w:rsidRDefault="002229F6" w:rsidP="00454EA3">
      <w:hyperlink w:anchor="_top" w:history="1">
        <w:r w:rsidR="00454EA3" w:rsidRPr="007715F2">
          <w:rPr>
            <w:rStyle w:val="Hyperlink"/>
          </w:rPr>
          <w:t>Back to Top</w:t>
        </w:r>
      </w:hyperlink>
    </w:p>
    <w:p w:rsidR="00454EA3" w:rsidRDefault="00454EA3" w:rsidP="0018790D">
      <w:pPr>
        <w:rPr>
          <w:rFonts w:ascii="ITCFranklinGothicBook" w:hAnsi="ITCFranklinGothicBook" w:cs="ITCFranklinGothicBook"/>
          <w:sz w:val="20"/>
          <w:szCs w:val="20"/>
          <w:lang w:val="en-US"/>
        </w:rPr>
      </w:pPr>
    </w:p>
    <w:p w:rsidR="0018790D" w:rsidRDefault="0018790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18790D">
      <w:pPr>
        <w:rPr>
          <w:rFonts w:ascii="ITCFranklinGothicBook" w:hAnsi="ITCFranklinGothicBook" w:cs="ITCFranklinGothicBook"/>
          <w:sz w:val="20"/>
          <w:szCs w:val="20"/>
          <w:lang w:val="en-US"/>
        </w:rPr>
      </w:pPr>
    </w:p>
    <w:p w:rsidR="00752EBD" w:rsidRDefault="00752EBD" w:rsidP="00752EBD">
      <w:pPr>
        <w:pStyle w:val="NICCYHeading"/>
        <w:rPr>
          <w:lang w:val="en-US"/>
        </w:rPr>
      </w:pPr>
    </w:p>
    <w:p w:rsidR="00752EBD" w:rsidRDefault="00752EBD" w:rsidP="00752EBD">
      <w:pPr>
        <w:pStyle w:val="NICCYHeading"/>
        <w:rPr>
          <w:lang w:val="en-US"/>
        </w:rPr>
      </w:pPr>
      <w:r>
        <w:rPr>
          <w:lang w:val="en-US"/>
        </w:rPr>
        <w:lastRenderedPageBreak/>
        <w:t>Department for Social Development</w:t>
      </w:r>
    </w:p>
    <w:p w:rsidR="0018790D" w:rsidRPr="00976C7A" w:rsidRDefault="0018790D" w:rsidP="00752EBD">
      <w:pPr>
        <w:pStyle w:val="Heading2"/>
        <w:rPr>
          <w:color w:val="23A4DE"/>
          <w:lang w:val="en-US"/>
        </w:rPr>
      </w:pPr>
      <w:bookmarkStart w:id="18" w:name="_Foreign_Nationals_Resident"/>
      <w:bookmarkEnd w:id="18"/>
      <w:r w:rsidRPr="00976C7A">
        <w:rPr>
          <w:color w:val="23A4DE"/>
          <w:lang w:val="en-US"/>
        </w:rPr>
        <w:t>Foreign Nationals Resident in Northern Ireland: Benefits</w:t>
      </w:r>
    </w:p>
    <w:p w:rsidR="0018790D" w:rsidRDefault="0018790D" w:rsidP="00976C7A">
      <w:pPr>
        <w:pStyle w:val="NICCYBodyText"/>
        <w:rPr>
          <w:lang w:val="en-US"/>
        </w:rPr>
      </w:pPr>
      <w:r w:rsidRPr="00976C7A">
        <w:rPr>
          <w:rFonts w:ascii="ITCFranklinGothicDemi" w:hAnsi="ITCFranklinGothicDemi" w:cs="ITCFranklinGothicDemi"/>
          <w:b/>
          <w:lang w:val="en-US"/>
        </w:rPr>
        <w:t>Mr McNarry</w:t>
      </w:r>
      <w:r>
        <w:rPr>
          <w:rFonts w:ascii="ITCFranklinGothicDemi" w:hAnsi="ITCFranklinGothicDemi" w:cs="ITCFranklinGothicDemi"/>
          <w:lang w:val="en-US"/>
        </w:rPr>
        <w:t xml:space="preserve"> </w:t>
      </w:r>
      <w:r>
        <w:rPr>
          <w:lang w:val="en-US"/>
        </w:rPr>
        <w:t>asked the Minister for Social Development how many foreign nationals resident in</w:t>
      </w:r>
      <w:r w:rsidR="00976C7A">
        <w:rPr>
          <w:lang w:val="en-US"/>
        </w:rPr>
        <w:t xml:space="preserve"> </w:t>
      </w:r>
      <w:r>
        <w:rPr>
          <w:lang w:val="en-US"/>
        </w:rPr>
        <w:t>Northern Ireland are in receipt of state benefits, including child benefit.</w:t>
      </w:r>
    </w:p>
    <w:p w:rsidR="0018790D" w:rsidRDefault="0018790D" w:rsidP="00976C7A">
      <w:pPr>
        <w:pStyle w:val="NICCYBodyText"/>
        <w:rPr>
          <w:rFonts w:ascii="ITCFranklinGothicDemi" w:hAnsi="ITCFranklinGothicDemi" w:cs="ITCFranklinGothicDemi"/>
          <w:lang w:val="en-US"/>
        </w:rPr>
      </w:pPr>
      <w:r>
        <w:rPr>
          <w:rFonts w:ascii="ITCFranklinGothicDemi" w:hAnsi="ITCFranklinGothicDemi" w:cs="ITCFranklinGothicDemi"/>
          <w:lang w:val="en-US"/>
        </w:rPr>
        <w:t>(AQW 33213/11-15)</w:t>
      </w:r>
    </w:p>
    <w:p w:rsidR="00976C7A" w:rsidRDefault="00976C7A" w:rsidP="00976C7A">
      <w:pPr>
        <w:pStyle w:val="NICCYBodyText"/>
        <w:rPr>
          <w:rFonts w:ascii="ITCFranklinGothicDemi" w:hAnsi="ITCFranklinGothicDemi" w:cs="ITCFranklinGothicDemi"/>
          <w:lang w:val="en-US"/>
        </w:rPr>
      </w:pPr>
    </w:p>
    <w:p w:rsidR="0018790D" w:rsidRDefault="0018790D" w:rsidP="00976C7A">
      <w:pPr>
        <w:pStyle w:val="NICCYBodyText"/>
        <w:rPr>
          <w:lang w:val="en-US"/>
        </w:rPr>
      </w:pPr>
      <w:r w:rsidRPr="00976C7A">
        <w:rPr>
          <w:rFonts w:ascii="ITCFranklinGothicDemi" w:hAnsi="ITCFranklinGothicDemi" w:cs="ITCFranklinGothicDemi"/>
          <w:b/>
          <w:lang w:val="en-US"/>
        </w:rPr>
        <w:t>Mr McCausland (The Minister for Social Development):</w:t>
      </w:r>
      <w:r>
        <w:rPr>
          <w:rFonts w:ascii="ITCFranklinGothicDemi" w:hAnsi="ITCFranklinGothicDemi" w:cs="ITCFranklinGothicDemi"/>
          <w:lang w:val="en-US"/>
        </w:rPr>
        <w:t xml:space="preserve"> </w:t>
      </w:r>
      <w:r>
        <w:rPr>
          <w:lang w:val="en-US"/>
        </w:rPr>
        <w:t>The payment of benefits in Northern</w:t>
      </w:r>
      <w:r w:rsidR="00976C7A">
        <w:rPr>
          <w:lang w:val="en-US"/>
        </w:rPr>
        <w:t xml:space="preserve"> </w:t>
      </w:r>
      <w:r>
        <w:rPr>
          <w:lang w:val="en-US"/>
        </w:rPr>
        <w:t>Ireland is administered via IT systems which are owned and maintained by the Department for Work</w:t>
      </w:r>
      <w:r w:rsidR="00976C7A">
        <w:rPr>
          <w:lang w:val="en-US"/>
        </w:rPr>
        <w:t xml:space="preserve"> and Pensions.  </w:t>
      </w:r>
      <w:r>
        <w:rPr>
          <w:lang w:val="en-US"/>
        </w:rPr>
        <w:t>As these systems do not have the facility to record the nationality of claimants, the</w:t>
      </w:r>
      <w:r w:rsidR="00976C7A">
        <w:rPr>
          <w:lang w:val="en-US"/>
        </w:rPr>
        <w:t xml:space="preserve"> </w:t>
      </w:r>
      <w:r>
        <w:rPr>
          <w:lang w:val="en-US"/>
        </w:rPr>
        <w:t>requested information is therefore not available.</w:t>
      </w:r>
    </w:p>
    <w:p w:rsidR="00976C7A" w:rsidRDefault="00976C7A" w:rsidP="00976C7A">
      <w:pPr>
        <w:pStyle w:val="NICCYBodyText"/>
        <w:rPr>
          <w:lang w:val="en-US"/>
        </w:rPr>
      </w:pPr>
    </w:p>
    <w:p w:rsidR="0018790D" w:rsidRDefault="0018790D" w:rsidP="00976C7A">
      <w:pPr>
        <w:pStyle w:val="NICCYBodyText"/>
        <w:rPr>
          <w:lang w:val="en-US"/>
        </w:rPr>
      </w:pPr>
      <w:r>
        <w:rPr>
          <w:lang w:val="en-US"/>
        </w:rPr>
        <w:t>In support of changes made to the Regulations introduced for European Economic Area nationals and</w:t>
      </w:r>
      <w:r w:rsidR="00976C7A">
        <w:rPr>
          <w:lang w:val="en-US"/>
        </w:rPr>
        <w:t xml:space="preserve"> </w:t>
      </w:r>
      <w:r>
        <w:rPr>
          <w:lang w:val="en-US"/>
        </w:rPr>
        <w:t>for returning UK nationals claiming income based Jobseekers Allowance from January 2014, the Social</w:t>
      </w:r>
      <w:r w:rsidR="00976C7A">
        <w:rPr>
          <w:lang w:val="en-US"/>
        </w:rPr>
        <w:t xml:space="preserve"> </w:t>
      </w:r>
      <w:r>
        <w:rPr>
          <w:lang w:val="en-US"/>
        </w:rPr>
        <w:t>Security Agency is currently gathering clerical information on the number of applications for income</w:t>
      </w:r>
      <w:r w:rsidR="00976C7A">
        <w:rPr>
          <w:lang w:val="en-US"/>
        </w:rPr>
        <w:t xml:space="preserve"> </w:t>
      </w:r>
      <w:r>
        <w:rPr>
          <w:lang w:val="en-US"/>
        </w:rPr>
        <w:t>based Jobseekers Al</w:t>
      </w:r>
      <w:r w:rsidR="00976C7A">
        <w:rPr>
          <w:lang w:val="en-US"/>
        </w:rPr>
        <w:t xml:space="preserve">lowance from foreign nationals.  </w:t>
      </w:r>
      <w:r>
        <w:rPr>
          <w:lang w:val="en-US"/>
        </w:rPr>
        <w:t>Figures collected during January, February and March</w:t>
      </w:r>
      <w:r w:rsidR="00976C7A">
        <w:rPr>
          <w:lang w:val="en-US"/>
        </w:rPr>
        <w:t xml:space="preserve"> </w:t>
      </w:r>
      <w:r>
        <w:rPr>
          <w:lang w:val="en-US"/>
        </w:rPr>
        <w:t>indicate that 667* foreign nationals (from the European Economic Area (EEA)) made a claim for income</w:t>
      </w:r>
    </w:p>
    <w:p w:rsidR="0018790D" w:rsidRDefault="007954C5" w:rsidP="00976C7A">
      <w:pPr>
        <w:pStyle w:val="NICCYBodyText"/>
        <w:rPr>
          <w:lang w:val="en-US"/>
        </w:rPr>
      </w:pPr>
      <w:r>
        <w:rPr>
          <w:lang w:val="en-US"/>
        </w:rPr>
        <w:t xml:space="preserve">based Jobseekers Allowance.  </w:t>
      </w:r>
      <w:r w:rsidR="0018790D">
        <w:rPr>
          <w:lang w:val="en-US"/>
        </w:rPr>
        <w:t>Of these, 419 were awarded income based Jobseekers Allowance.</w:t>
      </w:r>
    </w:p>
    <w:p w:rsidR="007954C5" w:rsidRDefault="007954C5" w:rsidP="00976C7A">
      <w:pPr>
        <w:pStyle w:val="NICCYBodyText"/>
        <w:rPr>
          <w:lang w:val="en-US"/>
        </w:rPr>
      </w:pPr>
    </w:p>
    <w:p w:rsidR="0018790D" w:rsidRDefault="0018790D" w:rsidP="00976C7A">
      <w:pPr>
        <w:pStyle w:val="NICCYBodyText"/>
        <w:rPr>
          <w:lang w:val="en-US"/>
        </w:rPr>
      </w:pPr>
      <w:r>
        <w:rPr>
          <w:lang w:val="en-US"/>
        </w:rPr>
        <w:t>Child Benefit matters are dealt with by Her Majesty’s Revenue and Customs and consequently my</w:t>
      </w:r>
      <w:r w:rsidR="007954C5">
        <w:rPr>
          <w:lang w:val="en-US"/>
        </w:rPr>
        <w:t xml:space="preserve"> </w:t>
      </w:r>
      <w:r>
        <w:rPr>
          <w:lang w:val="en-US"/>
        </w:rPr>
        <w:t>Department does not have access to the data in order to provide an answer to that element of the</w:t>
      </w:r>
      <w:r w:rsidR="007954C5">
        <w:rPr>
          <w:lang w:val="en-US"/>
        </w:rPr>
        <w:t xml:space="preserve"> </w:t>
      </w:r>
      <w:r>
        <w:rPr>
          <w:lang w:val="en-US"/>
        </w:rPr>
        <w:t>Member’s question.</w:t>
      </w:r>
    </w:p>
    <w:p w:rsidR="007954C5" w:rsidRDefault="007954C5" w:rsidP="00976C7A">
      <w:pPr>
        <w:pStyle w:val="NICCYBodyText"/>
        <w:rPr>
          <w:lang w:val="en-US"/>
        </w:rPr>
      </w:pPr>
    </w:p>
    <w:p w:rsidR="0018790D" w:rsidRPr="007954C5" w:rsidRDefault="0018790D" w:rsidP="00976C7A">
      <w:pPr>
        <w:pStyle w:val="NICCYBodyText"/>
        <w:rPr>
          <w:sz w:val="18"/>
          <w:szCs w:val="18"/>
          <w:lang w:val="en-US"/>
        </w:rPr>
      </w:pPr>
      <w:r w:rsidRPr="007954C5">
        <w:rPr>
          <w:sz w:val="18"/>
          <w:szCs w:val="18"/>
          <w:lang w:val="en-US"/>
        </w:rPr>
        <w:t>* The Department for Social Development’s Analytical Services Unit is unable to provide the statistics that</w:t>
      </w:r>
    </w:p>
    <w:p w:rsidR="0018790D" w:rsidRPr="007954C5" w:rsidRDefault="0018790D" w:rsidP="00976C7A">
      <w:pPr>
        <w:pStyle w:val="NICCYBodyText"/>
        <w:rPr>
          <w:sz w:val="18"/>
          <w:szCs w:val="18"/>
          <w:lang w:val="en-US"/>
        </w:rPr>
      </w:pPr>
      <w:r w:rsidRPr="007954C5">
        <w:rPr>
          <w:sz w:val="18"/>
          <w:szCs w:val="18"/>
          <w:lang w:val="en-US"/>
        </w:rPr>
        <w:t>have been requested. The details provided have been taken from clerical data collected by Decision Makers</w:t>
      </w:r>
    </w:p>
    <w:p w:rsidR="0018790D" w:rsidRPr="007954C5" w:rsidRDefault="0018790D" w:rsidP="00976C7A">
      <w:pPr>
        <w:pStyle w:val="NICCYBodyText"/>
        <w:rPr>
          <w:sz w:val="18"/>
          <w:szCs w:val="18"/>
          <w:lang w:val="en-US"/>
        </w:rPr>
      </w:pPr>
      <w:r w:rsidRPr="007954C5">
        <w:rPr>
          <w:sz w:val="18"/>
          <w:szCs w:val="18"/>
          <w:lang w:val="en-US"/>
        </w:rPr>
        <w:t>during the dates stated. The management information provided is limited to standard reports with no facility</w:t>
      </w:r>
    </w:p>
    <w:p w:rsidR="0018790D" w:rsidRPr="007954C5" w:rsidRDefault="0018790D" w:rsidP="00976C7A">
      <w:pPr>
        <w:pStyle w:val="NICCYBodyText"/>
        <w:rPr>
          <w:sz w:val="18"/>
          <w:szCs w:val="18"/>
          <w:lang w:val="en-US"/>
        </w:rPr>
      </w:pPr>
      <w:proofErr w:type="gramStart"/>
      <w:r w:rsidRPr="007954C5">
        <w:rPr>
          <w:sz w:val="18"/>
          <w:szCs w:val="18"/>
          <w:lang w:val="en-US"/>
        </w:rPr>
        <w:t>to</w:t>
      </w:r>
      <w:proofErr w:type="gramEnd"/>
      <w:r w:rsidRPr="007954C5">
        <w:rPr>
          <w:sz w:val="18"/>
          <w:szCs w:val="18"/>
          <w:lang w:val="en-US"/>
        </w:rPr>
        <w:t xml:space="preserve"> interrogate the system.</w:t>
      </w:r>
    </w:p>
    <w:p w:rsidR="0018790D" w:rsidRPr="003D3D2B" w:rsidRDefault="0018790D" w:rsidP="0018790D"/>
    <w:p w:rsidR="0018790D" w:rsidRDefault="005A3E39" w:rsidP="0018790D">
      <w:r>
        <w:t xml:space="preserve"> </w:t>
      </w:r>
      <w:hyperlink w:anchor="_top" w:history="1">
        <w:r w:rsidR="0018790D" w:rsidRPr="007715F2">
          <w:rPr>
            <w:rStyle w:val="Hyperlink"/>
          </w:rPr>
          <w:t>Back to Top</w:t>
        </w:r>
      </w:hyperlink>
    </w:p>
    <w:p w:rsidR="009F45B4" w:rsidRDefault="009F45B4" w:rsidP="006830EB">
      <w:pPr>
        <w:pStyle w:val="NICCYBodyText"/>
      </w:pPr>
    </w:p>
    <w:sectPr w:rsidR="009F45B4" w:rsidSect="008F4BE3">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7A" w:rsidRDefault="00976C7A" w:rsidP="00CC53D4">
      <w:r>
        <w:separator/>
      </w:r>
    </w:p>
  </w:endnote>
  <w:endnote w:type="continuationSeparator" w:id="0">
    <w:p w:rsidR="00976C7A" w:rsidRDefault="00976C7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7A" w:rsidRDefault="002229F6" w:rsidP="00CC53D4">
    <w:pPr>
      <w:pStyle w:val="Footer"/>
      <w:rPr>
        <w:rStyle w:val="PageNumber"/>
      </w:rPr>
    </w:pPr>
    <w:r>
      <w:rPr>
        <w:rStyle w:val="PageNumber"/>
      </w:rPr>
      <w:fldChar w:fldCharType="begin"/>
    </w:r>
    <w:r w:rsidR="00976C7A">
      <w:rPr>
        <w:rStyle w:val="PageNumber"/>
      </w:rPr>
      <w:instrText xml:space="preserve">PAGE  </w:instrText>
    </w:r>
    <w:r>
      <w:rPr>
        <w:rStyle w:val="PageNumber"/>
      </w:rPr>
      <w:fldChar w:fldCharType="end"/>
    </w:r>
  </w:p>
  <w:p w:rsidR="00976C7A" w:rsidRDefault="00976C7A"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7A" w:rsidRPr="00D81956" w:rsidRDefault="002229F6"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976C7A"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874143">
      <w:rPr>
        <w:rStyle w:val="PageNumber"/>
        <w:rFonts w:ascii="Arial" w:hAnsi="Arial" w:cs="Arial"/>
        <w:noProof/>
        <w:sz w:val="16"/>
        <w:szCs w:val="16"/>
      </w:rPr>
      <w:t>1</w:t>
    </w:r>
    <w:r w:rsidRPr="00D81956">
      <w:rPr>
        <w:rStyle w:val="PageNumber"/>
        <w:rFonts w:ascii="Arial" w:hAnsi="Arial" w:cs="Arial"/>
        <w:sz w:val="16"/>
        <w:szCs w:val="16"/>
      </w:rPr>
      <w:fldChar w:fldCharType="end"/>
    </w:r>
  </w:p>
  <w:p w:rsidR="00976C7A" w:rsidRPr="00D81956" w:rsidRDefault="00976C7A" w:rsidP="00CC53D4">
    <w:pPr>
      <w:pStyle w:val="Footer"/>
    </w:pPr>
    <w:r>
      <w:t xml:space="preserve"> </w:t>
    </w:r>
    <w:r w:rsidR="002229F6">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976C7A" w:rsidRDefault="00976C7A"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976C7A" w:rsidRDefault="00976C7A"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976C7A" w:rsidRDefault="00976C7A"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976C7A" w:rsidRDefault="00976C7A"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976C7A" w:rsidRDefault="00976C7A"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7A" w:rsidRDefault="00976C7A" w:rsidP="00CC53D4">
      <w:r>
        <w:separator/>
      </w:r>
    </w:p>
  </w:footnote>
  <w:footnote w:type="continuationSeparator" w:id="0">
    <w:p w:rsidR="00976C7A" w:rsidRDefault="00976C7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76C7A" w:rsidTr="000D52AB">
      <w:tc>
        <w:tcPr>
          <w:tcW w:w="5027" w:type="dxa"/>
          <w:shd w:val="clear" w:color="auto" w:fill="auto"/>
        </w:tcPr>
        <w:p w:rsidR="00976C7A" w:rsidRDefault="00976C7A" w:rsidP="00CC53D4">
          <w:pPr>
            <w:pStyle w:val="CompanyName"/>
          </w:pPr>
        </w:p>
      </w:tc>
      <w:tc>
        <w:tcPr>
          <w:tcW w:w="4855" w:type="dxa"/>
          <w:shd w:val="clear" w:color="auto" w:fill="auto"/>
        </w:tcPr>
        <w:p w:rsidR="00976C7A" w:rsidRDefault="00976C7A" w:rsidP="00CC53D4">
          <w:pPr>
            <w:pStyle w:val="CompanyName"/>
          </w:pPr>
        </w:p>
      </w:tc>
    </w:tr>
  </w:tbl>
  <w:p w:rsidR="00976C7A" w:rsidRDefault="00976C7A"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8"/>
    <w:multiLevelType w:val="hybridMultilevel"/>
    <w:tmpl w:val="87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3E3E"/>
    <w:multiLevelType w:val="hybridMultilevel"/>
    <w:tmpl w:val="DB8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B2FCC"/>
    <w:multiLevelType w:val="hybridMultilevel"/>
    <w:tmpl w:val="62C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F1810"/>
    <w:multiLevelType w:val="hybridMultilevel"/>
    <w:tmpl w:val="3E7466BC"/>
    <w:lvl w:ilvl="0" w:tplc="FB4AF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00F38"/>
    <w:multiLevelType w:val="hybridMultilevel"/>
    <w:tmpl w:val="982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E54F4"/>
    <w:multiLevelType w:val="hybridMultilevel"/>
    <w:tmpl w:val="ED4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E4AB5"/>
    <w:multiLevelType w:val="hybridMultilevel"/>
    <w:tmpl w:val="3E62C1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44DB7"/>
    <w:multiLevelType w:val="hybridMultilevel"/>
    <w:tmpl w:val="DA2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6031"/>
    <w:multiLevelType w:val="hybridMultilevel"/>
    <w:tmpl w:val="69B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702D5"/>
    <w:multiLevelType w:val="hybridMultilevel"/>
    <w:tmpl w:val="C37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57BDC"/>
    <w:multiLevelType w:val="hybridMultilevel"/>
    <w:tmpl w:val="0334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7441D"/>
    <w:multiLevelType w:val="hybridMultilevel"/>
    <w:tmpl w:val="666CB80E"/>
    <w:lvl w:ilvl="0" w:tplc="8AC41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11"/>
  </w:num>
  <w:num w:numId="4">
    <w:abstractNumId w:val="36"/>
  </w:num>
  <w:num w:numId="5">
    <w:abstractNumId w:val="29"/>
  </w:num>
  <w:num w:numId="6">
    <w:abstractNumId w:val="31"/>
  </w:num>
  <w:num w:numId="7">
    <w:abstractNumId w:val="22"/>
  </w:num>
  <w:num w:numId="8">
    <w:abstractNumId w:val="16"/>
  </w:num>
  <w:num w:numId="9">
    <w:abstractNumId w:val="1"/>
  </w:num>
  <w:num w:numId="10">
    <w:abstractNumId w:val="26"/>
  </w:num>
  <w:num w:numId="11">
    <w:abstractNumId w:val="17"/>
  </w:num>
  <w:num w:numId="12">
    <w:abstractNumId w:val="5"/>
  </w:num>
  <w:num w:numId="13">
    <w:abstractNumId w:val="14"/>
  </w:num>
  <w:num w:numId="14">
    <w:abstractNumId w:val="18"/>
  </w:num>
  <w:num w:numId="15">
    <w:abstractNumId w:val="20"/>
  </w:num>
  <w:num w:numId="16">
    <w:abstractNumId w:val="19"/>
  </w:num>
  <w:num w:numId="17">
    <w:abstractNumId w:val="6"/>
  </w:num>
  <w:num w:numId="18">
    <w:abstractNumId w:val="9"/>
  </w:num>
  <w:num w:numId="19">
    <w:abstractNumId w:val="23"/>
  </w:num>
  <w:num w:numId="20">
    <w:abstractNumId w:val="7"/>
  </w:num>
  <w:num w:numId="21">
    <w:abstractNumId w:val="37"/>
  </w:num>
  <w:num w:numId="22">
    <w:abstractNumId w:val="33"/>
  </w:num>
  <w:num w:numId="23">
    <w:abstractNumId w:val="10"/>
  </w:num>
  <w:num w:numId="24">
    <w:abstractNumId w:val="12"/>
  </w:num>
  <w:num w:numId="25">
    <w:abstractNumId w:val="15"/>
  </w:num>
  <w:num w:numId="26">
    <w:abstractNumId w:val="24"/>
  </w:num>
  <w:num w:numId="27">
    <w:abstractNumId w:val="2"/>
  </w:num>
  <w:num w:numId="28">
    <w:abstractNumId w:val="4"/>
  </w:num>
  <w:num w:numId="29">
    <w:abstractNumId w:val="21"/>
  </w:num>
  <w:num w:numId="30">
    <w:abstractNumId w:val="0"/>
  </w:num>
  <w:num w:numId="31">
    <w:abstractNumId w:val="40"/>
  </w:num>
  <w:num w:numId="32">
    <w:abstractNumId w:val="13"/>
  </w:num>
  <w:num w:numId="33">
    <w:abstractNumId w:val="8"/>
  </w:num>
  <w:num w:numId="34">
    <w:abstractNumId w:val="38"/>
  </w:num>
  <w:num w:numId="35">
    <w:abstractNumId w:val="30"/>
  </w:num>
  <w:num w:numId="36">
    <w:abstractNumId w:val="28"/>
  </w:num>
  <w:num w:numId="37">
    <w:abstractNumId w:val="3"/>
  </w:num>
  <w:num w:numId="38">
    <w:abstractNumId w:val="27"/>
  </w:num>
  <w:num w:numId="39">
    <w:abstractNumId w:val="32"/>
  </w:num>
  <w:num w:numId="40">
    <w:abstractNumId w:val="39"/>
  </w:num>
  <w:num w:numId="41">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444A3"/>
    <w:rsid w:val="00055EA0"/>
    <w:rsid w:val="00071D77"/>
    <w:rsid w:val="000738F5"/>
    <w:rsid w:val="000834FA"/>
    <w:rsid w:val="000837F5"/>
    <w:rsid w:val="00093189"/>
    <w:rsid w:val="000A35EF"/>
    <w:rsid w:val="000B7622"/>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62F1C"/>
    <w:rsid w:val="0017007C"/>
    <w:rsid w:val="0017312A"/>
    <w:rsid w:val="00176027"/>
    <w:rsid w:val="0018790D"/>
    <w:rsid w:val="00190478"/>
    <w:rsid w:val="001911A0"/>
    <w:rsid w:val="001936E2"/>
    <w:rsid w:val="001B1E34"/>
    <w:rsid w:val="001B4509"/>
    <w:rsid w:val="001B6EC2"/>
    <w:rsid w:val="001C3FD9"/>
    <w:rsid w:val="001E0551"/>
    <w:rsid w:val="002229F6"/>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4F1A"/>
    <w:rsid w:val="003A1BB8"/>
    <w:rsid w:val="003B0C0B"/>
    <w:rsid w:val="003E6232"/>
    <w:rsid w:val="003F5501"/>
    <w:rsid w:val="00414AF9"/>
    <w:rsid w:val="00432B30"/>
    <w:rsid w:val="00434D7C"/>
    <w:rsid w:val="00451456"/>
    <w:rsid w:val="00454EA3"/>
    <w:rsid w:val="00474AFE"/>
    <w:rsid w:val="00483941"/>
    <w:rsid w:val="00490ABC"/>
    <w:rsid w:val="00494024"/>
    <w:rsid w:val="00497479"/>
    <w:rsid w:val="004C026E"/>
    <w:rsid w:val="004E47E2"/>
    <w:rsid w:val="004F785C"/>
    <w:rsid w:val="0050043B"/>
    <w:rsid w:val="00502CBF"/>
    <w:rsid w:val="00516B9E"/>
    <w:rsid w:val="0052135F"/>
    <w:rsid w:val="0053253A"/>
    <w:rsid w:val="00534C9C"/>
    <w:rsid w:val="00534EB5"/>
    <w:rsid w:val="00542EC1"/>
    <w:rsid w:val="00546DA4"/>
    <w:rsid w:val="005525FB"/>
    <w:rsid w:val="00560EC9"/>
    <w:rsid w:val="005776FA"/>
    <w:rsid w:val="00581031"/>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5558"/>
    <w:rsid w:val="006608EA"/>
    <w:rsid w:val="006701B4"/>
    <w:rsid w:val="00671F7C"/>
    <w:rsid w:val="006754C4"/>
    <w:rsid w:val="00676A55"/>
    <w:rsid w:val="006830EB"/>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51ADC"/>
    <w:rsid w:val="007526F9"/>
    <w:rsid w:val="00752EBD"/>
    <w:rsid w:val="0076185E"/>
    <w:rsid w:val="00764644"/>
    <w:rsid w:val="00773FE9"/>
    <w:rsid w:val="00775C69"/>
    <w:rsid w:val="007764FD"/>
    <w:rsid w:val="007902A6"/>
    <w:rsid w:val="007910C9"/>
    <w:rsid w:val="007915E7"/>
    <w:rsid w:val="007954C5"/>
    <w:rsid w:val="007A5E2D"/>
    <w:rsid w:val="007B6113"/>
    <w:rsid w:val="007C183C"/>
    <w:rsid w:val="007D1642"/>
    <w:rsid w:val="008131FD"/>
    <w:rsid w:val="00815A2F"/>
    <w:rsid w:val="00831BDB"/>
    <w:rsid w:val="008578C9"/>
    <w:rsid w:val="008654D4"/>
    <w:rsid w:val="00873EBD"/>
    <w:rsid w:val="00874143"/>
    <w:rsid w:val="008822D4"/>
    <w:rsid w:val="008860ED"/>
    <w:rsid w:val="00894865"/>
    <w:rsid w:val="008A31A5"/>
    <w:rsid w:val="008A32FE"/>
    <w:rsid w:val="008B4F31"/>
    <w:rsid w:val="008D31BB"/>
    <w:rsid w:val="008D406D"/>
    <w:rsid w:val="008E3945"/>
    <w:rsid w:val="008F3863"/>
    <w:rsid w:val="008F4BE3"/>
    <w:rsid w:val="009108C4"/>
    <w:rsid w:val="00913158"/>
    <w:rsid w:val="00922E3B"/>
    <w:rsid w:val="00922EB4"/>
    <w:rsid w:val="0094155F"/>
    <w:rsid w:val="00951984"/>
    <w:rsid w:val="00955B1B"/>
    <w:rsid w:val="009560AE"/>
    <w:rsid w:val="009675A2"/>
    <w:rsid w:val="00971DFA"/>
    <w:rsid w:val="00976C7A"/>
    <w:rsid w:val="00977BED"/>
    <w:rsid w:val="00997DF0"/>
    <w:rsid w:val="009A5DED"/>
    <w:rsid w:val="009B121E"/>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A27CA"/>
    <w:rsid w:val="00CB450B"/>
    <w:rsid w:val="00CC2DCC"/>
    <w:rsid w:val="00CC488F"/>
    <w:rsid w:val="00CC4EEF"/>
    <w:rsid w:val="00CC53D4"/>
    <w:rsid w:val="00CC7A32"/>
    <w:rsid w:val="00CD26FC"/>
    <w:rsid w:val="00CE29B6"/>
    <w:rsid w:val="00CF0D19"/>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2C60"/>
    <w:rsid w:val="00E65508"/>
    <w:rsid w:val="00E84CEC"/>
    <w:rsid w:val="00E85371"/>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4C6F-C745-4AA4-9B87-88404265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Joanne.Allen</cp:lastModifiedBy>
  <cp:revision>5</cp:revision>
  <cp:lastPrinted>2013-09-30T10:53:00Z</cp:lastPrinted>
  <dcterms:created xsi:type="dcterms:W3CDTF">2014-06-09T09:24:00Z</dcterms:created>
  <dcterms:modified xsi:type="dcterms:W3CDTF">2014-06-09T12:11:00Z</dcterms:modified>
</cp:coreProperties>
</file>