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Written Assembly Questions Friday</w:t>
      </w:r>
      <w:r w:rsidR="001C3FD9">
        <w:t xml:space="preserve"> </w:t>
      </w:r>
      <w:r w:rsidR="00736612">
        <w:t>25</w:t>
      </w:r>
      <w:r w:rsidR="009B1AF6">
        <w:t>th July, 2014</w:t>
      </w:r>
      <w:bookmarkStart w:id="0" w:name="_Support_for_Religious"/>
      <w:bookmarkEnd w:id="0"/>
    </w:p>
    <w:p w:rsidR="00736612" w:rsidRDefault="00736612" w:rsidP="00F875F8">
      <w:pPr>
        <w:pStyle w:val="NICCYHeading"/>
      </w:pPr>
    </w:p>
    <w:p w:rsidR="00736612" w:rsidRDefault="00736612" w:rsidP="00736612">
      <w:pPr>
        <w:pStyle w:val="Heading2"/>
        <w:numPr>
          <w:ilvl w:val="0"/>
          <w:numId w:val="5"/>
        </w:numPr>
        <w:rPr>
          <w:rFonts w:eastAsiaTheme="minorEastAsia" w:cs="Arial"/>
          <w:bCs w:val="0"/>
          <w:color w:val="23A4DE"/>
          <w:szCs w:val="28"/>
        </w:rPr>
      </w:pPr>
      <w:hyperlink w:anchor="_Child_Poverty" w:history="1">
        <w:r w:rsidRPr="00736612">
          <w:rPr>
            <w:rFonts w:cs="Arial"/>
            <w:bCs w:val="0"/>
            <w:color w:val="23A4DE"/>
            <w:szCs w:val="28"/>
          </w:rPr>
          <w:t>Child P</w:t>
        </w:r>
        <w:r w:rsidRPr="00736612">
          <w:rPr>
            <w:rFonts w:cs="Arial"/>
            <w:bCs w:val="0"/>
            <w:color w:val="23A4DE"/>
            <w:szCs w:val="28"/>
          </w:rPr>
          <w:t>o</w:t>
        </w:r>
        <w:r w:rsidRPr="00736612">
          <w:rPr>
            <w:rFonts w:cs="Arial"/>
            <w:bCs w:val="0"/>
            <w:color w:val="23A4DE"/>
            <w:szCs w:val="28"/>
          </w:rPr>
          <w:t>ve</w:t>
        </w:r>
        <w:r w:rsidRPr="00736612">
          <w:rPr>
            <w:rFonts w:cs="Arial"/>
            <w:bCs w:val="0"/>
            <w:color w:val="23A4DE"/>
            <w:szCs w:val="28"/>
          </w:rPr>
          <w:t>r</w:t>
        </w:r>
        <w:r w:rsidRPr="00736612">
          <w:rPr>
            <w:rFonts w:cs="Arial"/>
            <w:bCs w:val="0"/>
            <w:color w:val="23A4DE"/>
            <w:szCs w:val="28"/>
          </w:rPr>
          <w:t>ty</w:t>
        </w:r>
      </w:hyperlink>
    </w:p>
    <w:p w:rsidR="00736612" w:rsidRDefault="00736612" w:rsidP="00736612">
      <w:pPr>
        <w:rPr>
          <w:rFonts w:eastAsiaTheme="minorEastAsia"/>
        </w:rPr>
      </w:pPr>
    </w:p>
    <w:p w:rsidR="00736612" w:rsidRDefault="00736612" w:rsidP="00736612">
      <w:pPr>
        <w:pStyle w:val="Heading2"/>
        <w:numPr>
          <w:ilvl w:val="0"/>
          <w:numId w:val="5"/>
        </w:numPr>
        <w:rPr>
          <w:rFonts w:cs="Arial"/>
          <w:bCs w:val="0"/>
          <w:color w:val="23A4DE"/>
          <w:szCs w:val="28"/>
        </w:rPr>
      </w:pPr>
      <w:hyperlink w:anchor="_Childcare_for_Children" w:history="1">
        <w:r w:rsidRPr="00736612">
          <w:rPr>
            <w:rFonts w:cs="Arial"/>
            <w:bCs w:val="0"/>
            <w:color w:val="23A4DE"/>
            <w:szCs w:val="28"/>
          </w:rPr>
          <w:t>Childcare for</w:t>
        </w:r>
        <w:r w:rsidRPr="00736612">
          <w:rPr>
            <w:rFonts w:cs="Arial"/>
            <w:bCs w:val="0"/>
            <w:color w:val="23A4DE"/>
            <w:szCs w:val="28"/>
          </w:rPr>
          <w:t xml:space="preserve"> </w:t>
        </w:r>
        <w:r w:rsidRPr="00736612">
          <w:rPr>
            <w:rFonts w:cs="Arial"/>
            <w:bCs w:val="0"/>
            <w:color w:val="23A4DE"/>
            <w:szCs w:val="28"/>
          </w:rPr>
          <w:t>Child</w:t>
        </w:r>
        <w:r w:rsidRPr="00736612">
          <w:rPr>
            <w:rFonts w:cs="Arial"/>
            <w:bCs w:val="0"/>
            <w:color w:val="23A4DE"/>
            <w:szCs w:val="28"/>
          </w:rPr>
          <w:t>r</w:t>
        </w:r>
        <w:r w:rsidRPr="00736612">
          <w:rPr>
            <w:rFonts w:cs="Arial"/>
            <w:bCs w:val="0"/>
            <w:color w:val="23A4DE"/>
            <w:szCs w:val="28"/>
          </w:rPr>
          <w:t>en with a Disability</w:t>
        </w:r>
      </w:hyperlink>
    </w:p>
    <w:p w:rsidR="00A71735" w:rsidRDefault="00A71735" w:rsidP="00A71735"/>
    <w:p w:rsidR="00A71735" w:rsidRDefault="00A71735" w:rsidP="00A71735">
      <w:pPr>
        <w:pStyle w:val="Heading2"/>
        <w:numPr>
          <w:ilvl w:val="0"/>
          <w:numId w:val="5"/>
        </w:numPr>
        <w:rPr>
          <w:rFonts w:cs="Arial"/>
          <w:bCs w:val="0"/>
          <w:color w:val="23A4DE"/>
          <w:szCs w:val="28"/>
        </w:rPr>
      </w:pPr>
      <w:hyperlink w:anchor="_Bright_Start" w:history="1">
        <w:r w:rsidRPr="00A71735">
          <w:rPr>
            <w:rFonts w:cs="Arial"/>
            <w:bCs w:val="0"/>
            <w:color w:val="23A4DE"/>
            <w:szCs w:val="28"/>
          </w:rPr>
          <w:t>Brigh</w:t>
        </w:r>
        <w:r w:rsidRPr="00A71735">
          <w:rPr>
            <w:rFonts w:cs="Arial"/>
            <w:bCs w:val="0"/>
            <w:color w:val="23A4DE"/>
            <w:szCs w:val="28"/>
          </w:rPr>
          <w:t>t</w:t>
        </w:r>
        <w:r w:rsidRPr="00A71735">
          <w:rPr>
            <w:rFonts w:cs="Arial"/>
            <w:bCs w:val="0"/>
            <w:color w:val="23A4DE"/>
            <w:szCs w:val="28"/>
          </w:rPr>
          <w:t xml:space="preserve"> </w:t>
        </w:r>
        <w:r w:rsidRPr="00A71735">
          <w:rPr>
            <w:rFonts w:cs="Arial"/>
            <w:bCs w:val="0"/>
            <w:color w:val="23A4DE"/>
            <w:szCs w:val="28"/>
          </w:rPr>
          <w:t>S</w:t>
        </w:r>
        <w:r w:rsidRPr="00A71735">
          <w:rPr>
            <w:rFonts w:cs="Arial"/>
            <w:bCs w:val="0"/>
            <w:color w:val="23A4DE"/>
            <w:szCs w:val="28"/>
          </w:rPr>
          <w:t>tart</w:t>
        </w:r>
      </w:hyperlink>
    </w:p>
    <w:p w:rsidR="00A71735" w:rsidRDefault="00A71735" w:rsidP="00A71735">
      <w:pPr>
        <w:rPr>
          <w:rFonts w:eastAsiaTheme="minorEastAsia"/>
        </w:rPr>
      </w:pPr>
    </w:p>
    <w:p w:rsidR="00A71735" w:rsidRDefault="00A71735" w:rsidP="00A71735">
      <w:pPr>
        <w:pStyle w:val="Heading2"/>
        <w:numPr>
          <w:ilvl w:val="0"/>
          <w:numId w:val="5"/>
        </w:numPr>
        <w:rPr>
          <w:rFonts w:cs="Arial"/>
          <w:bCs w:val="0"/>
          <w:color w:val="23A4DE"/>
          <w:szCs w:val="28"/>
        </w:rPr>
      </w:pPr>
      <w:hyperlink w:anchor="_Disability_Strategy" w:history="1">
        <w:r w:rsidRPr="00A71735">
          <w:rPr>
            <w:rFonts w:cs="Arial"/>
            <w:bCs w:val="0"/>
            <w:color w:val="23A4DE"/>
            <w:szCs w:val="28"/>
          </w:rPr>
          <w:t xml:space="preserve">Disability </w:t>
        </w:r>
        <w:r w:rsidRPr="00A71735">
          <w:rPr>
            <w:rFonts w:cs="Arial"/>
            <w:bCs w:val="0"/>
            <w:color w:val="23A4DE"/>
            <w:szCs w:val="28"/>
          </w:rPr>
          <w:t>S</w:t>
        </w:r>
        <w:r w:rsidRPr="00A71735">
          <w:rPr>
            <w:rFonts w:cs="Arial"/>
            <w:bCs w:val="0"/>
            <w:color w:val="23A4DE"/>
            <w:szCs w:val="28"/>
          </w:rPr>
          <w:t>t</w:t>
        </w:r>
        <w:r w:rsidRPr="00A71735">
          <w:rPr>
            <w:rFonts w:cs="Arial"/>
            <w:bCs w:val="0"/>
            <w:color w:val="23A4DE"/>
            <w:szCs w:val="28"/>
          </w:rPr>
          <w:t>r</w:t>
        </w:r>
        <w:r w:rsidRPr="00A71735">
          <w:rPr>
            <w:rFonts w:cs="Arial"/>
            <w:bCs w:val="0"/>
            <w:color w:val="23A4DE"/>
            <w:szCs w:val="28"/>
          </w:rPr>
          <w:t>a</w:t>
        </w:r>
        <w:r w:rsidRPr="00A71735">
          <w:rPr>
            <w:rFonts w:cs="Arial"/>
            <w:bCs w:val="0"/>
            <w:color w:val="23A4DE"/>
            <w:szCs w:val="28"/>
          </w:rPr>
          <w:t>tegy</w:t>
        </w:r>
      </w:hyperlink>
    </w:p>
    <w:p w:rsidR="00A71735" w:rsidRDefault="00A71735" w:rsidP="00A71735">
      <w:pPr>
        <w:rPr>
          <w:rFonts w:eastAsiaTheme="minorEastAsia"/>
        </w:rPr>
      </w:pPr>
    </w:p>
    <w:p w:rsidR="00A71735" w:rsidRDefault="00A71735" w:rsidP="00A71735">
      <w:pPr>
        <w:pStyle w:val="Heading2"/>
        <w:numPr>
          <w:ilvl w:val="0"/>
          <w:numId w:val="5"/>
        </w:numPr>
        <w:rPr>
          <w:rFonts w:cs="Arial"/>
          <w:bCs w:val="0"/>
          <w:color w:val="23A4DE"/>
          <w:szCs w:val="28"/>
        </w:rPr>
      </w:pPr>
      <w:hyperlink w:anchor="_Disability_Strategy_1" w:history="1">
        <w:r w:rsidRPr="00A71735">
          <w:rPr>
            <w:rFonts w:cs="Arial"/>
            <w:bCs w:val="0"/>
            <w:color w:val="23A4DE"/>
            <w:szCs w:val="28"/>
          </w:rPr>
          <w:t>Disabili</w:t>
        </w:r>
        <w:r w:rsidRPr="00A71735">
          <w:rPr>
            <w:rFonts w:cs="Arial"/>
            <w:bCs w:val="0"/>
            <w:color w:val="23A4DE"/>
            <w:szCs w:val="28"/>
          </w:rPr>
          <w:t>t</w:t>
        </w:r>
        <w:r w:rsidRPr="00A71735">
          <w:rPr>
            <w:rFonts w:cs="Arial"/>
            <w:bCs w:val="0"/>
            <w:color w:val="23A4DE"/>
            <w:szCs w:val="28"/>
          </w:rPr>
          <w:t>y</w:t>
        </w:r>
        <w:r w:rsidRPr="00A71735">
          <w:rPr>
            <w:rFonts w:cs="Arial"/>
            <w:bCs w:val="0"/>
            <w:color w:val="23A4DE"/>
            <w:szCs w:val="28"/>
          </w:rPr>
          <w:t xml:space="preserve"> Strategy</w:t>
        </w:r>
      </w:hyperlink>
    </w:p>
    <w:p w:rsidR="00A71735" w:rsidRDefault="00A71735" w:rsidP="00A71735">
      <w:pPr>
        <w:rPr>
          <w:rFonts w:eastAsiaTheme="minorEastAsia"/>
        </w:rPr>
      </w:pPr>
    </w:p>
    <w:p w:rsidR="00A71735" w:rsidRDefault="00A71735" w:rsidP="00A71735">
      <w:pPr>
        <w:pStyle w:val="Heading2"/>
        <w:numPr>
          <w:ilvl w:val="0"/>
          <w:numId w:val="5"/>
        </w:numPr>
        <w:rPr>
          <w:rFonts w:cs="Arial"/>
          <w:bCs w:val="0"/>
          <w:color w:val="23A4DE"/>
          <w:szCs w:val="28"/>
        </w:rPr>
      </w:pPr>
      <w:hyperlink w:anchor="_Disability_Strategy_2" w:history="1">
        <w:r w:rsidRPr="00A71735">
          <w:rPr>
            <w:rFonts w:cs="Arial"/>
            <w:bCs w:val="0"/>
            <w:color w:val="23A4DE"/>
            <w:szCs w:val="28"/>
          </w:rPr>
          <w:t>Disability</w:t>
        </w:r>
        <w:r w:rsidRPr="00A71735">
          <w:rPr>
            <w:rFonts w:cs="Arial"/>
            <w:bCs w:val="0"/>
            <w:color w:val="23A4DE"/>
            <w:szCs w:val="28"/>
          </w:rPr>
          <w:t xml:space="preserve"> </w:t>
        </w:r>
        <w:r w:rsidRPr="00A71735">
          <w:rPr>
            <w:rFonts w:cs="Arial"/>
            <w:bCs w:val="0"/>
            <w:color w:val="23A4DE"/>
            <w:szCs w:val="28"/>
          </w:rPr>
          <w:t>S</w:t>
        </w:r>
        <w:r w:rsidRPr="00A71735">
          <w:rPr>
            <w:rFonts w:cs="Arial"/>
            <w:bCs w:val="0"/>
            <w:color w:val="23A4DE"/>
            <w:szCs w:val="28"/>
          </w:rPr>
          <w:t>trategy</w:t>
        </w:r>
      </w:hyperlink>
    </w:p>
    <w:p w:rsidR="0031506E" w:rsidRDefault="0031506E" w:rsidP="0031506E">
      <w:pPr>
        <w:rPr>
          <w:rFonts w:eastAsiaTheme="minorEastAsia"/>
        </w:rPr>
      </w:pPr>
    </w:p>
    <w:p w:rsidR="0031506E" w:rsidRDefault="0031506E" w:rsidP="0031506E">
      <w:pPr>
        <w:pStyle w:val="Heading2"/>
        <w:numPr>
          <w:ilvl w:val="0"/>
          <w:numId w:val="5"/>
        </w:numPr>
        <w:rPr>
          <w:rFonts w:cs="Arial"/>
          <w:bCs w:val="0"/>
          <w:color w:val="23A4DE"/>
          <w:szCs w:val="28"/>
        </w:rPr>
      </w:pPr>
      <w:hyperlink w:anchor="_Language_Classes_Replacing" w:history="1">
        <w:r w:rsidRPr="0031506E">
          <w:rPr>
            <w:rFonts w:cs="Arial"/>
            <w:bCs w:val="0"/>
            <w:color w:val="23A4DE"/>
            <w:szCs w:val="28"/>
          </w:rPr>
          <w:t>Language Cl</w:t>
        </w:r>
        <w:r w:rsidRPr="0031506E">
          <w:rPr>
            <w:rFonts w:cs="Arial"/>
            <w:bCs w:val="0"/>
            <w:color w:val="23A4DE"/>
            <w:szCs w:val="28"/>
          </w:rPr>
          <w:t>a</w:t>
        </w:r>
        <w:r w:rsidRPr="0031506E">
          <w:rPr>
            <w:rFonts w:cs="Arial"/>
            <w:bCs w:val="0"/>
            <w:color w:val="23A4DE"/>
            <w:szCs w:val="28"/>
          </w:rPr>
          <w:t>sses</w:t>
        </w:r>
        <w:r w:rsidRPr="0031506E">
          <w:rPr>
            <w:rFonts w:cs="Arial"/>
            <w:bCs w:val="0"/>
            <w:color w:val="23A4DE"/>
            <w:szCs w:val="28"/>
          </w:rPr>
          <w:t xml:space="preserve"> </w:t>
        </w:r>
        <w:r w:rsidRPr="0031506E">
          <w:rPr>
            <w:rFonts w:cs="Arial"/>
            <w:bCs w:val="0"/>
            <w:color w:val="23A4DE"/>
            <w:szCs w:val="28"/>
          </w:rPr>
          <w:t>Replacing the Woodlands Speech and Language Unit</w:t>
        </w:r>
      </w:hyperlink>
    </w:p>
    <w:p w:rsidR="0031506E" w:rsidRDefault="0031506E" w:rsidP="0031506E">
      <w:pPr>
        <w:rPr>
          <w:rFonts w:eastAsiaTheme="minorEastAsia"/>
        </w:rPr>
      </w:pPr>
    </w:p>
    <w:p w:rsidR="0031506E" w:rsidRDefault="0031506E" w:rsidP="0031506E">
      <w:pPr>
        <w:pStyle w:val="Heading2"/>
        <w:numPr>
          <w:ilvl w:val="0"/>
          <w:numId w:val="5"/>
        </w:numPr>
        <w:rPr>
          <w:rFonts w:cs="Arial"/>
          <w:bCs w:val="0"/>
          <w:color w:val="23A4DE"/>
          <w:szCs w:val="28"/>
        </w:rPr>
      </w:pPr>
      <w:hyperlink w:anchor="_Average_Cost_of" w:history="1">
        <w:r w:rsidRPr="0031506E">
          <w:rPr>
            <w:rFonts w:cs="Arial"/>
            <w:bCs w:val="0"/>
            <w:color w:val="23A4DE"/>
            <w:szCs w:val="28"/>
          </w:rPr>
          <w:t>Avera</w:t>
        </w:r>
        <w:r w:rsidRPr="0031506E">
          <w:rPr>
            <w:rFonts w:cs="Arial"/>
            <w:bCs w:val="0"/>
            <w:color w:val="23A4DE"/>
            <w:szCs w:val="28"/>
          </w:rPr>
          <w:t>g</w:t>
        </w:r>
        <w:r w:rsidRPr="0031506E">
          <w:rPr>
            <w:rFonts w:cs="Arial"/>
            <w:bCs w:val="0"/>
            <w:color w:val="23A4DE"/>
            <w:szCs w:val="28"/>
          </w:rPr>
          <w:t xml:space="preserve">e Cost of </w:t>
        </w:r>
        <w:r w:rsidRPr="0031506E">
          <w:rPr>
            <w:rFonts w:cs="Arial"/>
            <w:bCs w:val="0"/>
            <w:color w:val="23A4DE"/>
            <w:szCs w:val="28"/>
          </w:rPr>
          <w:t>E</w:t>
        </w:r>
        <w:r w:rsidRPr="0031506E">
          <w:rPr>
            <w:rFonts w:cs="Arial"/>
            <w:bCs w:val="0"/>
            <w:color w:val="23A4DE"/>
            <w:szCs w:val="28"/>
          </w:rPr>
          <w:t>duca</w:t>
        </w:r>
        <w:r w:rsidRPr="0031506E">
          <w:rPr>
            <w:rFonts w:cs="Arial"/>
            <w:bCs w:val="0"/>
            <w:color w:val="23A4DE"/>
            <w:szCs w:val="28"/>
          </w:rPr>
          <w:t>t</w:t>
        </w:r>
        <w:r w:rsidRPr="0031506E">
          <w:rPr>
            <w:rFonts w:cs="Arial"/>
            <w:bCs w:val="0"/>
            <w:color w:val="23A4DE"/>
            <w:szCs w:val="28"/>
          </w:rPr>
          <w:t>ing a Child</w:t>
        </w:r>
      </w:hyperlink>
    </w:p>
    <w:p w:rsidR="004774F9" w:rsidRDefault="004774F9" w:rsidP="004774F9"/>
    <w:p w:rsidR="004774F9" w:rsidRDefault="004774F9" w:rsidP="004774F9">
      <w:pPr>
        <w:pStyle w:val="Heading2"/>
        <w:numPr>
          <w:ilvl w:val="0"/>
          <w:numId w:val="5"/>
        </w:numPr>
        <w:rPr>
          <w:rFonts w:cs="Arial"/>
          <w:bCs w:val="0"/>
          <w:color w:val="23A4DE"/>
          <w:szCs w:val="28"/>
        </w:rPr>
      </w:pPr>
      <w:hyperlink w:anchor="_Economically_Inactive" w:history="1">
        <w:r w:rsidRPr="004774F9">
          <w:rPr>
            <w:rFonts w:cs="Arial"/>
            <w:bCs w:val="0"/>
            <w:color w:val="23A4DE"/>
            <w:szCs w:val="28"/>
          </w:rPr>
          <w:t>Economi</w:t>
        </w:r>
        <w:r w:rsidRPr="004774F9">
          <w:rPr>
            <w:rFonts w:cs="Arial"/>
            <w:bCs w:val="0"/>
            <w:color w:val="23A4DE"/>
            <w:szCs w:val="28"/>
          </w:rPr>
          <w:t>c</w:t>
        </w:r>
        <w:r w:rsidRPr="004774F9">
          <w:rPr>
            <w:rFonts w:cs="Arial"/>
            <w:bCs w:val="0"/>
            <w:color w:val="23A4DE"/>
            <w:szCs w:val="28"/>
          </w:rPr>
          <w:t>a</w:t>
        </w:r>
        <w:r w:rsidRPr="004774F9">
          <w:rPr>
            <w:rFonts w:cs="Arial"/>
            <w:bCs w:val="0"/>
            <w:color w:val="23A4DE"/>
            <w:szCs w:val="28"/>
          </w:rPr>
          <w:t>l</w:t>
        </w:r>
        <w:r w:rsidRPr="004774F9">
          <w:rPr>
            <w:rFonts w:cs="Arial"/>
            <w:bCs w:val="0"/>
            <w:color w:val="23A4DE"/>
            <w:szCs w:val="28"/>
          </w:rPr>
          <w:t>ly Inactive</w:t>
        </w:r>
      </w:hyperlink>
    </w:p>
    <w:p w:rsidR="004774F9" w:rsidRDefault="004774F9" w:rsidP="004774F9">
      <w:pPr>
        <w:rPr>
          <w:rFonts w:eastAsiaTheme="minorEastAsia"/>
        </w:rPr>
      </w:pPr>
    </w:p>
    <w:p w:rsidR="004774F9" w:rsidRDefault="004774F9" w:rsidP="004774F9">
      <w:pPr>
        <w:pStyle w:val="Heading2"/>
        <w:numPr>
          <w:ilvl w:val="0"/>
          <w:numId w:val="5"/>
        </w:numPr>
        <w:rPr>
          <w:rFonts w:cs="Arial"/>
          <w:bCs w:val="0"/>
          <w:color w:val="23A4DE"/>
          <w:szCs w:val="28"/>
        </w:rPr>
      </w:pPr>
      <w:hyperlink w:anchor="_Community_Dietetic_Referrals" w:history="1">
        <w:r w:rsidRPr="004774F9">
          <w:rPr>
            <w:rFonts w:cs="Arial"/>
            <w:bCs w:val="0"/>
            <w:color w:val="23A4DE"/>
            <w:szCs w:val="28"/>
          </w:rPr>
          <w:t>Comm</w:t>
        </w:r>
        <w:r w:rsidRPr="004774F9">
          <w:rPr>
            <w:rFonts w:cs="Arial"/>
            <w:bCs w:val="0"/>
            <w:color w:val="23A4DE"/>
            <w:szCs w:val="28"/>
          </w:rPr>
          <w:t>u</w:t>
        </w:r>
        <w:r w:rsidRPr="004774F9">
          <w:rPr>
            <w:rFonts w:cs="Arial"/>
            <w:bCs w:val="0"/>
            <w:color w:val="23A4DE"/>
            <w:szCs w:val="28"/>
          </w:rPr>
          <w:t>nity Die</w:t>
        </w:r>
        <w:r w:rsidRPr="004774F9">
          <w:rPr>
            <w:rFonts w:cs="Arial"/>
            <w:bCs w:val="0"/>
            <w:color w:val="23A4DE"/>
            <w:szCs w:val="28"/>
          </w:rPr>
          <w:t>t</w:t>
        </w:r>
        <w:r w:rsidRPr="004774F9">
          <w:rPr>
            <w:rFonts w:cs="Arial"/>
            <w:bCs w:val="0"/>
            <w:color w:val="23A4DE"/>
            <w:szCs w:val="28"/>
          </w:rPr>
          <w:t>etic Referrals</w:t>
        </w:r>
        <w:r w:rsidRPr="004774F9">
          <w:rPr>
            <w:rFonts w:cs="Arial"/>
            <w:bCs w:val="0"/>
            <w:color w:val="23A4DE"/>
            <w:szCs w:val="28"/>
          </w:rPr>
          <w:t xml:space="preserve"> </w:t>
        </w:r>
        <w:r w:rsidRPr="004774F9">
          <w:rPr>
            <w:rFonts w:cs="Arial"/>
            <w:bCs w:val="0"/>
            <w:color w:val="23A4DE"/>
            <w:szCs w:val="28"/>
          </w:rPr>
          <w:t>for Paediatric Patients</w:t>
        </w:r>
      </w:hyperlink>
    </w:p>
    <w:p w:rsidR="002C4626" w:rsidRDefault="002C4626" w:rsidP="002C4626"/>
    <w:p w:rsidR="002C4626" w:rsidRDefault="002C4626" w:rsidP="002C4626">
      <w:pPr>
        <w:pStyle w:val="Heading2"/>
        <w:numPr>
          <w:ilvl w:val="0"/>
          <w:numId w:val="5"/>
        </w:numPr>
        <w:rPr>
          <w:rFonts w:cs="Arial"/>
          <w:bCs w:val="0"/>
          <w:color w:val="23A4DE"/>
          <w:szCs w:val="28"/>
        </w:rPr>
      </w:pPr>
      <w:hyperlink w:anchor="_Public_Protection_Arrangements" w:history="1">
        <w:r w:rsidRPr="002C4626">
          <w:rPr>
            <w:rFonts w:cs="Arial"/>
            <w:bCs w:val="0"/>
            <w:color w:val="23A4DE"/>
            <w:szCs w:val="28"/>
          </w:rPr>
          <w:t>Public Pro</w:t>
        </w:r>
        <w:r w:rsidRPr="002C4626">
          <w:rPr>
            <w:rFonts w:cs="Arial"/>
            <w:bCs w:val="0"/>
            <w:color w:val="23A4DE"/>
            <w:szCs w:val="28"/>
          </w:rPr>
          <w:t>t</w:t>
        </w:r>
        <w:r w:rsidRPr="002C4626">
          <w:rPr>
            <w:rFonts w:cs="Arial"/>
            <w:bCs w:val="0"/>
            <w:color w:val="23A4DE"/>
            <w:szCs w:val="28"/>
          </w:rPr>
          <w:t>ectio</w:t>
        </w:r>
        <w:r w:rsidRPr="002C4626">
          <w:rPr>
            <w:rFonts w:cs="Arial"/>
            <w:bCs w:val="0"/>
            <w:color w:val="23A4DE"/>
            <w:szCs w:val="28"/>
          </w:rPr>
          <w:t>n</w:t>
        </w:r>
        <w:r w:rsidRPr="002C4626">
          <w:rPr>
            <w:rFonts w:cs="Arial"/>
            <w:bCs w:val="0"/>
            <w:color w:val="23A4DE"/>
            <w:szCs w:val="28"/>
          </w:rPr>
          <w:t xml:space="preserve"> Arrangements Northern Ireland</w:t>
        </w:r>
      </w:hyperlink>
    </w:p>
    <w:p w:rsidR="00144156" w:rsidRPr="00144156" w:rsidRDefault="00144156" w:rsidP="00144156"/>
    <w:p w:rsidR="002C4626" w:rsidRDefault="007B5E33" w:rsidP="002C4626">
      <w:pPr>
        <w:pStyle w:val="Heading2"/>
        <w:numPr>
          <w:ilvl w:val="0"/>
          <w:numId w:val="5"/>
        </w:numPr>
        <w:rPr>
          <w:rFonts w:cs="Arial"/>
          <w:bCs w:val="0"/>
          <w:color w:val="23A4DE"/>
          <w:szCs w:val="28"/>
        </w:rPr>
      </w:pPr>
      <w:hyperlink w:anchor="_Serious_Case_Review" w:history="1">
        <w:r w:rsidR="002C4626" w:rsidRPr="007B5E33">
          <w:rPr>
            <w:rFonts w:cs="Arial"/>
            <w:bCs w:val="0"/>
            <w:color w:val="23A4DE"/>
            <w:szCs w:val="28"/>
          </w:rPr>
          <w:t xml:space="preserve">Serious </w:t>
        </w:r>
        <w:r w:rsidR="002C4626" w:rsidRPr="007B5E33">
          <w:rPr>
            <w:rFonts w:cs="Arial"/>
            <w:bCs w:val="0"/>
            <w:color w:val="23A4DE"/>
            <w:szCs w:val="28"/>
          </w:rPr>
          <w:t>C</w:t>
        </w:r>
        <w:r w:rsidR="002C4626" w:rsidRPr="007B5E33">
          <w:rPr>
            <w:rFonts w:cs="Arial"/>
            <w:bCs w:val="0"/>
            <w:color w:val="23A4DE"/>
            <w:szCs w:val="28"/>
          </w:rPr>
          <w:t>ase R</w:t>
        </w:r>
        <w:r w:rsidR="002C4626" w:rsidRPr="007B5E33">
          <w:rPr>
            <w:rFonts w:cs="Arial"/>
            <w:bCs w:val="0"/>
            <w:color w:val="23A4DE"/>
            <w:szCs w:val="28"/>
          </w:rPr>
          <w:t>e</w:t>
        </w:r>
        <w:r w:rsidR="002C4626" w:rsidRPr="007B5E33">
          <w:rPr>
            <w:rFonts w:cs="Arial"/>
            <w:bCs w:val="0"/>
            <w:color w:val="23A4DE"/>
            <w:szCs w:val="28"/>
          </w:rPr>
          <w:t>view</w:t>
        </w:r>
      </w:hyperlink>
    </w:p>
    <w:p w:rsidR="00144156" w:rsidRPr="00144156" w:rsidRDefault="00144156" w:rsidP="00144156"/>
    <w:p w:rsidR="00144156" w:rsidRPr="007B5E33" w:rsidRDefault="00144156" w:rsidP="00144156">
      <w:pPr>
        <w:pStyle w:val="Heading2"/>
        <w:numPr>
          <w:ilvl w:val="0"/>
          <w:numId w:val="5"/>
        </w:numPr>
        <w:rPr>
          <w:rFonts w:eastAsiaTheme="minorEastAsia"/>
          <w:color w:val="23A4DE"/>
          <w:lang w:val="en-US"/>
        </w:rPr>
      </w:pPr>
      <w:hyperlink w:anchor="_Serious_Case_Review_1" w:history="1">
        <w:r w:rsidRPr="00144156">
          <w:rPr>
            <w:rFonts w:cs="Arial"/>
            <w:bCs w:val="0"/>
            <w:color w:val="23A4DE"/>
            <w:szCs w:val="28"/>
          </w:rPr>
          <w:t>Serious Cas</w:t>
        </w:r>
        <w:r w:rsidRPr="00144156">
          <w:rPr>
            <w:rFonts w:cs="Arial"/>
            <w:bCs w:val="0"/>
            <w:color w:val="23A4DE"/>
            <w:szCs w:val="28"/>
          </w:rPr>
          <w:t>e</w:t>
        </w:r>
        <w:r w:rsidRPr="00144156">
          <w:rPr>
            <w:rFonts w:cs="Arial"/>
            <w:bCs w:val="0"/>
            <w:color w:val="23A4DE"/>
            <w:szCs w:val="28"/>
          </w:rPr>
          <w:t xml:space="preserve"> Review</w:t>
        </w:r>
      </w:hyperlink>
    </w:p>
    <w:p w:rsidR="00144156" w:rsidRPr="00144156" w:rsidRDefault="00144156" w:rsidP="00144156"/>
    <w:p w:rsidR="00736612" w:rsidRPr="00E477C7" w:rsidRDefault="00736612" w:rsidP="00736612">
      <w:pPr>
        <w:pStyle w:val="NICCYHeading"/>
      </w:pPr>
      <w:r w:rsidRPr="00E477C7">
        <w:lastRenderedPageBreak/>
        <w:t>Office of the First and Deputy First Minister</w:t>
      </w:r>
    </w:p>
    <w:p w:rsidR="00736612" w:rsidRPr="00736612" w:rsidRDefault="00736612" w:rsidP="00736612">
      <w:pPr>
        <w:pStyle w:val="Heading2"/>
        <w:rPr>
          <w:rFonts w:eastAsiaTheme="minorEastAsia"/>
          <w:color w:val="23A4DE"/>
          <w:lang w:val="en-US"/>
        </w:rPr>
      </w:pPr>
      <w:bookmarkStart w:id="1" w:name="_Child_Poverty"/>
      <w:bookmarkEnd w:id="1"/>
      <w:r w:rsidRPr="00736612">
        <w:rPr>
          <w:rFonts w:eastAsiaTheme="minorEastAsia"/>
          <w:color w:val="23A4DE"/>
          <w:lang w:val="en-US"/>
        </w:rPr>
        <w:t>Child Poverty</w:t>
      </w:r>
    </w:p>
    <w:p w:rsidR="00736612" w:rsidRDefault="00736612" w:rsidP="00736612">
      <w:pPr>
        <w:pStyle w:val="NICCYBodyText"/>
        <w:rPr>
          <w:lang w:val="en-US"/>
        </w:rPr>
      </w:pPr>
      <w:r w:rsidRPr="00736612">
        <w:rPr>
          <w:rFonts w:ascii="ITCFranklinGothicDemi" w:hAnsi="ITCFranklinGothicDemi" w:cs="ITCFranklinGothicDemi"/>
          <w:b/>
          <w:lang w:val="en-US"/>
        </w:rPr>
        <w:t>Mr Rogers</w:t>
      </w:r>
      <w:r>
        <w:rPr>
          <w:rFonts w:ascii="ITCFranklinGothicDemi" w:hAnsi="ITCFranklinGothicDemi" w:cs="ITCFranklinGothicDemi"/>
          <w:lang w:val="en-US"/>
        </w:rPr>
        <w:t xml:space="preserve"> </w:t>
      </w:r>
      <w:r>
        <w:rPr>
          <w:lang w:val="en-US"/>
        </w:rPr>
        <w:t>asked the First Minister and deputy First Minister to outline the action plan to address Child Poverty under commitment 37 of the Programme for Government 2011-15.</w:t>
      </w:r>
    </w:p>
    <w:p w:rsidR="00736612" w:rsidRDefault="00736612" w:rsidP="00736612">
      <w:pPr>
        <w:pStyle w:val="NICCYBodyText"/>
        <w:rPr>
          <w:rFonts w:ascii="ITCFranklinGothicDemi" w:hAnsi="ITCFranklinGothicDemi" w:cs="ITCFranklinGothicDemi"/>
          <w:lang w:val="en-US"/>
        </w:rPr>
      </w:pPr>
      <w:r>
        <w:rPr>
          <w:rFonts w:ascii="ITCFranklinGothicDemi" w:hAnsi="ITCFranklinGothicDemi" w:cs="ITCFranklinGothicDemi"/>
          <w:lang w:val="en-US"/>
        </w:rPr>
        <w:t>(AQO 6406/11-15)</w:t>
      </w:r>
    </w:p>
    <w:p w:rsidR="00736612" w:rsidRDefault="00736612" w:rsidP="00736612">
      <w:pPr>
        <w:pStyle w:val="NICCYBodyText"/>
        <w:rPr>
          <w:rFonts w:ascii="ITCFranklinGothicDemi" w:hAnsi="ITCFranklinGothicDemi" w:cs="ITCFranklinGothicDemi"/>
          <w:lang w:val="en-US"/>
        </w:rPr>
      </w:pPr>
    </w:p>
    <w:p w:rsidR="00736612" w:rsidRDefault="00736612" w:rsidP="00736612">
      <w:pPr>
        <w:pStyle w:val="NICCYBodyText"/>
        <w:rPr>
          <w:lang w:val="en-US"/>
        </w:rPr>
      </w:pPr>
      <w:r w:rsidRPr="00736612">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 xml:space="preserve">We gave a Commitment in the Programme for Government to fulfil our statutory obligations under the Child Poverty Act.  </w:t>
      </w:r>
    </w:p>
    <w:p w:rsidR="00736612" w:rsidRDefault="00736612" w:rsidP="00736612">
      <w:pPr>
        <w:pStyle w:val="NICCYBodyText"/>
        <w:rPr>
          <w:lang w:val="en-US"/>
        </w:rPr>
      </w:pPr>
    </w:p>
    <w:p w:rsidR="00736612" w:rsidRDefault="00736612" w:rsidP="00736612">
      <w:pPr>
        <w:pStyle w:val="NICCYBodyText"/>
        <w:rPr>
          <w:lang w:val="en-US"/>
        </w:rPr>
      </w:pPr>
      <w:r>
        <w:rPr>
          <w:lang w:val="en-US"/>
        </w:rPr>
        <w:t>The Strategy – Improving Children’s Life Chances – set the context for an action plan which all departments gave a commitment to contribute.  In accordance with the requirements of the Act, we have conducted annual reviews of our Child Poverty Strategy, and we have laid reports emerging from those reviews in the Assembly.</w:t>
      </w:r>
    </w:p>
    <w:p w:rsidR="00736612" w:rsidRDefault="00736612" w:rsidP="00736612">
      <w:pPr>
        <w:pStyle w:val="NICCYBodyText"/>
        <w:rPr>
          <w:lang w:val="en-US"/>
        </w:rPr>
      </w:pPr>
    </w:p>
    <w:p w:rsidR="00736612" w:rsidRDefault="00736612" w:rsidP="00736612">
      <w:pPr>
        <w:pStyle w:val="NICCYBodyText"/>
        <w:rPr>
          <w:lang w:val="en-US"/>
        </w:rPr>
      </w:pPr>
      <w:r>
        <w:rPr>
          <w:lang w:val="en-US"/>
        </w:rPr>
        <w:t>The Child Poverty Act also requires that we revise the Strategy every three years.  To help inform the revised Strategy, which we hope to lay in the Assembly shortly, we commissioned work from the National Children’s Bureau to establish a cross governmental approach in which every department understands its role in reducing child poverty and makes an effective contribution to improving outcomes.  A Child Poverty Outcomes Framework was published last October.  The framework is based on the key principles of Outcomes Based Accountability which has a track record of delivering improvements in outcomes internationally.  Fulfilling our statutory requirements is clearly important, but it is only one element of our efforts to tackle child poverty and its impacts.</w:t>
      </w:r>
    </w:p>
    <w:p w:rsidR="00736612" w:rsidRDefault="00736612" w:rsidP="00736612">
      <w:pPr>
        <w:pStyle w:val="NICCYBodyText"/>
        <w:rPr>
          <w:lang w:val="en-US"/>
        </w:rPr>
      </w:pPr>
    </w:p>
    <w:p w:rsidR="00736612" w:rsidRDefault="00736612" w:rsidP="00736612">
      <w:pPr>
        <w:pStyle w:val="NICCYBodyText"/>
        <w:rPr>
          <w:lang w:val="en-US"/>
        </w:rPr>
      </w:pPr>
      <w:r>
        <w:rPr>
          <w:lang w:val="en-US"/>
        </w:rPr>
        <w:t>Our Department is driving the Delivering Social Change Framework to address priority social policy areas.  Seven Signature Projects are being taken forward, across departments to:</w:t>
      </w:r>
    </w:p>
    <w:p w:rsidR="00736612" w:rsidRPr="00E27F06" w:rsidRDefault="00736612" w:rsidP="00736612">
      <w:pPr>
        <w:pStyle w:val="NICCYBodyText"/>
        <w:numPr>
          <w:ilvl w:val="0"/>
          <w:numId w:val="4"/>
        </w:numPr>
        <w:rPr>
          <w:lang w:val="en-US"/>
        </w:rPr>
      </w:pPr>
      <w:r w:rsidRPr="00E27F06">
        <w:rPr>
          <w:lang w:val="en-US"/>
        </w:rPr>
        <w:t>support families;</w:t>
      </w:r>
    </w:p>
    <w:p w:rsidR="00736612" w:rsidRDefault="00736612" w:rsidP="00736612">
      <w:pPr>
        <w:pStyle w:val="NICCYBodyText"/>
        <w:numPr>
          <w:ilvl w:val="0"/>
          <w:numId w:val="4"/>
        </w:numPr>
        <w:rPr>
          <w:lang w:val="en-US"/>
        </w:rPr>
      </w:pPr>
      <w:r>
        <w:rPr>
          <w:lang w:val="en-US"/>
        </w:rPr>
        <w:t>address barriers to learning;</w:t>
      </w:r>
    </w:p>
    <w:p w:rsidR="00736612" w:rsidRDefault="00736612" w:rsidP="00736612">
      <w:pPr>
        <w:pStyle w:val="NICCYBodyText"/>
        <w:numPr>
          <w:ilvl w:val="0"/>
          <w:numId w:val="4"/>
        </w:numPr>
        <w:rPr>
          <w:lang w:val="en-US"/>
        </w:rPr>
      </w:pPr>
      <w:r>
        <w:rPr>
          <w:lang w:val="en-US"/>
        </w:rPr>
        <w:t>improve literacy and numeracy; and</w:t>
      </w:r>
    </w:p>
    <w:p w:rsidR="00736612" w:rsidRDefault="00736612" w:rsidP="00736612">
      <w:pPr>
        <w:pStyle w:val="NICCYBodyText"/>
        <w:numPr>
          <w:ilvl w:val="0"/>
          <w:numId w:val="4"/>
        </w:numPr>
      </w:pPr>
      <w:r>
        <w:rPr>
          <w:lang w:val="en-US"/>
        </w:rPr>
        <w:t>support job creation within local communities.</w:t>
      </w:r>
    </w:p>
    <w:p w:rsidR="00736612" w:rsidRDefault="00736612" w:rsidP="00736612">
      <w:pPr>
        <w:pStyle w:val="NICCYBodyText"/>
        <w:ind w:left="720"/>
      </w:pPr>
    </w:p>
    <w:p w:rsidR="00736612" w:rsidRDefault="00736612" w:rsidP="00736612">
      <w:pPr>
        <w:pStyle w:val="NICCYBodyText"/>
      </w:pPr>
      <w:hyperlink w:anchor="_top" w:history="1">
        <w:r w:rsidRPr="007715F2">
          <w:rPr>
            <w:rStyle w:val="Hyperlink"/>
          </w:rPr>
          <w:t>Back t</w:t>
        </w:r>
        <w:r w:rsidRPr="007715F2">
          <w:rPr>
            <w:rStyle w:val="Hyperlink"/>
          </w:rPr>
          <w:t>o</w:t>
        </w:r>
        <w:r w:rsidRPr="007715F2">
          <w:rPr>
            <w:rStyle w:val="Hyperlink"/>
          </w:rPr>
          <w:t xml:space="preserve"> T</w:t>
        </w:r>
        <w:r w:rsidRPr="007715F2">
          <w:rPr>
            <w:rStyle w:val="Hyperlink"/>
          </w:rPr>
          <w:t>o</w:t>
        </w:r>
        <w:r w:rsidRPr="007715F2">
          <w:rPr>
            <w:rStyle w:val="Hyperlink"/>
          </w:rPr>
          <w:t>p</w:t>
        </w:r>
      </w:hyperlink>
    </w:p>
    <w:p w:rsidR="00144156" w:rsidRDefault="00144156" w:rsidP="00736612">
      <w:pPr>
        <w:pStyle w:val="NICCYBodyText"/>
      </w:pPr>
    </w:p>
    <w:p w:rsidR="00144156" w:rsidRDefault="00144156" w:rsidP="00736612">
      <w:pPr>
        <w:pStyle w:val="NICCYBodyText"/>
      </w:pPr>
    </w:p>
    <w:p w:rsidR="00736612" w:rsidRPr="00736612" w:rsidRDefault="00736612" w:rsidP="00736612">
      <w:pPr>
        <w:pStyle w:val="Heading2"/>
        <w:rPr>
          <w:rFonts w:eastAsiaTheme="minorEastAsia"/>
          <w:color w:val="23A4DE"/>
          <w:lang w:val="en-US"/>
        </w:rPr>
      </w:pPr>
      <w:bookmarkStart w:id="2" w:name="_Childcare_for_Children"/>
      <w:bookmarkEnd w:id="2"/>
      <w:r w:rsidRPr="00736612">
        <w:rPr>
          <w:rFonts w:eastAsiaTheme="minorEastAsia"/>
          <w:color w:val="23A4DE"/>
          <w:lang w:val="en-US"/>
        </w:rPr>
        <w:lastRenderedPageBreak/>
        <w:t>Childcare for Children with a Disability</w:t>
      </w:r>
    </w:p>
    <w:p w:rsidR="00736612" w:rsidRDefault="00736612" w:rsidP="00736612">
      <w:pPr>
        <w:pStyle w:val="NICCYBodyText"/>
        <w:rPr>
          <w:lang w:val="en-US"/>
        </w:rPr>
      </w:pPr>
      <w:r w:rsidRPr="00736612">
        <w:rPr>
          <w:rFonts w:ascii="ITCFranklinGothicDemi" w:hAnsi="ITCFranklinGothicDemi" w:cs="ITCFranklinGothicDemi"/>
          <w:b/>
          <w:lang w:val="en-US"/>
        </w:rPr>
        <w:t>Mr Lyttle</w:t>
      </w:r>
      <w:r>
        <w:rPr>
          <w:rFonts w:ascii="ITCFranklinGothicDemi" w:hAnsi="ITCFranklinGothicDemi" w:cs="ITCFranklinGothicDemi"/>
          <w:lang w:val="en-US"/>
        </w:rPr>
        <w:t xml:space="preserve"> </w:t>
      </w:r>
      <w:r>
        <w:rPr>
          <w:lang w:val="en-US"/>
        </w:rPr>
        <w:t>asked the First Minister and deputy First Minister what assurances they can give that childcare for children with a disability will remain a priority; and that the current and future funding allocation for summer schemes, training provision and small capital grants to cater for children with a disability will be guaranteed.</w:t>
      </w:r>
    </w:p>
    <w:p w:rsidR="00736612" w:rsidRDefault="00736612" w:rsidP="00736612">
      <w:pPr>
        <w:pStyle w:val="NICCYBodyText"/>
        <w:rPr>
          <w:rFonts w:ascii="ITCFranklinGothicDemi" w:hAnsi="ITCFranklinGothicDemi" w:cs="ITCFranklinGothicDemi"/>
          <w:lang w:val="en-US"/>
        </w:rPr>
      </w:pPr>
      <w:r>
        <w:rPr>
          <w:rFonts w:ascii="ITCFranklinGothicDemi" w:hAnsi="ITCFranklinGothicDemi" w:cs="ITCFranklinGothicDemi"/>
          <w:lang w:val="en-US"/>
        </w:rPr>
        <w:t>(AQW 35187/11-15)</w:t>
      </w:r>
    </w:p>
    <w:p w:rsidR="00736612" w:rsidRDefault="00736612" w:rsidP="00736612">
      <w:pPr>
        <w:pStyle w:val="NICCYBodyText"/>
        <w:rPr>
          <w:rFonts w:ascii="ITCFranklinGothicDemi" w:hAnsi="ITCFranklinGothicDemi" w:cs="ITCFranklinGothicDemi"/>
          <w:lang w:val="en-US"/>
        </w:rPr>
      </w:pPr>
    </w:p>
    <w:p w:rsidR="00736612" w:rsidRDefault="00736612" w:rsidP="00736612">
      <w:pPr>
        <w:pStyle w:val="NICCYBodyText"/>
        <w:rPr>
          <w:lang w:val="en-US"/>
        </w:rPr>
      </w:pPr>
      <w:r w:rsidRPr="00736612">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 xml:space="preserve">Childcare for children with a disability is and will remain a priority of the Bright Start Childcare Strategy.  Childcare for children with a disability is currently addressed in the first phase of the Strategy under Key First Action 6, responsibility for which rests with DHSSPS.  </w:t>
      </w:r>
    </w:p>
    <w:p w:rsidR="00736612" w:rsidRDefault="00736612" w:rsidP="00736612">
      <w:pPr>
        <w:pStyle w:val="NICCYBodyText"/>
        <w:rPr>
          <w:lang w:val="en-US"/>
        </w:rPr>
      </w:pPr>
    </w:p>
    <w:p w:rsidR="00736612" w:rsidRPr="00736612" w:rsidRDefault="00736612" w:rsidP="00736612">
      <w:pPr>
        <w:pStyle w:val="NICCYBodyText"/>
        <w:rPr>
          <w:lang w:val="en-US"/>
        </w:rPr>
      </w:pPr>
      <w:r>
        <w:rPr>
          <w:lang w:val="en-US"/>
        </w:rPr>
        <w:t>To date, Bright Start has allocated approximately £500,000 to help childcare providers meet the needs of children with a disability.  OFMDFM and DHSSPS officials are currently liaising to confirm the resources needed to deliver further assistance, including training, small grants and summer schemes, in the present financial year.</w:t>
      </w:r>
    </w:p>
    <w:p w:rsidR="00736612" w:rsidRDefault="00736612" w:rsidP="00736612">
      <w:pPr>
        <w:autoSpaceDE w:val="0"/>
        <w:autoSpaceDN w:val="0"/>
        <w:adjustRightInd w:val="0"/>
        <w:rPr>
          <w:b/>
          <w:sz w:val="32"/>
          <w:szCs w:val="32"/>
        </w:rPr>
      </w:pPr>
    </w:p>
    <w:p w:rsidR="00736612" w:rsidRDefault="00736612" w:rsidP="00736612">
      <w:pPr>
        <w:pStyle w:val="NICCYBodyText"/>
      </w:pPr>
      <w:hyperlink w:anchor="_top" w:history="1">
        <w:r w:rsidRPr="007715F2">
          <w:rPr>
            <w:rStyle w:val="Hyperlink"/>
          </w:rPr>
          <w:t>Bac</w:t>
        </w:r>
        <w:r w:rsidRPr="007715F2">
          <w:rPr>
            <w:rStyle w:val="Hyperlink"/>
          </w:rPr>
          <w:t>k</w:t>
        </w:r>
        <w:r w:rsidRPr="007715F2">
          <w:rPr>
            <w:rStyle w:val="Hyperlink"/>
          </w:rPr>
          <w:t xml:space="preserve"> to</w:t>
        </w:r>
        <w:r w:rsidRPr="007715F2">
          <w:rPr>
            <w:rStyle w:val="Hyperlink"/>
          </w:rPr>
          <w:t xml:space="preserve"> </w:t>
        </w:r>
        <w:r w:rsidRPr="007715F2">
          <w:rPr>
            <w:rStyle w:val="Hyperlink"/>
          </w:rPr>
          <w:t>Top</w:t>
        </w:r>
      </w:hyperlink>
    </w:p>
    <w:p w:rsidR="00736612" w:rsidRDefault="00736612" w:rsidP="00736612">
      <w:pPr>
        <w:autoSpaceDE w:val="0"/>
        <w:autoSpaceDN w:val="0"/>
        <w:adjustRightInd w:val="0"/>
        <w:rPr>
          <w:b/>
          <w:sz w:val="32"/>
          <w:szCs w:val="32"/>
        </w:rPr>
      </w:pPr>
    </w:p>
    <w:p w:rsidR="00736612" w:rsidRPr="00736612" w:rsidRDefault="00736612" w:rsidP="00736612">
      <w:pPr>
        <w:pStyle w:val="Heading2"/>
        <w:rPr>
          <w:rFonts w:eastAsiaTheme="minorEastAsia"/>
          <w:color w:val="23A4DE"/>
          <w:lang w:val="en-US"/>
        </w:rPr>
      </w:pPr>
      <w:bookmarkStart w:id="3" w:name="_Bright_Start"/>
      <w:bookmarkEnd w:id="3"/>
      <w:r w:rsidRPr="00736612">
        <w:rPr>
          <w:rFonts w:eastAsiaTheme="minorEastAsia"/>
          <w:color w:val="23A4DE"/>
          <w:lang w:val="en-US"/>
        </w:rPr>
        <w:t>Bright Start</w:t>
      </w:r>
    </w:p>
    <w:p w:rsidR="00736612" w:rsidRDefault="00736612" w:rsidP="00736612">
      <w:pPr>
        <w:pStyle w:val="NICCYBodyText"/>
        <w:rPr>
          <w:lang w:val="en-US"/>
        </w:rPr>
      </w:pPr>
      <w:r w:rsidRPr="00736612">
        <w:rPr>
          <w:rFonts w:ascii="ITCFranklinGothicDemi" w:hAnsi="ITCFranklinGothicDemi" w:cs="ITCFranklinGothicDemi"/>
          <w:b/>
          <w:lang w:val="en-US"/>
        </w:rPr>
        <w:t>Mr Lyttle</w:t>
      </w:r>
      <w:r>
        <w:rPr>
          <w:rFonts w:ascii="ITCFranklinGothicDemi" w:hAnsi="ITCFranklinGothicDemi" w:cs="ITCFranklinGothicDemi"/>
          <w:lang w:val="en-US"/>
        </w:rPr>
        <w:t xml:space="preserve"> </w:t>
      </w:r>
      <w:r>
        <w:rPr>
          <w:lang w:val="en-US"/>
        </w:rPr>
        <w:t>asked the First Minister and deputy First Minister to detail the current funding amount secured for the childcare strategy Bright Start; and how any shortfall will be found.</w:t>
      </w:r>
    </w:p>
    <w:p w:rsidR="00736612" w:rsidRDefault="00736612" w:rsidP="00736612">
      <w:pPr>
        <w:pStyle w:val="NICCYBodyText"/>
        <w:rPr>
          <w:rFonts w:ascii="ITCFranklinGothicDemi" w:hAnsi="ITCFranklinGothicDemi" w:cs="ITCFranklinGothicDemi"/>
          <w:lang w:val="en-US"/>
        </w:rPr>
      </w:pPr>
      <w:r>
        <w:rPr>
          <w:rFonts w:ascii="ITCFranklinGothicDemi" w:hAnsi="ITCFranklinGothicDemi" w:cs="ITCFranklinGothicDemi"/>
          <w:lang w:val="en-US"/>
        </w:rPr>
        <w:t>(AQW 35188/11-15)</w:t>
      </w:r>
    </w:p>
    <w:p w:rsidR="00736612" w:rsidRDefault="00736612" w:rsidP="00736612">
      <w:pPr>
        <w:pStyle w:val="NICCYBodyText"/>
        <w:rPr>
          <w:rFonts w:ascii="ITCFranklinGothicDemi" w:hAnsi="ITCFranklinGothicDemi" w:cs="ITCFranklinGothicDemi"/>
          <w:lang w:val="en-US"/>
        </w:rPr>
      </w:pPr>
    </w:p>
    <w:p w:rsidR="00736612" w:rsidRDefault="00736612" w:rsidP="00736612">
      <w:pPr>
        <w:pStyle w:val="NICCYBodyText"/>
        <w:rPr>
          <w:lang w:val="en-US"/>
        </w:rPr>
      </w:pPr>
      <w:r w:rsidRPr="00736612">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The first phase of the Bright Start Childcare Strategy, including 15 Key First Actions to address the main childcare priorities identified during consultation and research, was launched in September 2013.  There is currently provision of £13 million to resource the Key First Actions up to 2017/18.</w:t>
      </w:r>
      <w:r w:rsidR="00A71735">
        <w:rPr>
          <w:lang w:val="en-US"/>
        </w:rPr>
        <w:t xml:space="preserve">  </w:t>
      </w:r>
      <w:r>
        <w:rPr>
          <w:lang w:val="en-US"/>
        </w:rPr>
        <w:t>OFMDFM will continue to liaise with the departments responsible for the Actions to confirm funding needs.  Further resources will, if required, be secured under normal public expenditure processes.</w:t>
      </w:r>
    </w:p>
    <w:p w:rsidR="00736612" w:rsidRDefault="00736612" w:rsidP="00736612">
      <w:pPr>
        <w:pStyle w:val="NICCYBodyText"/>
        <w:rPr>
          <w:rFonts w:ascii="ITCFranklinGothicBook" w:hAnsi="ITCFranklinGothicBook" w:cs="ITCFranklinGothicBook"/>
          <w:lang w:val="en-US"/>
        </w:rPr>
      </w:pPr>
    </w:p>
    <w:p w:rsidR="00A71735" w:rsidRDefault="00A71735" w:rsidP="00A71735">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A71735" w:rsidRDefault="00A71735" w:rsidP="00A71735">
      <w:pPr>
        <w:pStyle w:val="NICCYBodyText"/>
      </w:pPr>
    </w:p>
    <w:p w:rsidR="00A71735" w:rsidRDefault="00A71735" w:rsidP="00736612">
      <w:pPr>
        <w:pStyle w:val="NICCYBodyText"/>
        <w:rPr>
          <w:rFonts w:ascii="ITCFranklinGothicBook" w:hAnsi="ITCFranklinGothicBook" w:cs="ITCFranklinGothicBook"/>
          <w:lang w:val="en-US"/>
        </w:rPr>
      </w:pPr>
    </w:p>
    <w:p w:rsidR="00144156" w:rsidRDefault="00144156" w:rsidP="00736612">
      <w:pPr>
        <w:pStyle w:val="NICCYBodyText"/>
        <w:rPr>
          <w:rFonts w:ascii="ITCFranklinGothicBook" w:hAnsi="ITCFranklinGothicBook" w:cs="ITCFranklinGothicBook"/>
          <w:lang w:val="en-US"/>
        </w:rPr>
      </w:pPr>
    </w:p>
    <w:p w:rsidR="00736612" w:rsidRPr="00A71735" w:rsidRDefault="00736612" w:rsidP="00A71735">
      <w:pPr>
        <w:pStyle w:val="Heading2"/>
        <w:rPr>
          <w:rFonts w:eastAsiaTheme="minorEastAsia"/>
          <w:color w:val="23A4DE"/>
          <w:lang w:val="en-US"/>
        </w:rPr>
      </w:pPr>
      <w:bookmarkStart w:id="4" w:name="_Disability_Strategy"/>
      <w:bookmarkEnd w:id="4"/>
      <w:r w:rsidRPr="00A71735">
        <w:rPr>
          <w:rFonts w:eastAsiaTheme="minorEastAsia"/>
          <w:color w:val="23A4DE"/>
          <w:lang w:val="en-US"/>
        </w:rPr>
        <w:lastRenderedPageBreak/>
        <w:t>Disability Strategy</w:t>
      </w:r>
    </w:p>
    <w:p w:rsidR="00736612" w:rsidRDefault="00736612" w:rsidP="00A71735">
      <w:pPr>
        <w:pStyle w:val="NICCYBodyText"/>
        <w:rPr>
          <w:lang w:val="en-US"/>
        </w:rPr>
      </w:pPr>
      <w:r w:rsidRPr="00A71735">
        <w:rPr>
          <w:rFonts w:ascii="ITCFranklinGothicDemi" w:hAnsi="ITCFranklinGothicDemi" w:cs="ITCFranklinGothicDemi"/>
          <w:b/>
          <w:lang w:val="en-US"/>
        </w:rPr>
        <w:t>Mr Lyttle</w:t>
      </w:r>
      <w:r>
        <w:rPr>
          <w:rFonts w:ascii="ITCFranklinGothicDemi" w:hAnsi="ITCFranklinGothicDemi" w:cs="ITCFranklinGothicDemi"/>
          <w:lang w:val="en-US"/>
        </w:rPr>
        <w:t xml:space="preserve"> </w:t>
      </w:r>
      <w:r>
        <w:rPr>
          <w:lang w:val="en-US"/>
        </w:rPr>
        <w:t xml:space="preserve">asked the First Minister and deputy First Minister what projects the Department is </w:t>
      </w:r>
      <w:r w:rsidR="00A71735">
        <w:rPr>
          <w:lang w:val="en-US"/>
        </w:rPr>
        <w:t xml:space="preserve">prioritizing </w:t>
      </w:r>
      <w:r>
        <w:rPr>
          <w:lang w:val="en-US"/>
        </w:rPr>
        <w:t>for children with disabilities through the disability strategy; and to list the projects funded as part of the</w:t>
      </w:r>
      <w:r w:rsidR="00A71735">
        <w:rPr>
          <w:lang w:val="en-US"/>
        </w:rPr>
        <w:t xml:space="preserve"> </w:t>
      </w:r>
      <w:r>
        <w:rPr>
          <w:lang w:val="en-US"/>
        </w:rPr>
        <w:t>disability strategy.</w:t>
      </w:r>
    </w:p>
    <w:p w:rsidR="00736612" w:rsidRDefault="00736612" w:rsidP="00A71735">
      <w:pPr>
        <w:pStyle w:val="NICCYBodyText"/>
        <w:rPr>
          <w:rFonts w:ascii="ITCFranklinGothicDemi" w:hAnsi="ITCFranklinGothicDemi" w:cs="ITCFranklinGothicDemi"/>
          <w:lang w:val="en-US"/>
        </w:rPr>
      </w:pPr>
      <w:r>
        <w:rPr>
          <w:rFonts w:ascii="ITCFranklinGothicDemi" w:hAnsi="ITCFranklinGothicDemi" w:cs="ITCFranklinGothicDemi"/>
          <w:lang w:val="en-US"/>
        </w:rPr>
        <w:t>(AQW 35189/11-15)</w:t>
      </w:r>
    </w:p>
    <w:p w:rsidR="00A71735" w:rsidRDefault="00A71735" w:rsidP="00A71735">
      <w:pPr>
        <w:pStyle w:val="NICCYBodyText"/>
        <w:rPr>
          <w:rFonts w:ascii="ITCFranklinGothicDemi" w:hAnsi="ITCFranklinGothicDemi" w:cs="ITCFranklinGothicDemi"/>
          <w:lang w:val="en-US"/>
        </w:rPr>
      </w:pPr>
    </w:p>
    <w:p w:rsidR="00736612" w:rsidRDefault="00736612" w:rsidP="00A71735">
      <w:pPr>
        <w:pStyle w:val="NICCYBodyText"/>
        <w:rPr>
          <w:lang w:val="en-US"/>
        </w:rPr>
      </w:pPr>
      <w:r w:rsidRPr="00A71735">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Since publication of the Executive’s Disability Strategy, we have</w:t>
      </w:r>
      <w:r w:rsidR="00A71735">
        <w:rPr>
          <w:lang w:val="en-US"/>
        </w:rPr>
        <w:t xml:space="preserve"> </w:t>
      </w:r>
      <w:r>
        <w:rPr>
          <w:lang w:val="en-US"/>
        </w:rPr>
        <w:t xml:space="preserve">taken forward several projects </w:t>
      </w:r>
      <w:r w:rsidR="00A71735">
        <w:rPr>
          <w:lang w:val="en-US"/>
        </w:rPr>
        <w:t xml:space="preserve">for children with disabilities.  </w:t>
      </w:r>
      <w:r>
        <w:rPr>
          <w:lang w:val="en-US"/>
        </w:rPr>
        <w:t>OFMDFM worked with Disability Action to</w:t>
      </w:r>
      <w:r w:rsidR="00A71735">
        <w:rPr>
          <w:lang w:val="en-US"/>
        </w:rPr>
        <w:t xml:space="preserve"> </w:t>
      </w:r>
      <w:r>
        <w:rPr>
          <w:lang w:val="en-US"/>
        </w:rPr>
        <w:t>develop a Schools Educational Resource Pack for teachers and youth workers to help teach pupils and</w:t>
      </w:r>
      <w:r w:rsidR="00A71735">
        <w:rPr>
          <w:lang w:val="en-US"/>
        </w:rPr>
        <w:t xml:space="preserve"> </w:t>
      </w:r>
      <w:r>
        <w:rPr>
          <w:lang w:val="en-US"/>
        </w:rPr>
        <w:t>young people about the righ</w:t>
      </w:r>
      <w:r w:rsidR="00A71735">
        <w:rPr>
          <w:lang w:val="en-US"/>
        </w:rPr>
        <w:t xml:space="preserve">ts of people with disabilities.  </w:t>
      </w:r>
      <w:r>
        <w:rPr>
          <w:lang w:val="en-US"/>
        </w:rPr>
        <w:t>We have also supported Special Olympics</w:t>
      </w:r>
      <w:r w:rsidR="00A71735">
        <w:rPr>
          <w:lang w:val="en-US"/>
        </w:rPr>
        <w:t xml:space="preserve"> </w:t>
      </w:r>
      <w:r>
        <w:rPr>
          <w:lang w:val="en-US"/>
        </w:rPr>
        <w:t>Ulster to provide young people with learning disabilities an opportunity to actively participate in public life.</w:t>
      </w:r>
    </w:p>
    <w:p w:rsidR="00A71735" w:rsidRDefault="00A71735" w:rsidP="00A71735">
      <w:pPr>
        <w:pStyle w:val="NICCYBodyText"/>
        <w:rPr>
          <w:lang w:val="en-US"/>
        </w:rPr>
      </w:pPr>
    </w:p>
    <w:p w:rsidR="00736612" w:rsidRDefault="00736612" w:rsidP="00A71735">
      <w:pPr>
        <w:pStyle w:val="NICCYBodyText"/>
        <w:rPr>
          <w:lang w:val="en-US"/>
        </w:rPr>
      </w:pPr>
      <w:r>
        <w:rPr>
          <w:lang w:val="en-US"/>
        </w:rPr>
        <w:t>We are currently considering a number of further projects submitted by Departments to deliver</w:t>
      </w:r>
      <w:r w:rsidR="00A71735">
        <w:rPr>
          <w:lang w:val="en-US"/>
        </w:rPr>
        <w:t xml:space="preserve"> </w:t>
      </w:r>
      <w:r>
        <w:rPr>
          <w:lang w:val="en-US"/>
        </w:rPr>
        <w:t>outcomes under the Strategy, to be taken forward within the Delivering Social</w:t>
      </w:r>
      <w:r w:rsidR="00A71735">
        <w:rPr>
          <w:lang w:val="en-US"/>
        </w:rPr>
        <w:t xml:space="preserve"> Change Framework.  </w:t>
      </w:r>
      <w:r>
        <w:rPr>
          <w:lang w:val="en-US"/>
        </w:rPr>
        <w:t>An</w:t>
      </w:r>
      <w:r w:rsidR="00A71735">
        <w:rPr>
          <w:lang w:val="en-US"/>
        </w:rPr>
        <w:t xml:space="preserve"> </w:t>
      </w:r>
      <w:r>
        <w:rPr>
          <w:lang w:val="en-US"/>
        </w:rPr>
        <w:t>annual report on the Strategy will provide a full account of our work under the Strategy and will be</w:t>
      </w:r>
      <w:r w:rsidR="00A71735">
        <w:rPr>
          <w:lang w:val="en-US"/>
        </w:rPr>
        <w:t xml:space="preserve"> </w:t>
      </w:r>
      <w:r>
        <w:rPr>
          <w:lang w:val="en-US"/>
        </w:rPr>
        <w:t>published in due course.</w:t>
      </w:r>
    </w:p>
    <w:p w:rsidR="00A71735" w:rsidRDefault="00A71735" w:rsidP="00A71735">
      <w:pPr>
        <w:pStyle w:val="NICCYBodyText"/>
        <w:rPr>
          <w:lang w:val="en-US"/>
        </w:rPr>
      </w:pPr>
    </w:p>
    <w:p w:rsidR="00A71735" w:rsidRDefault="00A71735" w:rsidP="00A71735">
      <w:pPr>
        <w:pStyle w:val="NICCYBodyText"/>
      </w:pPr>
      <w:hyperlink w:anchor="_top" w:history="1">
        <w:r w:rsidRPr="007715F2">
          <w:rPr>
            <w:rStyle w:val="Hyperlink"/>
          </w:rPr>
          <w:t>Ba</w:t>
        </w:r>
        <w:r w:rsidRPr="007715F2">
          <w:rPr>
            <w:rStyle w:val="Hyperlink"/>
          </w:rPr>
          <w:t>c</w:t>
        </w:r>
        <w:r w:rsidRPr="007715F2">
          <w:rPr>
            <w:rStyle w:val="Hyperlink"/>
          </w:rPr>
          <w:t>k</w:t>
        </w:r>
        <w:r w:rsidRPr="007715F2">
          <w:rPr>
            <w:rStyle w:val="Hyperlink"/>
          </w:rPr>
          <w:t xml:space="preserve"> </w:t>
        </w:r>
        <w:r w:rsidRPr="007715F2">
          <w:rPr>
            <w:rStyle w:val="Hyperlink"/>
          </w:rPr>
          <w:t>t</w:t>
        </w:r>
        <w:r w:rsidRPr="007715F2">
          <w:rPr>
            <w:rStyle w:val="Hyperlink"/>
          </w:rPr>
          <w:t>o</w:t>
        </w:r>
        <w:r w:rsidRPr="007715F2">
          <w:rPr>
            <w:rStyle w:val="Hyperlink"/>
          </w:rPr>
          <w:t xml:space="preserve"> </w:t>
        </w:r>
        <w:r w:rsidRPr="007715F2">
          <w:rPr>
            <w:rStyle w:val="Hyperlink"/>
          </w:rPr>
          <w:t>T</w:t>
        </w:r>
        <w:r w:rsidRPr="007715F2">
          <w:rPr>
            <w:rStyle w:val="Hyperlink"/>
          </w:rPr>
          <w:t>op</w:t>
        </w:r>
      </w:hyperlink>
    </w:p>
    <w:p w:rsidR="00A71735" w:rsidRDefault="00A71735" w:rsidP="00A71735">
      <w:pPr>
        <w:pStyle w:val="NICCYBodyText"/>
        <w:rPr>
          <w:lang w:val="en-US"/>
        </w:rPr>
      </w:pPr>
    </w:p>
    <w:p w:rsidR="00736612" w:rsidRPr="00A71735" w:rsidRDefault="00736612" w:rsidP="00A71735">
      <w:pPr>
        <w:pStyle w:val="Heading2"/>
        <w:rPr>
          <w:rFonts w:eastAsiaTheme="minorEastAsia"/>
          <w:color w:val="23A4DE"/>
          <w:lang w:val="en-US"/>
        </w:rPr>
      </w:pPr>
      <w:bookmarkStart w:id="5" w:name="_Disability_Strategy_1"/>
      <w:bookmarkEnd w:id="5"/>
      <w:r w:rsidRPr="00A71735">
        <w:rPr>
          <w:rFonts w:eastAsiaTheme="minorEastAsia"/>
          <w:color w:val="23A4DE"/>
          <w:lang w:val="en-US"/>
        </w:rPr>
        <w:t>Disability Strategy</w:t>
      </w:r>
    </w:p>
    <w:p w:rsidR="00736612" w:rsidRDefault="00736612" w:rsidP="00A71735">
      <w:pPr>
        <w:pStyle w:val="NICCYBodyText"/>
        <w:rPr>
          <w:lang w:val="en-US"/>
        </w:rPr>
      </w:pPr>
      <w:r w:rsidRPr="00A71735">
        <w:rPr>
          <w:rFonts w:ascii="ITCFranklinGothicDemi" w:hAnsi="ITCFranklinGothicDemi" w:cs="ITCFranklinGothicDemi"/>
          <w:b/>
          <w:lang w:val="en-US"/>
        </w:rPr>
        <w:t>Mr Lyttle</w:t>
      </w:r>
      <w:r>
        <w:rPr>
          <w:rFonts w:ascii="ITCFranklinGothicDemi" w:hAnsi="ITCFranklinGothicDemi" w:cs="ITCFranklinGothicDemi"/>
          <w:lang w:val="en-US"/>
        </w:rPr>
        <w:t xml:space="preserve"> </w:t>
      </w:r>
      <w:r>
        <w:rPr>
          <w:lang w:val="en-US"/>
        </w:rPr>
        <w:t xml:space="preserve">asked the First Minister and deputy First Minister how much funding is available to </w:t>
      </w:r>
      <w:r w:rsidR="00A71735">
        <w:rPr>
          <w:lang w:val="en-US"/>
        </w:rPr>
        <w:t xml:space="preserve">realize </w:t>
      </w:r>
      <w:r>
        <w:rPr>
          <w:lang w:val="en-US"/>
        </w:rPr>
        <w:t>the disability strategy, particularly for children and young people with disabilities.</w:t>
      </w:r>
    </w:p>
    <w:p w:rsidR="00736612" w:rsidRDefault="00736612" w:rsidP="00A71735">
      <w:pPr>
        <w:pStyle w:val="NICCYBodyText"/>
        <w:rPr>
          <w:rFonts w:ascii="ITCFranklinGothicDemi" w:hAnsi="ITCFranklinGothicDemi" w:cs="ITCFranklinGothicDemi"/>
          <w:lang w:val="en-US"/>
        </w:rPr>
      </w:pPr>
      <w:r>
        <w:rPr>
          <w:rFonts w:ascii="ITCFranklinGothicDemi" w:hAnsi="ITCFranklinGothicDemi" w:cs="ITCFranklinGothicDemi"/>
          <w:lang w:val="en-US"/>
        </w:rPr>
        <w:t>(AQW 35190/11-15)</w:t>
      </w:r>
    </w:p>
    <w:p w:rsidR="00A71735" w:rsidRDefault="00A71735" w:rsidP="00A71735">
      <w:pPr>
        <w:pStyle w:val="NICCYBodyText"/>
        <w:rPr>
          <w:rFonts w:ascii="ITCFranklinGothicDemi" w:hAnsi="ITCFranklinGothicDemi" w:cs="ITCFranklinGothicDemi"/>
          <w:lang w:val="en-US"/>
        </w:rPr>
      </w:pPr>
    </w:p>
    <w:p w:rsidR="00736612" w:rsidRPr="00A71735" w:rsidRDefault="00736612" w:rsidP="00A71735">
      <w:pPr>
        <w:pStyle w:val="NICCYBodyText"/>
        <w:rPr>
          <w:lang w:val="en-US"/>
        </w:rPr>
      </w:pPr>
      <w:r w:rsidRPr="00A71735">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We are currently considering a number of proposed projects</w:t>
      </w:r>
      <w:r w:rsidR="00A71735">
        <w:rPr>
          <w:lang w:val="en-US"/>
        </w:rPr>
        <w:t xml:space="preserve"> </w:t>
      </w:r>
      <w:r>
        <w:rPr>
          <w:lang w:val="en-US"/>
        </w:rPr>
        <w:t>submitted by departments to deliver outcomes under the Executive’s Disability Strategy, to be taken</w:t>
      </w:r>
      <w:r w:rsidR="00A71735">
        <w:rPr>
          <w:lang w:val="en-US"/>
        </w:rPr>
        <w:t xml:space="preserve"> </w:t>
      </w:r>
      <w:r>
        <w:rPr>
          <w:lang w:val="en-US"/>
        </w:rPr>
        <w:t>forward within the Delivering Social Change Framework. The proposed projects cover a range of</w:t>
      </w:r>
      <w:r w:rsidR="00A71735">
        <w:rPr>
          <w:lang w:val="en-US"/>
        </w:rPr>
        <w:t xml:space="preserve"> </w:t>
      </w:r>
      <w:r>
        <w:rPr>
          <w:lang w:val="en-US"/>
        </w:rPr>
        <w:t>disabilities and a range of ages from ch</w:t>
      </w:r>
      <w:r w:rsidR="00A71735">
        <w:rPr>
          <w:lang w:val="en-US"/>
        </w:rPr>
        <w:t xml:space="preserve">ildren through to older people.  </w:t>
      </w:r>
      <w:r>
        <w:rPr>
          <w:lang w:val="en-US"/>
        </w:rPr>
        <w:t>Funding for agreed projects will</w:t>
      </w:r>
      <w:r w:rsidR="00A71735">
        <w:rPr>
          <w:lang w:val="en-US"/>
        </w:rPr>
        <w:t xml:space="preserve"> </w:t>
      </w:r>
      <w:r>
        <w:rPr>
          <w:lang w:val="en-US"/>
        </w:rPr>
        <w:t>need to be bid for in the normal manner.</w:t>
      </w:r>
    </w:p>
    <w:p w:rsidR="00736612" w:rsidRDefault="00736612" w:rsidP="00736612">
      <w:pPr>
        <w:pStyle w:val="NICCYBodyText"/>
        <w:rPr>
          <w:b/>
          <w:sz w:val="32"/>
          <w:szCs w:val="32"/>
        </w:rPr>
      </w:pPr>
    </w:p>
    <w:p w:rsidR="00A71735" w:rsidRDefault="00A71735" w:rsidP="00A71735">
      <w:pPr>
        <w:pStyle w:val="NICCYBodyText"/>
      </w:pPr>
      <w:hyperlink w:anchor="_top" w:history="1">
        <w:r w:rsidRPr="007715F2">
          <w:rPr>
            <w:rStyle w:val="Hyperlink"/>
          </w:rPr>
          <w:t>Back to</w:t>
        </w:r>
        <w:r w:rsidRPr="007715F2">
          <w:rPr>
            <w:rStyle w:val="Hyperlink"/>
          </w:rPr>
          <w:t xml:space="preserve"> </w:t>
        </w:r>
        <w:r w:rsidRPr="007715F2">
          <w:rPr>
            <w:rStyle w:val="Hyperlink"/>
          </w:rPr>
          <w:t>T</w:t>
        </w:r>
        <w:r w:rsidRPr="007715F2">
          <w:rPr>
            <w:rStyle w:val="Hyperlink"/>
          </w:rPr>
          <w:t>op</w:t>
        </w:r>
      </w:hyperlink>
    </w:p>
    <w:p w:rsidR="00A71735" w:rsidRDefault="00A71735" w:rsidP="00736612">
      <w:pPr>
        <w:pStyle w:val="NICCYBodyText"/>
        <w:rPr>
          <w:b/>
          <w:sz w:val="32"/>
          <w:szCs w:val="32"/>
        </w:rPr>
      </w:pPr>
    </w:p>
    <w:p w:rsidR="00144156" w:rsidRDefault="00144156" w:rsidP="00736612">
      <w:pPr>
        <w:pStyle w:val="NICCYBodyText"/>
        <w:rPr>
          <w:b/>
          <w:sz w:val="32"/>
          <w:szCs w:val="32"/>
        </w:rPr>
      </w:pPr>
    </w:p>
    <w:p w:rsidR="00736612" w:rsidRPr="0031506E" w:rsidRDefault="00736612" w:rsidP="00A71735">
      <w:pPr>
        <w:pStyle w:val="Heading2"/>
        <w:rPr>
          <w:rFonts w:eastAsiaTheme="minorEastAsia"/>
          <w:color w:val="23A4DE"/>
          <w:lang w:val="en-US"/>
        </w:rPr>
      </w:pPr>
      <w:bookmarkStart w:id="6" w:name="_Disability_Strategy_2"/>
      <w:bookmarkEnd w:id="6"/>
      <w:r w:rsidRPr="0031506E">
        <w:rPr>
          <w:rFonts w:eastAsiaTheme="minorEastAsia"/>
          <w:color w:val="23A4DE"/>
          <w:lang w:val="en-US"/>
        </w:rPr>
        <w:lastRenderedPageBreak/>
        <w:t>Disability Strategy</w:t>
      </w:r>
    </w:p>
    <w:p w:rsidR="00736612" w:rsidRDefault="00736612" w:rsidP="00A71735">
      <w:pPr>
        <w:pStyle w:val="NICCYBodyText"/>
        <w:rPr>
          <w:lang w:val="en-US"/>
        </w:rPr>
      </w:pPr>
      <w:r w:rsidRPr="00A71735">
        <w:rPr>
          <w:rFonts w:ascii="ITCFranklinGothicDemi" w:hAnsi="ITCFranklinGothicDemi" w:cs="ITCFranklinGothicDemi"/>
          <w:b/>
          <w:lang w:val="en-US"/>
        </w:rPr>
        <w:t>Mr Lyttle</w:t>
      </w:r>
      <w:r>
        <w:rPr>
          <w:rFonts w:ascii="ITCFranklinGothicDemi" w:hAnsi="ITCFranklinGothicDemi" w:cs="ITCFranklinGothicDemi"/>
          <w:lang w:val="en-US"/>
        </w:rPr>
        <w:t xml:space="preserve"> </w:t>
      </w:r>
      <w:r>
        <w:rPr>
          <w:lang w:val="en-US"/>
        </w:rPr>
        <w:t>asked the First Minister and deputy First Minister how the disability strategy has improved</w:t>
      </w:r>
      <w:r w:rsidR="00A71735">
        <w:rPr>
          <w:lang w:val="en-US"/>
        </w:rPr>
        <w:t xml:space="preserve"> </w:t>
      </w:r>
      <w:r>
        <w:rPr>
          <w:lang w:val="en-US"/>
        </w:rPr>
        <w:t>the lives of children and young people with disabilities and their families.</w:t>
      </w:r>
    </w:p>
    <w:p w:rsidR="00736612" w:rsidRDefault="00736612" w:rsidP="00A71735">
      <w:pPr>
        <w:pStyle w:val="NICCYBodyText"/>
        <w:rPr>
          <w:rFonts w:ascii="ITCFranklinGothicDemi" w:hAnsi="ITCFranklinGothicDemi" w:cs="ITCFranklinGothicDemi"/>
          <w:lang w:val="en-US"/>
        </w:rPr>
      </w:pPr>
      <w:r>
        <w:rPr>
          <w:rFonts w:ascii="ITCFranklinGothicDemi" w:hAnsi="ITCFranklinGothicDemi" w:cs="ITCFranklinGothicDemi"/>
          <w:lang w:val="en-US"/>
        </w:rPr>
        <w:t>(AQW 35191/11-15)</w:t>
      </w:r>
    </w:p>
    <w:p w:rsidR="00A71735" w:rsidRDefault="00A71735" w:rsidP="00A71735">
      <w:pPr>
        <w:pStyle w:val="NICCYBodyText"/>
        <w:rPr>
          <w:rFonts w:ascii="ITCFranklinGothicDemi" w:hAnsi="ITCFranklinGothicDemi" w:cs="ITCFranklinGothicDemi"/>
          <w:lang w:val="en-US"/>
        </w:rPr>
      </w:pPr>
    </w:p>
    <w:p w:rsidR="00736612" w:rsidRDefault="00736612" w:rsidP="00A71735">
      <w:pPr>
        <w:pStyle w:val="NICCYBodyText"/>
        <w:rPr>
          <w:lang w:val="en-US"/>
        </w:rPr>
      </w:pPr>
      <w:r w:rsidRPr="00A71735">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Since the publication of the Executive’s Disability Strategy</w:t>
      </w:r>
      <w:r w:rsidR="00A71735">
        <w:rPr>
          <w:lang w:val="en-US"/>
        </w:rPr>
        <w:t xml:space="preserve"> </w:t>
      </w:r>
      <w:r>
        <w:rPr>
          <w:lang w:val="en-US"/>
        </w:rPr>
        <w:t>in February 2013, we have taken forward a number of actions that impact positively on the lives of</w:t>
      </w:r>
      <w:r w:rsidR="00A71735">
        <w:rPr>
          <w:lang w:val="en-US"/>
        </w:rPr>
        <w:t xml:space="preserve"> </w:t>
      </w:r>
      <w:r>
        <w:rPr>
          <w:lang w:val="en-US"/>
        </w:rPr>
        <w:t>children and young people with disabilities and their families.</w:t>
      </w:r>
    </w:p>
    <w:p w:rsidR="00A71735" w:rsidRDefault="00A71735" w:rsidP="00A71735">
      <w:pPr>
        <w:pStyle w:val="NICCYBodyText"/>
        <w:rPr>
          <w:lang w:val="en-US"/>
        </w:rPr>
      </w:pPr>
    </w:p>
    <w:p w:rsidR="00736612" w:rsidRDefault="00736612" w:rsidP="00A71735">
      <w:pPr>
        <w:pStyle w:val="NICCYBodyText"/>
        <w:rPr>
          <w:lang w:val="en-US"/>
        </w:rPr>
      </w:pPr>
      <w:r>
        <w:rPr>
          <w:lang w:val="en-US"/>
        </w:rPr>
        <w:t>On 2 May 2013, OFMDFM hosted a major, inclusive disability awareness conference with</w:t>
      </w:r>
    </w:p>
    <w:p w:rsidR="00736612" w:rsidRDefault="00736612" w:rsidP="00A71735">
      <w:pPr>
        <w:pStyle w:val="NICCYBodyText"/>
        <w:rPr>
          <w:lang w:val="en-US"/>
        </w:rPr>
      </w:pPr>
      <w:r>
        <w:rPr>
          <w:lang w:val="en-US"/>
        </w:rPr>
        <w:t>representatives from across government and the disability sector to consider how current arrangements</w:t>
      </w:r>
      <w:r w:rsidR="00A71735">
        <w:rPr>
          <w:lang w:val="en-US"/>
        </w:rPr>
        <w:t xml:space="preserve"> </w:t>
      </w:r>
      <w:r>
        <w:rPr>
          <w:lang w:val="en-US"/>
        </w:rPr>
        <w:t>met the needs of all people with disabilities on the basis of equality.</w:t>
      </w:r>
      <w:r w:rsidR="00A71735">
        <w:rPr>
          <w:lang w:val="en-US"/>
        </w:rPr>
        <w:t xml:space="preserve">  </w:t>
      </w:r>
      <w:r>
        <w:rPr>
          <w:lang w:val="en-US"/>
        </w:rPr>
        <w:t>Our officials have worked in partnership with Disability Action to develop a resource pack for teachers</w:t>
      </w:r>
      <w:r w:rsidR="00A71735">
        <w:rPr>
          <w:lang w:val="en-US"/>
        </w:rPr>
        <w:t xml:space="preserve"> </w:t>
      </w:r>
      <w:r>
        <w:rPr>
          <w:lang w:val="en-US"/>
        </w:rPr>
        <w:t>and youth workers to assist in teaching pupils and young people about the rights of people with</w:t>
      </w:r>
      <w:r w:rsidR="00A71735">
        <w:rPr>
          <w:lang w:val="en-US"/>
        </w:rPr>
        <w:t xml:space="preserve"> disabilities.  </w:t>
      </w:r>
      <w:r>
        <w:rPr>
          <w:lang w:val="en-US"/>
        </w:rPr>
        <w:t>The Resource Pack was issued to 341 schools and youth clubs in December 2013.</w:t>
      </w:r>
      <w:r w:rsidR="00A71735">
        <w:rPr>
          <w:lang w:val="en-US"/>
        </w:rPr>
        <w:t xml:space="preserve">  </w:t>
      </w:r>
      <w:r>
        <w:rPr>
          <w:lang w:val="en-US"/>
        </w:rPr>
        <w:t>Feedback has been very positive.</w:t>
      </w:r>
    </w:p>
    <w:p w:rsidR="00A71735" w:rsidRDefault="00A71735" w:rsidP="00A71735">
      <w:pPr>
        <w:pStyle w:val="NICCYBodyText"/>
        <w:rPr>
          <w:lang w:val="en-US"/>
        </w:rPr>
      </w:pPr>
    </w:p>
    <w:p w:rsidR="00736612" w:rsidRDefault="00736612" w:rsidP="00A71735">
      <w:pPr>
        <w:pStyle w:val="NICCYBodyText"/>
        <w:rPr>
          <w:lang w:val="en-US"/>
        </w:rPr>
      </w:pPr>
      <w:r>
        <w:rPr>
          <w:lang w:val="en-US"/>
        </w:rPr>
        <w:t>We have also provided funding to Special Olympics Ulster to give young people with learning disabilities</w:t>
      </w:r>
      <w:r w:rsidR="00A71735">
        <w:rPr>
          <w:lang w:val="en-US"/>
        </w:rPr>
        <w:t xml:space="preserve"> </w:t>
      </w:r>
      <w:r>
        <w:rPr>
          <w:lang w:val="en-US"/>
        </w:rPr>
        <w:t>with an opportunity to activ</w:t>
      </w:r>
      <w:r w:rsidR="00A71735">
        <w:rPr>
          <w:lang w:val="en-US"/>
        </w:rPr>
        <w:t xml:space="preserve">ely participate in public life.  </w:t>
      </w:r>
      <w:r>
        <w:rPr>
          <w:lang w:val="en-US"/>
        </w:rPr>
        <w:t>Participation in this programme has helped</w:t>
      </w:r>
      <w:r w:rsidR="00A71735">
        <w:rPr>
          <w:lang w:val="en-US"/>
        </w:rPr>
        <w:t xml:space="preserve"> </w:t>
      </w:r>
      <w:r>
        <w:rPr>
          <w:lang w:val="en-US"/>
        </w:rPr>
        <w:t>these young people to thrive and grow in confidence, improving their quality of life.</w:t>
      </w:r>
    </w:p>
    <w:p w:rsidR="00A71735" w:rsidRDefault="00A71735" w:rsidP="00A71735">
      <w:pPr>
        <w:pStyle w:val="NICCYBodyText"/>
        <w:rPr>
          <w:lang w:val="en-US"/>
        </w:rPr>
      </w:pPr>
    </w:p>
    <w:p w:rsidR="00736612" w:rsidRDefault="00736612" w:rsidP="00A71735">
      <w:pPr>
        <w:pStyle w:val="NICCYBodyText"/>
        <w:rPr>
          <w:lang w:val="en-US"/>
        </w:rPr>
      </w:pPr>
      <w:r>
        <w:rPr>
          <w:lang w:val="en-US"/>
        </w:rPr>
        <w:t>An annual report on the delivery of the Disability Strategy for 2013/2014 will be published setting out</w:t>
      </w:r>
      <w:r w:rsidR="00A71735">
        <w:rPr>
          <w:lang w:val="en-US"/>
        </w:rPr>
        <w:t xml:space="preserve"> </w:t>
      </w:r>
      <w:r>
        <w:rPr>
          <w:lang w:val="en-US"/>
        </w:rPr>
        <w:t>these and other actions that all departments have undertaken under the Strategy in its first year.</w:t>
      </w:r>
      <w:r w:rsidR="00A71735">
        <w:rPr>
          <w:lang w:val="en-US"/>
        </w:rPr>
        <w:t xml:space="preserve">  </w:t>
      </w:r>
      <w:r>
        <w:rPr>
          <w:lang w:val="en-US"/>
        </w:rPr>
        <w:t>We are currently considering a number of further projects submitted by departments to deliver</w:t>
      </w:r>
      <w:r w:rsidR="00A71735">
        <w:rPr>
          <w:lang w:val="en-US"/>
        </w:rPr>
        <w:t xml:space="preserve"> </w:t>
      </w:r>
      <w:r>
        <w:rPr>
          <w:lang w:val="en-US"/>
        </w:rPr>
        <w:t>outcomes under the Disability Strategy, to be taken forward within the Delivering Social Change</w:t>
      </w:r>
      <w:r w:rsidR="00A71735">
        <w:rPr>
          <w:lang w:val="en-US"/>
        </w:rPr>
        <w:t xml:space="preserve"> </w:t>
      </w:r>
      <w:r>
        <w:rPr>
          <w:lang w:val="en-US"/>
        </w:rPr>
        <w:t>Framework.</w:t>
      </w:r>
    </w:p>
    <w:p w:rsidR="00736612" w:rsidRDefault="00736612" w:rsidP="00736612">
      <w:pPr>
        <w:pStyle w:val="NICCYBodyText"/>
        <w:rPr>
          <w:rFonts w:ascii="ITCFranklinGothicBook" w:hAnsi="ITCFranklinGothicBook" w:cs="ITCFranklinGothicBook"/>
          <w:lang w:val="en-US"/>
        </w:rPr>
      </w:pPr>
    </w:p>
    <w:p w:rsidR="00A71735" w:rsidRDefault="00A71735" w:rsidP="00A71735">
      <w:pPr>
        <w:pStyle w:val="NICCYBodyText"/>
      </w:pPr>
      <w:hyperlink w:anchor="_top" w:history="1">
        <w:r w:rsidRPr="007715F2">
          <w:rPr>
            <w:rStyle w:val="Hyperlink"/>
          </w:rPr>
          <w:t>Back to Top</w:t>
        </w:r>
      </w:hyperlink>
    </w:p>
    <w:p w:rsidR="00A71735" w:rsidRDefault="00A71735" w:rsidP="00736612">
      <w:pPr>
        <w:pStyle w:val="NICCYBodyText"/>
        <w:rPr>
          <w:rFonts w:ascii="ITCFranklinGothicBook" w:hAnsi="ITCFranklinGothicBook" w:cs="ITCFranklinGothicBook"/>
          <w:lang w:val="en-US"/>
        </w:rPr>
      </w:pPr>
    </w:p>
    <w:p w:rsidR="00736612" w:rsidRDefault="00736612" w:rsidP="00736612">
      <w:pPr>
        <w:pStyle w:val="NICCYBodyText"/>
        <w:rPr>
          <w:b/>
          <w:sz w:val="32"/>
          <w:szCs w:val="32"/>
        </w:rPr>
      </w:pPr>
    </w:p>
    <w:p w:rsidR="00A71735" w:rsidRDefault="00A71735" w:rsidP="00736612">
      <w:pPr>
        <w:pStyle w:val="NICCYBodyText"/>
        <w:rPr>
          <w:b/>
          <w:sz w:val="32"/>
          <w:szCs w:val="32"/>
        </w:rPr>
      </w:pPr>
    </w:p>
    <w:p w:rsidR="00144156" w:rsidRDefault="00144156" w:rsidP="00736612">
      <w:pPr>
        <w:pStyle w:val="NICCYBodyText"/>
        <w:rPr>
          <w:b/>
          <w:sz w:val="32"/>
          <w:szCs w:val="32"/>
        </w:rPr>
      </w:pPr>
    </w:p>
    <w:p w:rsidR="00736612" w:rsidRDefault="00736612" w:rsidP="00736612">
      <w:pPr>
        <w:pStyle w:val="NICCYBodyText"/>
        <w:rPr>
          <w:b/>
          <w:sz w:val="32"/>
          <w:szCs w:val="32"/>
        </w:rPr>
      </w:pPr>
    </w:p>
    <w:p w:rsidR="00736612" w:rsidRPr="0031506E" w:rsidRDefault="00736612" w:rsidP="0031506E">
      <w:pPr>
        <w:pStyle w:val="NICCYHeading"/>
      </w:pPr>
      <w:r w:rsidRPr="0031506E">
        <w:lastRenderedPageBreak/>
        <w:t>Department of Education</w:t>
      </w:r>
    </w:p>
    <w:p w:rsidR="00736612" w:rsidRPr="0031506E" w:rsidRDefault="00736612" w:rsidP="0031506E">
      <w:pPr>
        <w:pStyle w:val="Heading2"/>
        <w:rPr>
          <w:rFonts w:eastAsiaTheme="minorEastAsia"/>
          <w:color w:val="23A4DE"/>
          <w:lang w:val="en-US"/>
        </w:rPr>
      </w:pPr>
      <w:bookmarkStart w:id="7" w:name="_Language_Classes_Replacing"/>
      <w:bookmarkEnd w:id="7"/>
      <w:r w:rsidRPr="0031506E">
        <w:rPr>
          <w:rFonts w:eastAsiaTheme="minorEastAsia"/>
          <w:color w:val="23A4DE"/>
          <w:lang w:val="en-US"/>
        </w:rPr>
        <w:t>Language Classes Replacing the Woodlands Speech and Language Unit</w:t>
      </w:r>
    </w:p>
    <w:p w:rsidR="0031506E" w:rsidRDefault="00736612" w:rsidP="0031506E">
      <w:pPr>
        <w:pStyle w:val="NICCYBodyText"/>
        <w:rPr>
          <w:lang w:val="en-US"/>
        </w:rPr>
      </w:pPr>
      <w:r w:rsidRPr="0031506E">
        <w:rPr>
          <w:rFonts w:ascii="ITCFranklinGothicDemi" w:hAnsi="ITCFranklinGothicDemi" w:cs="ITCFranklinGothicDemi"/>
          <w:b/>
          <w:lang w:val="en-US"/>
        </w:rPr>
        <w:t>Mr P Ramsey</w:t>
      </w:r>
      <w:r>
        <w:rPr>
          <w:rFonts w:ascii="ITCFranklinGothicDemi" w:hAnsi="ITCFranklinGothicDemi" w:cs="ITCFranklinGothicDemi"/>
          <w:lang w:val="en-US"/>
        </w:rPr>
        <w:t xml:space="preserve"> </w:t>
      </w:r>
      <w:r>
        <w:rPr>
          <w:lang w:val="en-US"/>
        </w:rPr>
        <w:t>asked the Minister of Education, in relation to the language classes replacing the</w:t>
      </w:r>
      <w:r w:rsidR="0031506E">
        <w:rPr>
          <w:lang w:val="en-US"/>
        </w:rPr>
        <w:t xml:space="preserve"> </w:t>
      </w:r>
      <w:r>
        <w:rPr>
          <w:lang w:val="en-US"/>
        </w:rPr>
        <w:t xml:space="preserve">Woodlands Speech and Language unit, </w:t>
      </w:r>
    </w:p>
    <w:p w:rsidR="0031506E" w:rsidRDefault="00736612" w:rsidP="0031506E">
      <w:pPr>
        <w:pStyle w:val="NICCYBodyText"/>
        <w:rPr>
          <w:lang w:val="en-US"/>
        </w:rPr>
      </w:pPr>
      <w:r>
        <w:rPr>
          <w:lang w:val="en-US"/>
        </w:rPr>
        <w:t>(</w:t>
      </w:r>
      <w:proofErr w:type="spellStart"/>
      <w:r>
        <w:rPr>
          <w:lang w:val="en-US"/>
        </w:rPr>
        <w:t>i</w:t>
      </w:r>
      <w:proofErr w:type="spellEnd"/>
      <w:r>
        <w:rPr>
          <w:lang w:val="en-US"/>
        </w:rPr>
        <w:t>) how many children require Speech and Language Therapy</w:t>
      </w:r>
      <w:r w:rsidR="0031506E">
        <w:rPr>
          <w:lang w:val="en-US"/>
        </w:rPr>
        <w:t xml:space="preserve"> </w:t>
      </w:r>
      <w:r>
        <w:rPr>
          <w:lang w:val="en-US"/>
        </w:rPr>
        <w:t xml:space="preserve">provision in the new proposed </w:t>
      </w:r>
      <w:proofErr w:type="gramStart"/>
      <w:r>
        <w:rPr>
          <w:lang w:val="en-US"/>
        </w:rPr>
        <w:t>units;</w:t>
      </w:r>
      <w:proofErr w:type="gramEnd"/>
      <w:r>
        <w:rPr>
          <w:lang w:val="en-US"/>
        </w:rPr>
        <w:t xml:space="preserve"> </w:t>
      </w:r>
    </w:p>
    <w:p w:rsidR="0031506E" w:rsidRDefault="00736612" w:rsidP="0031506E">
      <w:pPr>
        <w:pStyle w:val="NICCYBodyText"/>
        <w:rPr>
          <w:lang w:val="en-US"/>
        </w:rPr>
      </w:pPr>
      <w:r>
        <w:rPr>
          <w:lang w:val="en-US"/>
        </w:rPr>
        <w:t>(ii) how many children will require ongoing provision in the</w:t>
      </w:r>
      <w:r w:rsidR="0031506E">
        <w:rPr>
          <w:lang w:val="en-US"/>
        </w:rPr>
        <w:t xml:space="preserve"> </w:t>
      </w:r>
      <w:r>
        <w:rPr>
          <w:lang w:val="en-US"/>
        </w:rPr>
        <w:t xml:space="preserve">Woodlands Language </w:t>
      </w:r>
      <w:proofErr w:type="gramStart"/>
      <w:r>
        <w:rPr>
          <w:lang w:val="en-US"/>
        </w:rPr>
        <w:t>Unit;</w:t>
      </w:r>
      <w:proofErr w:type="gramEnd"/>
      <w:r>
        <w:rPr>
          <w:lang w:val="en-US"/>
        </w:rPr>
        <w:t xml:space="preserve"> </w:t>
      </w:r>
    </w:p>
    <w:p w:rsidR="0031506E" w:rsidRDefault="00736612" w:rsidP="0031506E">
      <w:pPr>
        <w:pStyle w:val="NICCYBodyText"/>
        <w:rPr>
          <w:lang w:val="en-US"/>
        </w:rPr>
      </w:pPr>
      <w:r>
        <w:rPr>
          <w:lang w:val="en-US"/>
        </w:rPr>
        <w:t>(iii) what speech and language therapy assistant provisions will be in place;</w:t>
      </w:r>
      <w:r w:rsidR="0031506E">
        <w:rPr>
          <w:lang w:val="en-US"/>
        </w:rPr>
        <w:t xml:space="preserve"> </w:t>
      </w:r>
      <w:r>
        <w:rPr>
          <w:lang w:val="en-US"/>
        </w:rPr>
        <w:t xml:space="preserve">and </w:t>
      </w:r>
    </w:p>
    <w:p w:rsidR="00736612" w:rsidRDefault="00736612" w:rsidP="0031506E">
      <w:pPr>
        <w:pStyle w:val="NICCYBodyText"/>
        <w:rPr>
          <w:lang w:val="en-US"/>
        </w:rPr>
      </w:pPr>
      <w:proofErr w:type="gramStart"/>
      <w:r>
        <w:rPr>
          <w:lang w:val="en-US"/>
        </w:rPr>
        <w:t>(iv) what</w:t>
      </w:r>
      <w:proofErr w:type="gramEnd"/>
      <w:r>
        <w:rPr>
          <w:lang w:val="en-US"/>
        </w:rPr>
        <w:t xml:space="preserve"> therapy resources and budget have been set aside for the new units to meet the needs of</w:t>
      </w:r>
      <w:r w:rsidR="0031506E">
        <w:rPr>
          <w:lang w:val="en-US"/>
        </w:rPr>
        <w:t xml:space="preserve"> </w:t>
      </w:r>
      <w:r>
        <w:rPr>
          <w:lang w:val="en-US"/>
        </w:rPr>
        <w:t>the children.</w:t>
      </w:r>
    </w:p>
    <w:p w:rsidR="00736612" w:rsidRDefault="00736612" w:rsidP="0031506E">
      <w:pPr>
        <w:pStyle w:val="NICCYBodyText"/>
        <w:rPr>
          <w:rFonts w:ascii="ITCFranklinGothicDemi" w:hAnsi="ITCFranklinGothicDemi" w:cs="ITCFranklinGothicDemi"/>
          <w:lang w:val="en-US"/>
        </w:rPr>
      </w:pPr>
      <w:r>
        <w:rPr>
          <w:rFonts w:ascii="ITCFranklinGothicDemi" w:hAnsi="ITCFranklinGothicDemi" w:cs="ITCFranklinGothicDemi"/>
          <w:lang w:val="en-US"/>
        </w:rPr>
        <w:t>(AQW 35131/11-15)</w:t>
      </w:r>
    </w:p>
    <w:p w:rsidR="0031506E" w:rsidRDefault="0031506E" w:rsidP="0031506E">
      <w:pPr>
        <w:pStyle w:val="NICCYBodyText"/>
        <w:rPr>
          <w:rFonts w:ascii="ITCFranklinGothicDemi" w:hAnsi="ITCFranklinGothicDemi" w:cs="ITCFranklinGothicDemi"/>
          <w:lang w:val="en-US"/>
        </w:rPr>
      </w:pPr>
    </w:p>
    <w:p w:rsidR="00736612" w:rsidRDefault="00736612" w:rsidP="0031506E">
      <w:pPr>
        <w:pStyle w:val="NICCYBodyText"/>
        <w:rPr>
          <w:lang w:val="en-US"/>
        </w:rPr>
      </w:pPr>
      <w:r w:rsidRPr="0031506E">
        <w:rPr>
          <w:rFonts w:ascii="ITCFranklinGothicDemi" w:hAnsi="ITCFranklinGothicDemi" w:cs="ITCFranklinGothicDemi"/>
          <w:b/>
          <w:lang w:val="en-US"/>
        </w:rPr>
        <w:t>Mr O’Dowd (The Minister of Education):</w:t>
      </w:r>
      <w:r>
        <w:rPr>
          <w:rFonts w:ascii="ITCFranklinGothicDemi" w:hAnsi="ITCFranklinGothicDemi" w:cs="ITCFranklinGothicDemi"/>
          <w:lang w:val="en-US"/>
        </w:rPr>
        <w:t xml:space="preserve"> </w:t>
      </w:r>
      <w:r>
        <w:rPr>
          <w:lang w:val="en-US"/>
        </w:rPr>
        <w:t>The Western Education and Library Board (WELB) has advised</w:t>
      </w:r>
      <w:r w:rsidR="0031506E">
        <w:rPr>
          <w:lang w:val="en-US"/>
        </w:rPr>
        <w:t xml:space="preserve"> </w:t>
      </w:r>
      <w:r>
        <w:rPr>
          <w:lang w:val="en-US"/>
        </w:rPr>
        <w:t>as follows:</w:t>
      </w:r>
    </w:p>
    <w:p w:rsidR="00736612" w:rsidRDefault="00736612" w:rsidP="0031506E">
      <w:pPr>
        <w:pStyle w:val="NICCYBodyText"/>
        <w:rPr>
          <w:lang w:val="en-US"/>
        </w:rPr>
      </w:pPr>
      <w:r>
        <w:rPr>
          <w:lang w:val="en-US"/>
        </w:rPr>
        <w:t>(</w:t>
      </w:r>
      <w:proofErr w:type="spellStart"/>
      <w:r>
        <w:rPr>
          <w:lang w:val="en-US"/>
        </w:rPr>
        <w:t>i</w:t>
      </w:r>
      <w:proofErr w:type="spellEnd"/>
      <w:r>
        <w:rPr>
          <w:lang w:val="en-US"/>
        </w:rPr>
        <w:t>) 18 children will require speech and language therapy provision in the proposed new classes;</w:t>
      </w:r>
    </w:p>
    <w:p w:rsidR="00736612" w:rsidRDefault="00736612" w:rsidP="0031506E">
      <w:pPr>
        <w:pStyle w:val="NICCYBodyText"/>
        <w:rPr>
          <w:lang w:val="en-US"/>
        </w:rPr>
      </w:pPr>
      <w:r>
        <w:rPr>
          <w:lang w:val="en-US"/>
        </w:rPr>
        <w:t>(ii) 20 children currently require ongoing provision at the Woodlands speech and language classes;</w:t>
      </w:r>
    </w:p>
    <w:p w:rsidR="00736612" w:rsidRDefault="00736612" w:rsidP="0031506E">
      <w:pPr>
        <w:pStyle w:val="NICCYBodyText"/>
        <w:rPr>
          <w:lang w:val="en-US"/>
        </w:rPr>
      </w:pPr>
      <w:r>
        <w:rPr>
          <w:lang w:val="en-US"/>
        </w:rPr>
        <w:t>(iii) the provision of speech and language therapy will be determined by the Western Health and Social</w:t>
      </w:r>
      <w:r w:rsidR="0031506E">
        <w:rPr>
          <w:lang w:val="en-US"/>
        </w:rPr>
        <w:t xml:space="preserve"> </w:t>
      </w:r>
      <w:r>
        <w:rPr>
          <w:lang w:val="en-US"/>
        </w:rPr>
        <w:t>Care Trust (WHSCT) Speech and Language Therapy Department;</w:t>
      </w:r>
    </w:p>
    <w:p w:rsidR="00736612" w:rsidRDefault="00736612" w:rsidP="0031506E">
      <w:pPr>
        <w:pStyle w:val="NICCYBodyText"/>
        <w:rPr>
          <w:lang w:val="en-US"/>
        </w:rPr>
      </w:pPr>
      <w:r>
        <w:rPr>
          <w:lang w:val="en-US"/>
        </w:rPr>
        <w:t>(iv) an allocation of £10k has been made to each of the three schools concerned from the WELB to</w:t>
      </w:r>
      <w:r w:rsidR="0031506E">
        <w:rPr>
          <w:lang w:val="en-US"/>
        </w:rPr>
        <w:t xml:space="preserve"> </w:t>
      </w:r>
      <w:r>
        <w:rPr>
          <w:lang w:val="en-US"/>
        </w:rPr>
        <w:t>facilitate the purchase of resources for the new speech and language classes. This will include</w:t>
      </w:r>
      <w:r w:rsidR="0031506E">
        <w:rPr>
          <w:lang w:val="en-US"/>
        </w:rPr>
        <w:t xml:space="preserve"> </w:t>
      </w:r>
      <w:r>
        <w:rPr>
          <w:lang w:val="en-US"/>
        </w:rPr>
        <w:t>the purchase of specific resources which have been recommended by the WHSCT Speech and</w:t>
      </w:r>
      <w:r w:rsidR="0031506E">
        <w:rPr>
          <w:lang w:val="en-US"/>
        </w:rPr>
        <w:t xml:space="preserve"> </w:t>
      </w:r>
      <w:r>
        <w:rPr>
          <w:lang w:val="en-US"/>
        </w:rPr>
        <w:t>Language Therapy Department.</w:t>
      </w:r>
    </w:p>
    <w:p w:rsidR="00736612" w:rsidRDefault="00736612" w:rsidP="0031506E">
      <w:pPr>
        <w:pStyle w:val="NICCYBodyText"/>
        <w:rPr>
          <w:lang w:val="en-US"/>
        </w:rPr>
      </w:pPr>
    </w:p>
    <w:p w:rsidR="0031506E" w:rsidRDefault="0031506E" w:rsidP="0031506E">
      <w:pPr>
        <w:pStyle w:val="NICCYBodyText"/>
      </w:pPr>
      <w:hyperlink w:anchor="_top" w:history="1">
        <w:r w:rsidRPr="007715F2">
          <w:rPr>
            <w:rStyle w:val="Hyperlink"/>
          </w:rPr>
          <w:t xml:space="preserve">Back to </w:t>
        </w:r>
        <w:r w:rsidRPr="007715F2">
          <w:rPr>
            <w:rStyle w:val="Hyperlink"/>
          </w:rPr>
          <w:t>T</w:t>
        </w:r>
        <w:r w:rsidRPr="007715F2">
          <w:rPr>
            <w:rStyle w:val="Hyperlink"/>
          </w:rPr>
          <w:t>o</w:t>
        </w:r>
        <w:r w:rsidRPr="007715F2">
          <w:rPr>
            <w:rStyle w:val="Hyperlink"/>
          </w:rPr>
          <w:t>p</w:t>
        </w:r>
      </w:hyperlink>
    </w:p>
    <w:p w:rsidR="0031506E" w:rsidRDefault="0031506E" w:rsidP="0031506E">
      <w:pPr>
        <w:pStyle w:val="NICCYBodyText"/>
        <w:rPr>
          <w:lang w:val="en-US"/>
        </w:rPr>
      </w:pPr>
    </w:p>
    <w:p w:rsidR="0031506E" w:rsidRDefault="0031506E" w:rsidP="0031506E">
      <w:pPr>
        <w:pStyle w:val="NICCYBodyText"/>
        <w:rPr>
          <w:lang w:val="en-US"/>
        </w:rPr>
      </w:pPr>
    </w:p>
    <w:p w:rsidR="0031506E" w:rsidRDefault="0031506E" w:rsidP="0031506E">
      <w:pPr>
        <w:pStyle w:val="NICCYBodyText"/>
        <w:rPr>
          <w:lang w:val="en-US"/>
        </w:rPr>
      </w:pPr>
    </w:p>
    <w:p w:rsidR="0031506E" w:rsidRDefault="0031506E" w:rsidP="0031506E">
      <w:pPr>
        <w:pStyle w:val="NICCYBodyText"/>
        <w:rPr>
          <w:lang w:val="en-US"/>
        </w:rPr>
      </w:pPr>
    </w:p>
    <w:p w:rsidR="0031506E" w:rsidRDefault="0031506E" w:rsidP="0031506E">
      <w:pPr>
        <w:pStyle w:val="NICCYBodyText"/>
        <w:rPr>
          <w:lang w:val="en-US"/>
        </w:rPr>
      </w:pPr>
    </w:p>
    <w:p w:rsidR="0031506E" w:rsidRDefault="0031506E" w:rsidP="0031506E">
      <w:pPr>
        <w:pStyle w:val="NICCYBodyText"/>
        <w:rPr>
          <w:lang w:val="en-US"/>
        </w:rPr>
      </w:pPr>
    </w:p>
    <w:p w:rsidR="0031506E" w:rsidRDefault="0031506E" w:rsidP="0031506E">
      <w:pPr>
        <w:pStyle w:val="NICCYBodyText"/>
        <w:rPr>
          <w:lang w:val="en-US"/>
        </w:rPr>
      </w:pPr>
    </w:p>
    <w:p w:rsidR="0031506E" w:rsidRDefault="0031506E" w:rsidP="0031506E">
      <w:pPr>
        <w:pStyle w:val="NICCYBodyText"/>
        <w:rPr>
          <w:lang w:val="en-US"/>
        </w:rPr>
      </w:pPr>
    </w:p>
    <w:p w:rsidR="0031506E" w:rsidRDefault="0031506E" w:rsidP="0031506E">
      <w:pPr>
        <w:pStyle w:val="NICCYBodyText"/>
        <w:rPr>
          <w:lang w:val="en-US"/>
        </w:rPr>
      </w:pPr>
    </w:p>
    <w:p w:rsidR="00144156" w:rsidRDefault="00144156" w:rsidP="0031506E">
      <w:pPr>
        <w:pStyle w:val="NICCYBodyText"/>
        <w:rPr>
          <w:lang w:val="en-US"/>
        </w:rPr>
      </w:pPr>
    </w:p>
    <w:p w:rsidR="00736612" w:rsidRPr="0031506E" w:rsidRDefault="00736612" w:rsidP="0031506E">
      <w:pPr>
        <w:pStyle w:val="Heading2"/>
        <w:rPr>
          <w:rFonts w:eastAsiaTheme="minorEastAsia"/>
          <w:color w:val="23A4DE"/>
          <w:lang w:val="en-US"/>
        </w:rPr>
      </w:pPr>
      <w:bookmarkStart w:id="8" w:name="_Average_Cost_of"/>
      <w:bookmarkEnd w:id="8"/>
      <w:r w:rsidRPr="0031506E">
        <w:rPr>
          <w:rFonts w:eastAsiaTheme="minorEastAsia"/>
          <w:color w:val="23A4DE"/>
          <w:lang w:val="en-US"/>
        </w:rPr>
        <w:lastRenderedPageBreak/>
        <w:t>Average Cost of Educating a Child</w:t>
      </w:r>
    </w:p>
    <w:p w:rsidR="0031506E" w:rsidRDefault="00736612" w:rsidP="0031506E">
      <w:pPr>
        <w:pStyle w:val="NICCYBodyText"/>
        <w:rPr>
          <w:lang w:val="en-US"/>
        </w:rPr>
      </w:pPr>
      <w:r w:rsidRPr="0031506E">
        <w:rPr>
          <w:rFonts w:ascii="ITCFranklinGothicDemi" w:hAnsi="ITCFranklinGothicDemi" w:cs="ITCFranklinGothicDemi"/>
          <w:b/>
          <w:lang w:val="en-US"/>
        </w:rPr>
        <w:t>Mr Elliott</w:t>
      </w:r>
      <w:r>
        <w:rPr>
          <w:rFonts w:ascii="ITCFranklinGothicDemi" w:hAnsi="ITCFranklinGothicDemi" w:cs="ITCFranklinGothicDemi"/>
          <w:lang w:val="en-US"/>
        </w:rPr>
        <w:t xml:space="preserve"> </w:t>
      </w:r>
      <w:r>
        <w:rPr>
          <w:lang w:val="en-US"/>
        </w:rPr>
        <w:t xml:space="preserve">asked the Minister of Education to detail the annual average cost of educating a child in </w:t>
      </w:r>
    </w:p>
    <w:p w:rsidR="0031506E" w:rsidRDefault="00736612" w:rsidP="0031506E">
      <w:pPr>
        <w:pStyle w:val="NICCYBodyText"/>
        <w:rPr>
          <w:lang w:val="en-US"/>
        </w:rPr>
      </w:pPr>
      <w:r>
        <w:rPr>
          <w:lang w:val="en-US"/>
        </w:rPr>
        <w:t>(</w:t>
      </w:r>
      <w:proofErr w:type="spellStart"/>
      <w:r>
        <w:rPr>
          <w:lang w:val="en-US"/>
        </w:rPr>
        <w:t>i</w:t>
      </w:r>
      <w:proofErr w:type="spellEnd"/>
      <w:r>
        <w:rPr>
          <w:lang w:val="en-US"/>
        </w:rPr>
        <w:t>)</w:t>
      </w:r>
      <w:r w:rsidR="0031506E">
        <w:rPr>
          <w:lang w:val="en-US"/>
        </w:rPr>
        <w:t xml:space="preserve"> </w:t>
      </w:r>
      <w:r>
        <w:rPr>
          <w:lang w:val="en-US"/>
        </w:rPr>
        <w:t xml:space="preserve">primary; </w:t>
      </w:r>
    </w:p>
    <w:p w:rsidR="00736612" w:rsidRDefault="00736612" w:rsidP="0031506E">
      <w:pPr>
        <w:pStyle w:val="NICCYBodyText"/>
        <w:rPr>
          <w:lang w:val="en-US"/>
        </w:rPr>
      </w:pPr>
      <w:r>
        <w:rPr>
          <w:lang w:val="en-US"/>
        </w:rPr>
        <w:t>(ii) post-primary schools in County Fermanagh in each of the last ten years, broken down by</w:t>
      </w:r>
      <w:r w:rsidR="0031506E">
        <w:rPr>
          <w:lang w:val="en-US"/>
        </w:rPr>
        <w:t xml:space="preserve"> </w:t>
      </w:r>
      <w:r>
        <w:rPr>
          <w:lang w:val="en-US"/>
        </w:rPr>
        <w:t>sector.</w:t>
      </w:r>
    </w:p>
    <w:p w:rsidR="00736612" w:rsidRDefault="00736612" w:rsidP="0031506E">
      <w:pPr>
        <w:pStyle w:val="NICCYBodyText"/>
        <w:rPr>
          <w:rFonts w:ascii="ITCFranklinGothicDemi" w:hAnsi="ITCFranklinGothicDemi" w:cs="ITCFranklinGothicDemi"/>
          <w:lang w:val="en-US"/>
        </w:rPr>
      </w:pPr>
      <w:r>
        <w:rPr>
          <w:rFonts w:ascii="ITCFranklinGothicDemi" w:hAnsi="ITCFranklinGothicDemi" w:cs="ITCFranklinGothicDemi"/>
          <w:lang w:val="en-US"/>
        </w:rPr>
        <w:t>(AQW 35218/11-15)</w:t>
      </w:r>
    </w:p>
    <w:p w:rsidR="0031506E" w:rsidRDefault="0031506E" w:rsidP="0031506E">
      <w:pPr>
        <w:pStyle w:val="NICCYBodyText"/>
        <w:rPr>
          <w:rFonts w:ascii="ITCFranklinGothicDemi" w:hAnsi="ITCFranklinGothicDemi" w:cs="ITCFranklinGothicDemi"/>
          <w:lang w:val="en-US"/>
        </w:rPr>
      </w:pPr>
    </w:p>
    <w:p w:rsidR="00736612" w:rsidRDefault="00736612" w:rsidP="0031506E">
      <w:pPr>
        <w:pStyle w:val="NICCYBodyText"/>
        <w:rPr>
          <w:lang w:val="en-US"/>
        </w:rPr>
      </w:pPr>
      <w:r w:rsidRPr="0031506E">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Department does not hold information on annual average costs at phase, region or</w:t>
      </w:r>
      <w:r w:rsidR="0031506E">
        <w:rPr>
          <w:lang w:val="en-US"/>
        </w:rPr>
        <w:t xml:space="preserve"> </w:t>
      </w:r>
      <w:r>
        <w:rPr>
          <w:lang w:val="en-US"/>
        </w:rPr>
        <w:t>sector level, as particular costs, including central costs, are not</w:t>
      </w:r>
      <w:r w:rsidR="0031506E">
        <w:rPr>
          <w:lang w:val="en-US"/>
        </w:rPr>
        <w:t xml:space="preserve"> disaggregated to these levels.  </w:t>
      </w:r>
      <w:r>
        <w:rPr>
          <w:lang w:val="en-US"/>
        </w:rPr>
        <w:t>However,</w:t>
      </w:r>
      <w:r w:rsidR="0031506E">
        <w:rPr>
          <w:lang w:val="en-US"/>
        </w:rPr>
        <w:t xml:space="preserve"> </w:t>
      </w:r>
      <w:r>
        <w:rPr>
          <w:lang w:val="en-US"/>
        </w:rPr>
        <w:t>the specific costs of the schools are held and the tables below show average expenditure per pupil</w:t>
      </w:r>
      <w:r w:rsidR="0031506E">
        <w:rPr>
          <w:lang w:val="en-US"/>
        </w:rPr>
        <w:t xml:space="preserve"> </w:t>
      </w:r>
      <w:r>
        <w:rPr>
          <w:lang w:val="en-US"/>
        </w:rPr>
        <w:t>in County Fermanagh primary and post-primary schools, broken down by sector, in each of the ten</w:t>
      </w:r>
      <w:r w:rsidR="0031506E">
        <w:rPr>
          <w:lang w:val="en-US"/>
        </w:rPr>
        <w:t xml:space="preserve"> </w:t>
      </w:r>
      <w:r>
        <w:rPr>
          <w:lang w:val="en-US"/>
        </w:rPr>
        <w:t>financial years from 2004/05 to 2013/14 inclusive.</w:t>
      </w:r>
    </w:p>
    <w:p w:rsidR="00736612" w:rsidRDefault="00736612" w:rsidP="0031506E">
      <w:pPr>
        <w:pStyle w:val="NICCYBodyText"/>
        <w:rPr>
          <w:lang w:val="en-US"/>
        </w:rPr>
      </w:pPr>
    </w:p>
    <w:p w:rsidR="00736612" w:rsidRDefault="00736612" w:rsidP="00736612">
      <w:pPr>
        <w:pStyle w:val="NICCYBodyText"/>
        <w:rPr>
          <w:rFonts w:ascii="ITCFranklinGothicBook" w:hAnsi="ITCFranklinGothicBook" w:cs="ITCFranklinGothicBook"/>
          <w:lang w:val="en-US"/>
        </w:rPr>
      </w:pPr>
      <w:r>
        <w:rPr>
          <w:rFonts w:ascii="ITCFranklinGothicBook" w:hAnsi="ITCFranklinGothicBook" w:cs="ITCFranklinGothicBook"/>
          <w:noProof/>
          <w:lang w:val="en-US"/>
        </w:rPr>
        <w:drawing>
          <wp:inline distT="0" distB="0" distL="0" distR="0">
            <wp:extent cx="6116320" cy="4100137"/>
            <wp:effectExtent l="19050" t="0" r="0" b="0"/>
            <wp:docPr id="1" name="Picture 1" descr="C:\Users\andrew.mcgall\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cgall\Desktop\Capture.PNG"/>
                    <pic:cNvPicPr>
                      <a:picLocks noChangeAspect="1" noChangeArrowheads="1"/>
                    </pic:cNvPicPr>
                  </pic:nvPicPr>
                  <pic:blipFill>
                    <a:blip r:embed="rId8"/>
                    <a:srcRect/>
                    <a:stretch>
                      <a:fillRect/>
                    </a:stretch>
                  </pic:blipFill>
                  <pic:spPr bwMode="auto">
                    <a:xfrm>
                      <a:off x="0" y="0"/>
                      <a:ext cx="6116320" cy="4100137"/>
                    </a:xfrm>
                    <a:prstGeom prst="rect">
                      <a:avLst/>
                    </a:prstGeom>
                    <a:noFill/>
                    <a:ln w="9525">
                      <a:noFill/>
                      <a:miter lim="800000"/>
                      <a:headEnd/>
                      <a:tailEnd/>
                    </a:ln>
                  </pic:spPr>
                </pic:pic>
              </a:graphicData>
            </a:graphic>
          </wp:inline>
        </w:drawing>
      </w:r>
    </w:p>
    <w:p w:rsidR="00736612" w:rsidRDefault="00736612" w:rsidP="00736612">
      <w:pPr>
        <w:pStyle w:val="NICCYBodyText"/>
        <w:rPr>
          <w:rFonts w:ascii="ITCFranklinGothicBook" w:hAnsi="ITCFranklinGothicBook" w:cs="ITCFranklinGothicBook"/>
          <w:lang w:val="en-US"/>
        </w:rPr>
      </w:pPr>
    </w:p>
    <w:p w:rsidR="00736612" w:rsidRDefault="00736612" w:rsidP="00736612">
      <w:pPr>
        <w:pStyle w:val="NICCYBodyText"/>
        <w:rPr>
          <w:rFonts w:ascii="ITCFranklinGothicBook" w:hAnsi="ITCFranklinGothicBook" w:cs="ITCFranklinGothicBook"/>
          <w:lang w:val="en-US"/>
        </w:rPr>
      </w:pPr>
    </w:p>
    <w:p w:rsidR="00736612" w:rsidRDefault="00736612" w:rsidP="00736612">
      <w:pPr>
        <w:pStyle w:val="NICCYBodyText"/>
        <w:rPr>
          <w:rFonts w:ascii="ITCFranklinGothicBook" w:hAnsi="ITCFranklinGothicBook" w:cs="ITCFranklinGothicBook"/>
          <w:lang w:val="en-US"/>
        </w:rPr>
      </w:pPr>
      <w:r>
        <w:rPr>
          <w:rFonts w:ascii="ITCFranklinGothicBook" w:hAnsi="ITCFranklinGothicBook" w:cs="ITCFranklinGothicBook"/>
          <w:noProof/>
          <w:lang w:val="en-US"/>
        </w:rPr>
        <w:lastRenderedPageBreak/>
        <w:drawing>
          <wp:inline distT="0" distB="0" distL="0" distR="0">
            <wp:extent cx="6116320" cy="4055019"/>
            <wp:effectExtent l="19050" t="0" r="0" b="0"/>
            <wp:docPr id="2" name="Picture 2" descr="C:\Users\andrew.mcgall\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mcgall\Desktop\Capture.PNG"/>
                    <pic:cNvPicPr>
                      <a:picLocks noChangeAspect="1" noChangeArrowheads="1"/>
                    </pic:cNvPicPr>
                  </pic:nvPicPr>
                  <pic:blipFill>
                    <a:blip r:embed="rId9"/>
                    <a:srcRect/>
                    <a:stretch>
                      <a:fillRect/>
                    </a:stretch>
                  </pic:blipFill>
                  <pic:spPr bwMode="auto">
                    <a:xfrm>
                      <a:off x="0" y="0"/>
                      <a:ext cx="6116320" cy="4055019"/>
                    </a:xfrm>
                    <a:prstGeom prst="rect">
                      <a:avLst/>
                    </a:prstGeom>
                    <a:noFill/>
                    <a:ln w="9525">
                      <a:noFill/>
                      <a:miter lim="800000"/>
                      <a:headEnd/>
                      <a:tailEnd/>
                    </a:ln>
                  </pic:spPr>
                </pic:pic>
              </a:graphicData>
            </a:graphic>
          </wp:inline>
        </w:drawing>
      </w:r>
    </w:p>
    <w:p w:rsidR="00736612" w:rsidRPr="0031506E" w:rsidRDefault="00736612" w:rsidP="0031506E">
      <w:pPr>
        <w:pStyle w:val="NICCYBodyText"/>
        <w:rPr>
          <w:sz w:val="20"/>
          <w:szCs w:val="20"/>
          <w:lang w:val="en-US"/>
        </w:rPr>
      </w:pPr>
      <w:r w:rsidRPr="0031506E">
        <w:rPr>
          <w:sz w:val="20"/>
          <w:szCs w:val="20"/>
          <w:lang w:val="en-US"/>
        </w:rPr>
        <w:t>Notes:</w:t>
      </w:r>
    </w:p>
    <w:p w:rsidR="00736612" w:rsidRPr="0031506E" w:rsidRDefault="00736612" w:rsidP="0031506E">
      <w:pPr>
        <w:pStyle w:val="NICCYBodyText"/>
        <w:rPr>
          <w:sz w:val="20"/>
          <w:szCs w:val="20"/>
          <w:lang w:val="en-US"/>
        </w:rPr>
      </w:pPr>
      <w:r w:rsidRPr="0031506E">
        <w:rPr>
          <w:sz w:val="20"/>
          <w:szCs w:val="20"/>
          <w:lang w:val="en-US"/>
        </w:rPr>
        <w:t>(</w:t>
      </w:r>
      <w:proofErr w:type="spellStart"/>
      <w:r w:rsidRPr="0031506E">
        <w:rPr>
          <w:sz w:val="20"/>
          <w:szCs w:val="20"/>
          <w:lang w:val="en-US"/>
        </w:rPr>
        <w:t>i</w:t>
      </w:r>
      <w:proofErr w:type="spellEnd"/>
      <w:r w:rsidRPr="0031506E">
        <w:rPr>
          <w:sz w:val="20"/>
          <w:szCs w:val="20"/>
          <w:lang w:val="en-US"/>
        </w:rPr>
        <w:t xml:space="preserve">) Data for Primary Schools include Nursery </w:t>
      </w:r>
      <w:r w:rsidR="0031506E">
        <w:rPr>
          <w:sz w:val="20"/>
          <w:szCs w:val="20"/>
          <w:lang w:val="en-US"/>
        </w:rPr>
        <w:t xml:space="preserve">Classes within Primary Schools.  </w:t>
      </w:r>
      <w:r w:rsidRPr="0031506E">
        <w:rPr>
          <w:sz w:val="20"/>
          <w:szCs w:val="20"/>
          <w:lang w:val="en-US"/>
        </w:rPr>
        <w:t>It is not possible to disaggregate</w:t>
      </w:r>
      <w:r w:rsidR="0031506E">
        <w:rPr>
          <w:sz w:val="20"/>
          <w:szCs w:val="20"/>
          <w:lang w:val="en-US"/>
        </w:rPr>
        <w:t xml:space="preserve"> </w:t>
      </w:r>
      <w:r w:rsidRPr="0031506E">
        <w:rPr>
          <w:sz w:val="20"/>
          <w:szCs w:val="20"/>
          <w:lang w:val="en-US"/>
        </w:rPr>
        <w:t>the costs of Nursery Class pupils from those of primary pupils in the parent school;</w:t>
      </w:r>
    </w:p>
    <w:p w:rsidR="00736612" w:rsidRPr="0031506E" w:rsidRDefault="00736612" w:rsidP="0031506E">
      <w:pPr>
        <w:pStyle w:val="NICCYBodyText"/>
        <w:rPr>
          <w:sz w:val="20"/>
          <w:szCs w:val="20"/>
          <w:lang w:val="en-US"/>
        </w:rPr>
      </w:pPr>
      <w:r w:rsidRPr="0031506E">
        <w:rPr>
          <w:sz w:val="20"/>
          <w:szCs w:val="20"/>
          <w:lang w:val="en-US"/>
        </w:rPr>
        <w:t>(ii) Data included for 2013-14 are still provisional pending publication of audited outturn statements by</w:t>
      </w:r>
    </w:p>
    <w:p w:rsidR="00736612" w:rsidRPr="0031506E" w:rsidRDefault="00736612" w:rsidP="0031506E">
      <w:pPr>
        <w:pStyle w:val="NICCYBodyText"/>
        <w:rPr>
          <w:sz w:val="20"/>
          <w:szCs w:val="20"/>
          <w:lang w:val="en-US"/>
        </w:rPr>
      </w:pPr>
      <w:r w:rsidRPr="0031506E">
        <w:rPr>
          <w:sz w:val="20"/>
          <w:szCs w:val="20"/>
          <w:lang w:val="en-US"/>
        </w:rPr>
        <w:t>the appropriate Funding Authority – the Western Education and Library Board, in respect of Controlled</w:t>
      </w:r>
    </w:p>
    <w:p w:rsidR="00736612" w:rsidRPr="0031506E" w:rsidRDefault="00736612" w:rsidP="0031506E">
      <w:pPr>
        <w:pStyle w:val="NICCYBodyText"/>
        <w:rPr>
          <w:sz w:val="20"/>
          <w:szCs w:val="20"/>
          <w:lang w:val="en-US"/>
        </w:rPr>
      </w:pPr>
      <w:r w:rsidRPr="0031506E">
        <w:rPr>
          <w:sz w:val="20"/>
          <w:szCs w:val="20"/>
          <w:lang w:val="en-US"/>
        </w:rPr>
        <w:t>and Maintained schools; and the Department of Education, in respect of Voluntary Grammar and Grant-</w:t>
      </w:r>
    </w:p>
    <w:p w:rsidR="00736612" w:rsidRPr="0031506E" w:rsidRDefault="00736612" w:rsidP="0031506E">
      <w:pPr>
        <w:pStyle w:val="NICCYBodyText"/>
        <w:rPr>
          <w:sz w:val="20"/>
          <w:szCs w:val="20"/>
          <w:lang w:val="en-US"/>
        </w:rPr>
      </w:pPr>
      <w:r w:rsidRPr="0031506E">
        <w:rPr>
          <w:sz w:val="20"/>
          <w:szCs w:val="20"/>
          <w:lang w:val="en-US"/>
        </w:rPr>
        <w:t>Maintained Integrated Schools.</w:t>
      </w:r>
    </w:p>
    <w:p w:rsidR="00736612" w:rsidRDefault="00736612" w:rsidP="00736612">
      <w:pPr>
        <w:pStyle w:val="NICCYBodyText"/>
        <w:rPr>
          <w:rFonts w:ascii="ITCFranklinGothicBook" w:hAnsi="ITCFranklinGothicBook" w:cs="ITCFranklinGothicBook"/>
          <w:sz w:val="18"/>
          <w:szCs w:val="18"/>
          <w:lang w:val="en-US"/>
        </w:rPr>
      </w:pPr>
    </w:p>
    <w:p w:rsidR="0031506E" w:rsidRDefault="0031506E" w:rsidP="0031506E">
      <w:pPr>
        <w:pStyle w:val="NICCYBodyText"/>
      </w:pPr>
      <w:hyperlink w:anchor="_top" w:history="1">
        <w:r w:rsidRPr="007715F2">
          <w:rPr>
            <w:rStyle w:val="Hyperlink"/>
          </w:rPr>
          <w:t>Back t</w:t>
        </w:r>
        <w:r w:rsidRPr="007715F2">
          <w:rPr>
            <w:rStyle w:val="Hyperlink"/>
          </w:rPr>
          <w:t>o</w:t>
        </w:r>
        <w:r w:rsidRPr="007715F2">
          <w:rPr>
            <w:rStyle w:val="Hyperlink"/>
          </w:rPr>
          <w:t xml:space="preserve"> To</w:t>
        </w:r>
        <w:r w:rsidRPr="007715F2">
          <w:rPr>
            <w:rStyle w:val="Hyperlink"/>
          </w:rPr>
          <w:t>p</w:t>
        </w:r>
      </w:hyperlink>
    </w:p>
    <w:p w:rsidR="0031506E" w:rsidRDefault="0031506E" w:rsidP="00736612">
      <w:pPr>
        <w:pStyle w:val="NICCYBodyText"/>
        <w:rPr>
          <w:rFonts w:ascii="ITCFranklinGothicBook" w:hAnsi="ITCFranklinGothicBook" w:cs="ITCFranklinGothicBook"/>
          <w:sz w:val="18"/>
          <w:szCs w:val="18"/>
          <w:lang w:val="en-US"/>
        </w:rPr>
      </w:pPr>
    </w:p>
    <w:p w:rsidR="0031506E" w:rsidRDefault="0031506E" w:rsidP="00736612">
      <w:pPr>
        <w:pStyle w:val="NICCYBodyText"/>
        <w:rPr>
          <w:rFonts w:ascii="ITCFranklinGothicBook" w:hAnsi="ITCFranklinGothicBook" w:cs="ITCFranklinGothicBook"/>
          <w:sz w:val="18"/>
          <w:szCs w:val="18"/>
          <w:lang w:val="en-US"/>
        </w:rPr>
      </w:pPr>
    </w:p>
    <w:p w:rsidR="0031506E" w:rsidRDefault="0031506E" w:rsidP="00736612">
      <w:pPr>
        <w:pStyle w:val="NICCYBodyText"/>
        <w:rPr>
          <w:rFonts w:ascii="ITCFranklinGothicBook" w:hAnsi="ITCFranklinGothicBook" w:cs="ITCFranklinGothicBook"/>
          <w:sz w:val="18"/>
          <w:szCs w:val="18"/>
          <w:lang w:val="en-US"/>
        </w:rPr>
      </w:pPr>
    </w:p>
    <w:p w:rsidR="0031506E" w:rsidRDefault="0031506E" w:rsidP="00736612">
      <w:pPr>
        <w:pStyle w:val="NICCYBodyText"/>
        <w:rPr>
          <w:rFonts w:ascii="ITCFranklinGothicBook" w:hAnsi="ITCFranklinGothicBook" w:cs="ITCFranklinGothicBook"/>
          <w:sz w:val="18"/>
          <w:szCs w:val="18"/>
          <w:lang w:val="en-US"/>
        </w:rPr>
      </w:pPr>
    </w:p>
    <w:p w:rsidR="0031506E" w:rsidRDefault="0031506E" w:rsidP="00736612">
      <w:pPr>
        <w:pStyle w:val="NICCYBodyText"/>
        <w:rPr>
          <w:rFonts w:ascii="ITCFranklinGothicBook" w:hAnsi="ITCFranklinGothicBook" w:cs="ITCFranklinGothicBook"/>
          <w:sz w:val="18"/>
          <w:szCs w:val="18"/>
          <w:lang w:val="en-US"/>
        </w:rPr>
      </w:pPr>
    </w:p>
    <w:p w:rsidR="0031506E" w:rsidRDefault="0031506E" w:rsidP="00736612">
      <w:pPr>
        <w:pStyle w:val="NICCYBodyText"/>
        <w:rPr>
          <w:rFonts w:ascii="ITCFranklinGothicBook" w:hAnsi="ITCFranklinGothicBook" w:cs="ITCFranklinGothicBook"/>
          <w:sz w:val="18"/>
          <w:szCs w:val="18"/>
          <w:lang w:val="en-US"/>
        </w:rPr>
      </w:pPr>
    </w:p>
    <w:p w:rsidR="0031506E" w:rsidRDefault="0031506E" w:rsidP="00736612">
      <w:pPr>
        <w:pStyle w:val="NICCYBodyText"/>
        <w:rPr>
          <w:rFonts w:ascii="ITCFranklinGothicBook" w:hAnsi="ITCFranklinGothicBook" w:cs="ITCFranklinGothicBook"/>
          <w:sz w:val="18"/>
          <w:szCs w:val="18"/>
          <w:lang w:val="en-US"/>
        </w:rPr>
      </w:pPr>
    </w:p>
    <w:p w:rsidR="0031506E" w:rsidRDefault="0031506E" w:rsidP="00736612">
      <w:pPr>
        <w:pStyle w:val="NICCYBodyText"/>
        <w:rPr>
          <w:rFonts w:ascii="ITCFranklinGothicBook" w:hAnsi="ITCFranklinGothicBook" w:cs="ITCFranklinGothicBook"/>
          <w:sz w:val="18"/>
          <w:szCs w:val="18"/>
          <w:lang w:val="en-US"/>
        </w:rPr>
      </w:pPr>
    </w:p>
    <w:p w:rsidR="00144156" w:rsidRDefault="00144156" w:rsidP="00736612">
      <w:pPr>
        <w:pStyle w:val="NICCYBodyText"/>
        <w:rPr>
          <w:rFonts w:ascii="ITCFranklinGothicBook" w:hAnsi="ITCFranklinGothicBook" w:cs="ITCFranklinGothicBook"/>
          <w:sz w:val="18"/>
          <w:szCs w:val="18"/>
          <w:lang w:val="en-US"/>
        </w:rPr>
      </w:pPr>
    </w:p>
    <w:p w:rsidR="00144156" w:rsidRDefault="00144156" w:rsidP="00736612">
      <w:pPr>
        <w:pStyle w:val="NICCYBodyText"/>
        <w:rPr>
          <w:rFonts w:ascii="ITCFranklinGothicBook" w:hAnsi="ITCFranklinGothicBook" w:cs="ITCFranklinGothicBook"/>
          <w:sz w:val="18"/>
          <w:szCs w:val="18"/>
          <w:lang w:val="en-US"/>
        </w:rPr>
      </w:pPr>
    </w:p>
    <w:p w:rsidR="0031506E" w:rsidRDefault="0031506E" w:rsidP="00736612">
      <w:pPr>
        <w:pStyle w:val="NICCYBodyText"/>
        <w:rPr>
          <w:rFonts w:ascii="ITCFranklinGothicBook" w:hAnsi="ITCFranklinGothicBook" w:cs="ITCFranklinGothicBook"/>
          <w:sz w:val="18"/>
          <w:szCs w:val="18"/>
          <w:lang w:val="en-US"/>
        </w:rPr>
      </w:pPr>
    </w:p>
    <w:p w:rsidR="00736612" w:rsidRPr="007E3D0C" w:rsidRDefault="00736612" w:rsidP="0031506E">
      <w:pPr>
        <w:pStyle w:val="NICCYHeading"/>
        <w:rPr>
          <w:lang w:val="en-US"/>
        </w:rPr>
      </w:pPr>
      <w:r w:rsidRPr="007E3D0C">
        <w:rPr>
          <w:lang w:val="en-US"/>
        </w:rPr>
        <w:lastRenderedPageBreak/>
        <w:t xml:space="preserve">Department of Enterprise, Trade and Investment </w:t>
      </w:r>
    </w:p>
    <w:p w:rsidR="00736612" w:rsidRPr="0031506E" w:rsidRDefault="00736612" w:rsidP="0031506E">
      <w:pPr>
        <w:pStyle w:val="Heading2"/>
        <w:rPr>
          <w:rFonts w:eastAsiaTheme="minorEastAsia"/>
          <w:color w:val="23A4DE"/>
          <w:lang w:val="en-US"/>
        </w:rPr>
      </w:pPr>
      <w:bookmarkStart w:id="9" w:name="_Economically_Inactive"/>
      <w:bookmarkEnd w:id="9"/>
      <w:r w:rsidRPr="0031506E">
        <w:rPr>
          <w:rFonts w:eastAsiaTheme="minorEastAsia"/>
          <w:color w:val="23A4DE"/>
          <w:lang w:val="en-US"/>
        </w:rPr>
        <w:t>Economically Inactive</w:t>
      </w:r>
    </w:p>
    <w:p w:rsidR="00736612" w:rsidRDefault="00736612" w:rsidP="0031506E">
      <w:pPr>
        <w:pStyle w:val="NICCYBodyText"/>
        <w:rPr>
          <w:lang w:val="en-US"/>
        </w:rPr>
      </w:pPr>
      <w:r w:rsidRPr="0031506E">
        <w:rPr>
          <w:rFonts w:ascii="ITCFranklinGothicDemi" w:hAnsi="ITCFranklinGothicDemi" w:cs="ITCFranklinGothicDemi"/>
          <w:b/>
          <w:lang w:val="en-US"/>
        </w:rPr>
        <w:t>Mr Easton</w:t>
      </w:r>
      <w:r>
        <w:rPr>
          <w:rFonts w:ascii="ITCFranklinGothicDemi" w:hAnsi="ITCFranklinGothicDemi" w:cs="ITCFranklinGothicDemi"/>
          <w:lang w:val="en-US"/>
        </w:rPr>
        <w:t xml:space="preserve"> </w:t>
      </w:r>
      <w:r>
        <w:rPr>
          <w:lang w:val="en-US"/>
        </w:rPr>
        <w:t>asked the Minister of Enterprise, Trade and Investment how her Department can assist</w:t>
      </w:r>
      <w:r w:rsidR="0031506E">
        <w:rPr>
          <w:lang w:val="en-US"/>
        </w:rPr>
        <w:t xml:space="preserve"> </w:t>
      </w:r>
      <w:r>
        <w:rPr>
          <w:lang w:val="en-US"/>
        </w:rPr>
        <w:t>people who are economically inactive.</w:t>
      </w:r>
    </w:p>
    <w:p w:rsidR="00736612" w:rsidRDefault="00736612" w:rsidP="0031506E">
      <w:pPr>
        <w:pStyle w:val="NICCYBodyText"/>
        <w:rPr>
          <w:rFonts w:ascii="ITCFranklinGothicDemi" w:hAnsi="ITCFranklinGothicDemi" w:cs="ITCFranklinGothicDemi"/>
          <w:lang w:val="en-US"/>
        </w:rPr>
      </w:pPr>
      <w:r>
        <w:rPr>
          <w:rFonts w:ascii="ITCFranklinGothicDemi" w:hAnsi="ITCFranklinGothicDemi" w:cs="ITCFranklinGothicDemi"/>
          <w:lang w:val="en-US"/>
        </w:rPr>
        <w:t>(AQW 35155/11-15)</w:t>
      </w:r>
    </w:p>
    <w:p w:rsidR="0031506E" w:rsidRDefault="0031506E" w:rsidP="0031506E">
      <w:pPr>
        <w:pStyle w:val="NICCYBodyText"/>
        <w:rPr>
          <w:rFonts w:ascii="ITCFranklinGothicDemi" w:hAnsi="ITCFranklinGothicDemi" w:cs="ITCFranklinGothicDemi"/>
          <w:lang w:val="en-US"/>
        </w:rPr>
      </w:pPr>
    </w:p>
    <w:p w:rsidR="004774F9" w:rsidRDefault="00736612" w:rsidP="0031506E">
      <w:pPr>
        <w:pStyle w:val="NICCYBodyText"/>
        <w:rPr>
          <w:lang w:val="en-US"/>
        </w:rPr>
      </w:pPr>
      <w:r w:rsidRPr="0031506E">
        <w:rPr>
          <w:rFonts w:ascii="ITCFranklinGothicDemi" w:hAnsi="ITCFranklinGothicDemi" w:cs="ITCFranklinGothicDemi"/>
          <w:b/>
          <w:lang w:val="en-US"/>
        </w:rPr>
        <w:t>Mrs Foster:</w:t>
      </w:r>
      <w:r>
        <w:rPr>
          <w:rFonts w:ascii="ITCFranklinGothicDemi" w:hAnsi="ITCFranklinGothicDemi" w:cs="ITCFranklinGothicDemi"/>
          <w:lang w:val="en-US"/>
        </w:rPr>
        <w:t xml:space="preserve"> </w:t>
      </w:r>
      <w:r>
        <w:rPr>
          <w:lang w:val="en-US"/>
        </w:rPr>
        <w:t>The Executive has recognised in the Programme for Government and Northern Ireland</w:t>
      </w:r>
      <w:r w:rsidR="0031506E">
        <w:rPr>
          <w:lang w:val="en-US"/>
        </w:rPr>
        <w:t xml:space="preserve"> </w:t>
      </w:r>
      <w:r>
        <w:rPr>
          <w:lang w:val="en-US"/>
        </w:rPr>
        <w:t>Economic Strategy that Economic Inactivity is one of the most persistent problems facing the local</w:t>
      </w:r>
      <w:r w:rsidR="0031506E">
        <w:rPr>
          <w:lang w:val="en-US"/>
        </w:rPr>
        <w:t xml:space="preserve"> economy.  </w:t>
      </w:r>
      <w:r>
        <w:rPr>
          <w:lang w:val="en-US"/>
        </w:rPr>
        <w:t>It is only through adopting a coordinated and strategic approach across Departments that</w:t>
      </w:r>
      <w:r w:rsidR="0031506E">
        <w:rPr>
          <w:lang w:val="en-US"/>
        </w:rPr>
        <w:t xml:space="preserve"> </w:t>
      </w:r>
      <w:r>
        <w:rPr>
          <w:lang w:val="en-US"/>
        </w:rPr>
        <w:t>we can hope to address some of the structural issues which are restricting individual’s access to the</w:t>
      </w:r>
      <w:r w:rsidR="0031506E">
        <w:rPr>
          <w:lang w:val="en-US"/>
        </w:rPr>
        <w:t xml:space="preserve"> </w:t>
      </w:r>
      <w:r>
        <w:rPr>
          <w:lang w:val="en-US"/>
        </w:rPr>
        <w:t>labour market.</w:t>
      </w:r>
      <w:r w:rsidR="0031506E">
        <w:rPr>
          <w:lang w:val="en-US"/>
        </w:rPr>
        <w:t xml:space="preserve">  </w:t>
      </w:r>
      <w:r>
        <w:rPr>
          <w:lang w:val="en-US"/>
        </w:rPr>
        <w:t>I have been working with Minister Farry, supported by Ministers McCausland and Poots, to develop a</w:t>
      </w:r>
      <w:r w:rsidR="0031506E">
        <w:rPr>
          <w:lang w:val="en-US"/>
        </w:rPr>
        <w:t xml:space="preserve"> </w:t>
      </w:r>
      <w:r>
        <w:rPr>
          <w:lang w:val="en-US"/>
        </w:rPr>
        <w:t>strategy to reduce economic inactivity through skills, training, incentives and job creation.</w:t>
      </w:r>
      <w:r w:rsidR="004774F9">
        <w:rPr>
          <w:lang w:val="en-US"/>
        </w:rPr>
        <w:t xml:space="preserve">  </w:t>
      </w:r>
    </w:p>
    <w:p w:rsidR="004774F9" w:rsidRDefault="004774F9" w:rsidP="0031506E">
      <w:pPr>
        <w:pStyle w:val="NICCYBodyText"/>
        <w:rPr>
          <w:lang w:val="en-US"/>
        </w:rPr>
      </w:pPr>
    </w:p>
    <w:p w:rsidR="00736612" w:rsidRDefault="00736612" w:rsidP="0031506E">
      <w:pPr>
        <w:pStyle w:val="NICCYBodyText"/>
        <w:rPr>
          <w:lang w:val="en-US"/>
        </w:rPr>
      </w:pPr>
      <w:r>
        <w:rPr>
          <w:lang w:val="en-US"/>
        </w:rPr>
        <w:t>A public consultation on a Strategic Framework was carried out earlier this year and officials are now</w:t>
      </w:r>
      <w:r w:rsidR="0031506E">
        <w:rPr>
          <w:lang w:val="en-US"/>
        </w:rPr>
        <w:t xml:space="preserve"> </w:t>
      </w:r>
      <w:r>
        <w:rPr>
          <w:lang w:val="en-US"/>
        </w:rPr>
        <w:t>working to finalise the Strategy which Minister Farry and I hope to bring to the Executive later in the</w:t>
      </w:r>
      <w:r w:rsidR="0031506E">
        <w:rPr>
          <w:lang w:val="en-US"/>
        </w:rPr>
        <w:t xml:space="preserve"> </w:t>
      </w:r>
      <w:r>
        <w:rPr>
          <w:lang w:val="en-US"/>
        </w:rPr>
        <w:t>year.</w:t>
      </w:r>
      <w:r w:rsidR="004774F9">
        <w:rPr>
          <w:lang w:val="en-US"/>
        </w:rPr>
        <w:t xml:space="preserve">  </w:t>
      </w:r>
      <w:r>
        <w:rPr>
          <w:lang w:val="en-US"/>
        </w:rPr>
        <w:t>The overarching strategic goal is to contribute towards a stable and competitive employment rate</w:t>
      </w:r>
      <w:r w:rsidR="004774F9">
        <w:rPr>
          <w:lang w:val="en-US"/>
        </w:rPr>
        <w:t xml:space="preserve"> of over 70% by 2023.  </w:t>
      </w:r>
      <w:r>
        <w:rPr>
          <w:lang w:val="en-US"/>
        </w:rPr>
        <w:t>The Strategy will target two major inactive categories; individuals with family</w:t>
      </w:r>
      <w:r w:rsidR="004774F9">
        <w:rPr>
          <w:lang w:val="en-US"/>
        </w:rPr>
        <w:t xml:space="preserve"> </w:t>
      </w:r>
      <w:r>
        <w:rPr>
          <w:lang w:val="en-US"/>
        </w:rPr>
        <w:t>commitments and the long-term sick and disabled.</w:t>
      </w:r>
    </w:p>
    <w:p w:rsidR="004774F9" w:rsidRDefault="004774F9" w:rsidP="0031506E">
      <w:pPr>
        <w:pStyle w:val="NICCYBodyText"/>
        <w:rPr>
          <w:lang w:val="en-US"/>
        </w:rPr>
      </w:pPr>
    </w:p>
    <w:p w:rsidR="00736612" w:rsidRDefault="00736612" w:rsidP="0031506E">
      <w:pPr>
        <w:pStyle w:val="NICCYBodyText"/>
        <w:rPr>
          <w:lang w:val="en-US"/>
        </w:rPr>
      </w:pPr>
      <w:r>
        <w:rPr>
          <w:lang w:val="en-US"/>
        </w:rPr>
        <w:t>Within DETI, our focus is to improve the economic competitiveness of the Northern Ireland economy</w:t>
      </w:r>
      <w:r w:rsidR="004774F9">
        <w:rPr>
          <w:lang w:val="en-US"/>
        </w:rPr>
        <w:t xml:space="preserve"> </w:t>
      </w:r>
      <w:r>
        <w:rPr>
          <w:lang w:val="en-US"/>
        </w:rPr>
        <w:t>in line with the ultimate aim of the</w:t>
      </w:r>
      <w:r w:rsidR="004774F9">
        <w:rPr>
          <w:lang w:val="en-US"/>
        </w:rPr>
        <w:t xml:space="preserve"> Executives’ Economic Strategy.  </w:t>
      </w:r>
      <w:r>
        <w:rPr>
          <w:lang w:val="en-US"/>
        </w:rPr>
        <w:t>We are doing this by supporting</w:t>
      </w:r>
      <w:r w:rsidR="004774F9">
        <w:rPr>
          <w:lang w:val="en-US"/>
        </w:rPr>
        <w:t xml:space="preserve"> </w:t>
      </w:r>
      <w:r>
        <w:rPr>
          <w:lang w:val="en-US"/>
        </w:rPr>
        <w:t>businesses to grow and to export more – this focus will increase employment and opportunity for all.</w:t>
      </w:r>
      <w:r w:rsidR="004774F9">
        <w:rPr>
          <w:lang w:val="en-US"/>
        </w:rPr>
        <w:t xml:space="preserve">  </w:t>
      </w:r>
      <w:r>
        <w:rPr>
          <w:lang w:val="en-US"/>
        </w:rPr>
        <w:t>Contributing to the rising number of employment opportunities, Invest NI has delivered its most</w:t>
      </w:r>
      <w:r w:rsidR="004774F9">
        <w:rPr>
          <w:lang w:val="en-US"/>
        </w:rPr>
        <w:t xml:space="preserve"> </w:t>
      </w:r>
      <w:r>
        <w:rPr>
          <w:lang w:val="en-US"/>
        </w:rPr>
        <w:t>successful year in 201</w:t>
      </w:r>
      <w:r w:rsidR="004774F9">
        <w:rPr>
          <w:lang w:val="en-US"/>
        </w:rPr>
        <w:t xml:space="preserve">3/14 in terms of job promotion.  </w:t>
      </w:r>
      <w:r>
        <w:rPr>
          <w:lang w:val="en-US"/>
        </w:rPr>
        <w:t>Over the course of the year, Invest NI promoted</w:t>
      </w:r>
      <w:r w:rsidR="004774F9">
        <w:rPr>
          <w:lang w:val="en-US"/>
        </w:rPr>
        <w:t xml:space="preserve"> </w:t>
      </w:r>
      <w:r>
        <w:rPr>
          <w:lang w:val="en-US"/>
        </w:rPr>
        <w:t>10,800 jobs and secured investment totalling £775million in the Northern Ireland economy.</w:t>
      </w:r>
      <w:r w:rsidR="004774F9">
        <w:rPr>
          <w:lang w:val="en-US"/>
        </w:rPr>
        <w:t xml:space="preserve">  </w:t>
      </w:r>
      <w:r>
        <w:rPr>
          <w:lang w:val="en-US"/>
        </w:rPr>
        <w:t>Specifically there are elements of Invest NI’s Jobs Fund which are designed to provide opportunities for</w:t>
      </w:r>
    </w:p>
    <w:p w:rsidR="00736612" w:rsidRDefault="004774F9" w:rsidP="0031506E">
      <w:pPr>
        <w:pStyle w:val="NICCYBodyText"/>
        <w:rPr>
          <w:lang w:val="en-US"/>
        </w:rPr>
      </w:pPr>
      <w:r>
        <w:rPr>
          <w:lang w:val="en-US"/>
        </w:rPr>
        <w:t xml:space="preserve">the economically inactive.  </w:t>
      </w:r>
      <w:r w:rsidR="00736612">
        <w:rPr>
          <w:lang w:val="en-US"/>
        </w:rPr>
        <w:t>Since its introduction in April 2011, 2405 of the jobs created through the</w:t>
      </w:r>
      <w:r>
        <w:rPr>
          <w:lang w:val="en-US"/>
        </w:rPr>
        <w:t xml:space="preserve"> </w:t>
      </w:r>
      <w:r w:rsidR="00736612">
        <w:rPr>
          <w:lang w:val="en-US"/>
        </w:rPr>
        <w:t>Jobs Fund have gone to people who were either unemp</w:t>
      </w:r>
      <w:r>
        <w:rPr>
          <w:lang w:val="en-US"/>
        </w:rPr>
        <w:t xml:space="preserve">loyed or economically inactive.  </w:t>
      </w:r>
      <w:r w:rsidR="00736612">
        <w:rPr>
          <w:lang w:val="en-US"/>
        </w:rPr>
        <w:t>These jobs have</w:t>
      </w:r>
      <w:r>
        <w:rPr>
          <w:lang w:val="en-US"/>
        </w:rPr>
        <w:t xml:space="preserve"> </w:t>
      </w:r>
      <w:r w:rsidR="00736612">
        <w:rPr>
          <w:lang w:val="en-US"/>
        </w:rPr>
        <w:t>been created in existing private sector businesses, social enterprises or through jobs created by new</w:t>
      </w:r>
      <w:r>
        <w:rPr>
          <w:lang w:val="en-US"/>
        </w:rPr>
        <w:t xml:space="preserve"> </w:t>
      </w:r>
      <w:r w:rsidR="00736612">
        <w:rPr>
          <w:lang w:val="en-US"/>
        </w:rPr>
        <w:t>business start-ups by individuals living in a Neighbourhood Renewal Area and young people aged 16 –</w:t>
      </w:r>
      <w:r>
        <w:rPr>
          <w:lang w:val="en-US"/>
        </w:rPr>
        <w:t xml:space="preserve"> </w:t>
      </w:r>
      <w:r w:rsidR="00736612">
        <w:rPr>
          <w:lang w:val="en-US"/>
        </w:rPr>
        <w:t>24 not previously in employment, education or training (NEET).</w:t>
      </w:r>
    </w:p>
    <w:p w:rsidR="00144156" w:rsidRDefault="00144156" w:rsidP="0031506E">
      <w:pPr>
        <w:pStyle w:val="NICCYBodyText"/>
        <w:rPr>
          <w:lang w:val="en-US"/>
        </w:rPr>
      </w:pPr>
    </w:p>
    <w:p w:rsidR="00736612" w:rsidRDefault="00736612" w:rsidP="0031506E">
      <w:pPr>
        <w:pStyle w:val="NICCYBodyText"/>
        <w:rPr>
          <w:lang w:val="en-US"/>
        </w:rPr>
      </w:pPr>
      <w:r>
        <w:rPr>
          <w:lang w:val="en-US"/>
        </w:rPr>
        <w:lastRenderedPageBreak/>
        <w:t>Invest NI also provides sponsorship support to the Women in Business Network’s</w:t>
      </w:r>
    </w:p>
    <w:p w:rsidR="00736612" w:rsidRDefault="00736612" w:rsidP="0031506E">
      <w:pPr>
        <w:pStyle w:val="NICCYBodyText"/>
        <w:rPr>
          <w:lang w:val="en-US"/>
        </w:rPr>
      </w:pPr>
      <w:r>
        <w:rPr>
          <w:lang w:val="en-US"/>
        </w:rPr>
        <w:t>Women into Busines</w:t>
      </w:r>
      <w:r w:rsidR="004774F9">
        <w:rPr>
          <w:lang w:val="en-US"/>
        </w:rPr>
        <w:t xml:space="preserve">s programme.  </w:t>
      </w:r>
      <w:r>
        <w:rPr>
          <w:lang w:val="en-US"/>
        </w:rPr>
        <w:t>The programme is aimed at promoting, supporting and empowering</w:t>
      </w:r>
      <w:r w:rsidR="004774F9">
        <w:rPr>
          <w:lang w:val="en-US"/>
        </w:rPr>
        <w:t xml:space="preserve"> </w:t>
      </w:r>
      <w:r>
        <w:rPr>
          <w:lang w:val="en-US"/>
        </w:rPr>
        <w:t>economically inactive women in Northern Ireland to start their own business or aid them into sustained</w:t>
      </w:r>
      <w:r w:rsidR="004774F9">
        <w:rPr>
          <w:lang w:val="en-US"/>
        </w:rPr>
        <w:t xml:space="preserve"> </w:t>
      </w:r>
      <w:r>
        <w:rPr>
          <w:lang w:val="en-US"/>
        </w:rPr>
        <w:t>employment.</w:t>
      </w:r>
    </w:p>
    <w:p w:rsidR="00736612" w:rsidRDefault="00736612" w:rsidP="00736612">
      <w:pPr>
        <w:pStyle w:val="NICCYBodyText"/>
        <w:rPr>
          <w:rFonts w:ascii="ITCFranklinGothicBook" w:hAnsi="ITCFranklinGothicBook" w:cs="ITCFranklinGothicBook"/>
          <w:lang w:val="en-US"/>
        </w:rPr>
      </w:pPr>
    </w:p>
    <w:p w:rsidR="004774F9" w:rsidRDefault="004774F9" w:rsidP="004774F9">
      <w:pPr>
        <w:pStyle w:val="NICCYBodyText"/>
      </w:pPr>
      <w:hyperlink w:anchor="_top" w:history="1">
        <w:r w:rsidRPr="007715F2">
          <w:rPr>
            <w:rStyle w:val="Hyperlink"/>
          </w:rPr>
          <w:t>Back t</w:t>
        </w:r>
        <w:r w:rsidRPr="007715F2">
          <w:rPr>
            <w:rStyle w:val="Hyperlink"/>
          </w:rPr>
          <w:t>o</w:t>
        </w:r>
        <w:r w:rsidRPr="007715F2">
          <w:rPr>
            <w:rStyle w:val="Hyperlink"/>
          </w:rPr>
          <w:t xml:space="preserve"> T</w:t>
        </w:r>
        <w:r w:rsidRPr="007715F2">
          <w:rPr>
            <w:rStyle w:val="Hyperlink"/>
          </w:rPr>
          <w:t>o</w:t>
        </w:r>
        <w:r w:rsidRPr="007715F2">
          <w:rPr>
            <w:rStyle w:val="Hyperlink"/>
          </w:rPr>
          <w:t>p</w:t>
        </w:r>
      </w:hyperlink>
    </w:p>
    <w:p w:rsidR="004774F9" w:rsidRDefault="004774F9" w:rsidP="00736612">
      <w:pPr>
        <w:pStyle w:val="NICCYBodyText"/>
        <w:rPr>
          <w:rFonts w:ascii="ITCFranklinGothicBook" w:hAnsi="ITCFranklinGothicBook" w:cs="ITCFranklinGothicBook"/>
          <w:lang w:val="en-US"/>
        </w:rPr>
      </w:pPr>
    </w:p>
    <w:p w:rsidR="00736612" w:rsidRDefault="00736612"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144156" w:rsidRDefault="00144156" w:rsidP="00736612">
      <w:pPr>
        <w:pStyle w:val="NICCYBodyText"/>
        <w:rPr>
          <w:rFonts w:ascii="ITCFranklinGothicBook" w:hAnsi="ITCFranklinGothicBook" w:cs="ITCFranklinGothicBook"/>
          <w:lang w:val="en-US"/>
        </w:rPr>
      </w:pPr>
    </w:p>
    <w:p w:rsidR="004774F9" w:rsidRDefault="004774F9" w:rsidP="00736612">
      <w:pPr>
        <w:pStyle w:val="NICCYBodyText"/>
        <w:rPr>
          <w:rFonts w:ascii="ITCFranklinGothicBook" w:hAnsi="ITCFranklinGothicBook" w:cs="ITCFranklinGothicBook"/>
          <w:lang w:val="en-US"/>
        </w:rPr>
      </w:pPr>
    </w:p>
    <w:p w:rsidR="00736612" w:rsidRDefault="00736612" w:rsidP="00736612">
      <w:pPr>
        <w:pStyle w:val="NICCYBodyText"/>
        <w:rPr>
          <w:rFonts w:ascii="ITCFranklinGothicBook" w:hAnsi="ITCFranklinGothicBook" w:cs="ITCFranklinGothicBook"/>
          <w:lang w:val="en-US"/>
        </w:rPr>
      </w:pPr>
    </w:p>
    <w:p w:rsidR="00736612" w:rsidRPr="00D309FB" w:rsidRDefault="00736612" w:rsidP="004774F9">
      <w:pPr>
        <w:pStyle w:val="NICCYHeading"/>
        <w:rPr>
          <w:lang w:val="en-US"/>
        </w:rPr>
      </w:pPr>
      <w:r w:rsidRPr="00D309FB">
        <w:rPr>
          <w:lang w:val="en-US"/>
        </w:rPr>
        <w:lastRenderedPageBreak/>
        <w:t>Department of Health, Social Services and Public Safety</w:t>
      </w:r>
    </w:p>
    <w:p w:rsidR="00736612" w:rsidRPr="004774F9" w:rsidRDefault="00736612" w:rsidP="004774F9">
      <w:pPr>
        <w:pStyle w:val="Heading2"/>
        <w:rPr>
          <w:rFonts w:eastAsiaTheme="minorEastAsia"/>
          <w:color w:val="23A4DE"/>
          <w:lang w:val="en-US"/>
        </w:rPr>
      </w:pPr>
      <w:bookmarkStart w:id="10" w:name="_Community_Dietetic_Referrals"/>
      <w:bookmarkEnd w:id="10"/>
      <w:r w:rsidRPr="004774F9">
        <w:rPr>
          <w:rFonts w:eastAsiaTheme="minorEastAsia"/>
          <w:color w:val="23A4DE"/>
          <w:lang w:val="en-US"/>
        </w:rPr>
        <w:t xml:space="preserve">Community Dietetic Referrals for </w:t>
      </w:r>
      <w:r w:rsidR="004774F9" w:rsidRPr="004774F9">
        <w:rPr>
          <w:rFonts w:eastAsiaTheme="minorEastAsia"/>
          <w:color w:val="23A4DE"/>
          <w:lang w:val="en-US"/>
        </w:rPr>
        <w:t>Pediatric</w:t>
      </w:r>
      <w:r w:rsidRPr="004774F9">
        <w:rPr>
          <w:rFonts w:eastAsiaTheme="minorEastAsia"/>
          <w:color w:val="23A4DE"/>
          <w:lang w:val="en-US"/>
        </w:rPr>
        <w:t xml:space="preserve"> Patients</w:t>
      </w:r>
    </w:p>
    <w:p w:rsidR="004774F9" w:rsidRDefault="00736612" w:rsidP="004774F9">
      <w:pPr>
        <w:pStyle w:val="NICCYBodyText"/>
        <w:rPr>
          <w:lang w:val="en-US"/>
        </w:rPr>
      </w:pPr>
      <w:r w:rsidRPr="004774F9">
        <w:rPr>
          <w:rFonts w:ascii="ITCFranklinGothicDemi" w:hAnsi="ITCFranklinGothicDemi" w:cs="ITCFranklinGothicDemi"/>
          <w:b/>
          <w:lang w:val="en-US"/>
        </w:rPr>
        <w:t>Mr Givan</w:t>
      </w:r>
      <w:r>
        <w:rPr>
          <w:rFonts w:ascii="ITCFranklinGothicDemi" w:hAnsi="ITCFranklinGothicDemi" w:cs="ITCFranklinGothicDemi"/>
          <w:lang w:val="en-US"/>
        </w:rPr>
        <w:t xml:space="preserve"> </w:t>
      </w:r>
      <w:r>
        <w:rPr>
          <w:lang w:val="en-US"/>
        </w:rPr>
        <w:t xml:space="preserve">asked the Minister of Health, Social Services and Public Safety what action </w:t>
      </w:r>
    </w:p>
    <w:p w:rsidR="004774F9" w:rsidRDefault="00736612" w:rsidP="004774F9">
      <w:pPr>
        <w:pStyle w:val="NICCYBodyText"/>
        <w:rPr>
          <w:lang w:val="en-US"/>
        </w:rPr>
      </w:pPr>
      <w:r>
        <w:rPr>
          <w:lang w:val="en-US"/>
        </w:rPr>
        <w:t>(</w:t>
      </w:r>
      <w:proofErr w:type="spellStart"/>
      <w:r>
        <w:rPr>
          <w:lang w:val="en-US"/>
        </w:rPr>
        <w:t>i</w:t>
      </w:r>
      <w:proofErr w:type="spellEnd"/>
      <w:r>
        <w:rPr>
          <w:lang w:val="en-US"/>
        </w:rPr>
        <w:t>) his</w:t>
      </w:r>
      <w:r w:rsidR="004774F9">
        <w:rPr>
          <w:lang w:val="en-US"/>
        </w:rPr>
        <w:t xml:space="preserve"> </w:t>
      </w:r>
      <w:r>
        <w:rPr>
          <w:lang w:val="en-US"/>
        </w:rPr>
        <w:t xml:space="preserve">Department; and </w:t>
      </w:r>
    </w:p>
    <w:p w:rsidR="00736612" w:rsidRDefault="00736612" w:rsidP="004774F9">
      <w:pPr>
        <w:pStyle w:val="NICCYBodyText"/>
        <w:rPr>
          <w:lang w:val="en-US"/>
        </w:rPr>
      </w:pPr>
      <w:r>
        <w:rPr>
          <w:lang w:val="en-US"/>
        </w:rPr>
        <w:t>(ii) Health and Social Care Trusts are taking to address pressures caused by an</w:t>
      </w:r>
      <w:r w:rsidR="004774F9">
        <w:rPr>
          <w:lang w:val="en-US"/>
        </w:rPr>
        <w:t xml:space="preserve"> </w:t>
      </w:r>
      <w:r>
        <w:rPr>
          <w:lang w:val="en-US"/>
        </w:rPr>
        <w:t xml:space="preserve">increase in community dietetic referrals for </w:t>
      </w:r>
      <w:r w:rsidR="004774F9">
        <w:rPr>
          <w:lang w:val="en-US"/>
        </w:rPr>
        <w:t>pediatric</w:t>
      </w:r>
      <w:r>
        <w:rPr>
          <w:lang w:val="en-US"/>
        </w:rPr>
        <w:t xml:space="preserve"> patients.</w:t>
      </w:r>
    </w:p>
    <w:p w:rsidR="00736612" w:rsidRDefault="00736612" w:rsidP="004774F9">
      <w:pPr>
        <w:pStyle w:val="NICCYBodyText"/>
        <w:rPr>
          <w:rFonts w:ascii="ITCFranklinGothicDemi" w:hAnsi="ITCFranklinGothicDemi" w:cs="ITCFranklinGothicDemi"/>
          <w:lang w:val="en-US"/>
        </w:rPr>
      </w:pPr>
      <w:r>
        <w:rPr>
          <w:rFonts w:ascii="ITCFranklinGothicDemi" w:hAnsi="ITCFranklinGothicDemi" w:cs="ITCFranklinGothicDemi"/>
          <w:lang w:val="en-US"/>
        </w:rPr>
        <w:t>(AQW 34845/11-15)</w:t>
      </w:r>
    </w:p>
    <w:p w:rsidR="004774F9" w:rsidRDefault="004774F9" w:rsidP="004774F9">
      <w:pPr>
        <w:pStyle w:val="NICCYBodyText"/>
        <w:rPr>
          <w:rFonts w:ascii="ITCFranklinGothicDemi" w:hAnsi="ITCFranklinGothicDemi" w:cs="ITCFranklinGothicDemi"/>
          <w:lang w:val="en-US"/>
        </w:rPr>
      </w:pPr>
    </w:p>
    <w:p w:rsidR="00736612" w:rsidRDefault="00736612" w:rsidP="004774F9">
      <w:pPr>
        <w:pStyle w:val="NICCYBodyText"/>
        <w:rPr>
          <w:lang w:val="en-US"/>
        </w:rPr>
      </w:pPr>
      <w:r w:rsidRPr="004774F9">
        <w:rPr>
          <w:rFonts w:ascii="ITCFranklinGothicDemi" w:hAnsi="ITCFranklinGothicDemi" w:cs="ITCFranklinGothicDemi"/>
          <w:b/>
          <w:lang w:val="en-US"/>
        </w:rPr>
        <w:t>Mr Poots (The Minister of Health, Social Services and Public Safety):</w:t>
      </w:r>
      <w:r>
        <w:rPr>
          <w:rFonts w:ascii="ITCFranklinGothicDemi" w:hAnsi="ITCFranklinGothicDemi" w:cs="ITCFranklinGothicDemi"/>
          <w:lang w:val="en-US"/>
        </w:rPr>
        <w:t xml:space="preserve"> </w:t>
      </w:r>
      <w:r>
        <w:rPr>
          <w:lang w:val="en-US"/>
        </w:rPr>
        <w:t>The Public Health Agency (PHA)</w:t>
      </w:r>
      <w:r w:rsidR="004774F9">
        <w:rPr>
          <w:lang w:val="en-US"/>
        </w:rPr>
        <w:t xml:space="preserve"> </w:t>
      </w:r>
      <w:r>
        <w:rPr>
          <w:lang w:val="en-US"/>
        </w:rPr>
        <w:t>and Health and Social Care Board (HSCB) are leading a regional review of current demand patterns</w:t>
      </w:r>
      <w:r w:rsidR="004774F9">
        <w:rPr>
          <w:lang w:val="en-US"/>
        </w:rPr>
        <w:t xml:space="preserve"> </w:t>
      </w:r>
      <w:r>
        <w:rPr>
          <w:lang w:val="en-US"/>
        </w:rPr>
        <w:t>and trends across Northern Ireland for Allied Health Professional (AHP) services, including community</w:t>
      </w:r>
      <w:r w:rsidR="004774F9">
        <w:rPr>
          <w:lang w:val="en-US"/>
        </w:rPr>
        <w:t xml:space="preserve"> </w:t>
      </w:r>
      <w:r>
        <w:rPr>
          <w:lang w:val="en-US"/>
        </w:rPr>
        <w:t>dietetic referrals for paediatric patients and the capacity available in individual Trusts to meet the</w:t>
      </w:r>
      <w:r w:rsidR="004774F9">
        <w:rPr>
          <w:lang w:val="en-US"/>
        </w:rPr>
        <w:t xml:space="preserve"> </w:t>
      </w:r>
      <w:r>
        <w:rPr>
          <w:lang w:val="en-US"/>
        </w:rPr>
        <w:t>demand.</w:t>
      </w:r>
    </w:p>
    <w:p w:rsidR="004774F9" w:rsidRDefault="004774F9" w:rsidP="004774F9">
      <w:pPr>
        <w:pStyle w:val="NICCYBodyText"/>
        <w:rPr>
          <w:lang w:val="en-US"/>
        </w:rPr>
      </w:pPr>
    </w:p>
    <w:p w:rsidR="00736612" w:rsidRDefault="00736612" w:rsidP="004774F9">
      <w:pPr>
        <w:pStyle w:val="NICCYBodyText"/>
        <w:rPr>
          <w:lang w:val="en-US"/>
        </w:rPr>
      </w:pPr>
      <w:r>
        <w:rPr>
          <w:lang w:val="en-US"/>
        </w:rPr>
        <w:t>Following implementation of the recommendations from the review, concerning revised data definitions</w:t>
      </w:r>
      <w:r w:rsidR="004774F9">
        <w:rPr>
          <w:lang w:val="en-US"/>
        </w:rPr>
        <w:t xml:space="preserve"> </w:t>
      </w:r>
      <w:r>
        <w:rPr>
          <w:lang w:val="en-US"/>
        </w:rPr>
        <w:t>and performance monitoring processes, the HSCB, PHA and individual Trusts will be able to define</w:t>
      </w:r>
      <w:r w:rsidR="004774F9">
        <w:rPr>
          <w:lang w:val="en-US"/>
        </w:rPr>
        <w:t xml:space="preserve"> </w:t>
      </w:r>
      <w:r>
        <w:rPr>
          <w:lang w:val="en-US"/>
        </w:rPr>
        <w:t xml:space="preserve">whether there is any additional pressure in community dietetic referrals for </w:t>
      </w:r>
      <w:r w:rsidR="004774F9">
        <w:rPr>
          <w:lang w:val="en-US"/>
        </w:rPr>
        <w:t>pediatric</w:t>
      </w:r>
      <w:r>
        <w:rPr>
          <w:lang w:val="en-US"/>
        </w:rPr>
        <w:t xml:space="preserve"> patients and</w:t>
      </w:r>
      <w:r w:rsidR="004774F9">
        <w:rPr>
          <w:lang w:val="en-US"/>
        </w:rPr>
        <w:t xml:space="preserve"> </w:t>
      </w:r>
      <w:r>
        <w:rPr>
          <w:lang w:val="en-US"/>
        </w:rPr>
        <w:t>address it via the appropriate local commissioning groups.</w:t>
      </w:r>
    </w:p>
    <w:p w:rsidR="004774F9" w:rsidRDefault="004774F9" w:rsidP="004774F9">
      <w:pPr>
        <w:pStyle w:val="NICCYBodyText"/>
        <w:rPr>
          <w:lang w:val="en-US"/>
        </w:rPr>
      </w:pPr>
    </w:p>
    <w:p w:rsidR="004774F9" w:rsidRDefault="004774F9" w:rsidP="004774F9">
      <w:pPr>
        <w:pStyle w:val="NICCYBodyText"/>
      </w:pPr>
      <w:hyperlink w:anchor="_top" w:history="1">
        <w:r w:rsidRPr="007715F2">
          <w:rPr>
            <w:rStyle w:val="Hyperlink"/>
          </w:rPr>
          <w:t>Back</w:t>
        </w:r>
        <w:r w:rsidRPr="007715F2">
          <w:rPr>
            <w:rStyle w:val="Hyperlink"/>
          </w:rPr>
          <w:t xml:space="preserve"> </w:t>
        </w:r>
        <w:r w:rsidRPr="007715F2">
          <w:rPr>
            <w:rStyle w:val="Hyperlink"/>
          </w:rPr>
          <w:t>t</w:t>
        </w:r>
        <w:r w:rsidRPr="007715F2">
          <w:rPr>
            <w:rStyle w:val="Hyperlink"/>
          </w:rPr>
          <w:t>o Top</w:t>
        </w:r>
      </w:hyperlink>
    </w:p>
    <w:p w:rsidR="004774F9" w:rsidRDefault="004774F9" w:rsidP="004774F9">
      <w:pPr>
        <w:pStyle w:val="NICCYBodyText"/>
        <w:rPr>
          <w:lang w:val="en-US"/>
        </w:rPr>
      </w:pPr>
    </w:p>
    <w:p w:rsidR="004774F9" w:rsidRDefault="004774F9" w:rsidP="004774F9">
      <w:pPr>
        <w:pStyle w:val="NICCYBodyText"/>
        <w:rPr>
          <w:lang w:val="en-US"/>
        </w:rPr>
      </w:pPr>
    </w:p>
    <w:p w:rsidR="004774F9" w:rsidRDefault="004774F9" w:rsidP="004774F9">
      <w:pPr>
        <w:pStyle w:val="NICCYBodyText"/>
        <w:rPr>
          <w:lang w:val="en-US"/>
        </w:rPr>
      </w:pPr>
    </w:p>
    <w:p w:rsidR="004774F9" w:rsidRDefault="004774F9" w:rsidP="004774F9">
      <w:pPr>
        <w:pStyle w:val="NICCYBodyText"/>
        <w:rPr>
          <w:lang w:val="en-US"/>
        </w:rPr>
      </w:pPr>
    </w:p>
    <w:p w:rsidR="004774F9" w:rsidRDefault="004774F9" w:rsidP="004774F9">
      <w:pPr>
        <w:pStyle w:val="NICCYBodyText"/>
        <w:rPr>
          <w:lang w:val="en-US"/>
        </w:rPr>
      </w:pPr>
    </w:p>
    <w:p w:rsidR="004774F9" w:rsidRDefault="004774F9" w:rsidP="004774F9">
      <w:pPr>
        <w:pStyle w:val="NICCYBodyText"/>
        <w:rPr>
          <w:lang w:val="en-US"/>
        </w:rPr>
      </w:pPr>
    </w:p>
    <w:p w:rsidR="004774F9" w:rsidRDefault="004774F9" w:rsidP="004774F9">
      <w:pPr>
        <w:pStyle w:val="NICCYBodyText"/>
        <w:rPr>
          <w:lang w:val="en-US"/>
        </w:rPr>
      </w:pPr>
    </w:p>
    <w:p w:rsidR="004774F9" w:rsidRDefault="004774F9" w:rsidP="004774F9">
      <w:pPr>
        <w:pStyle w:val="NICCYBodyText"/>
        <w:rPr>
          <w:lang w:val="en-US"/>
        </w:rPr>
      </w:pPr>
    </w:p>
    <w:p w:rsidR="00144156" w:rsidRDefault="00144156" w:rsidP="004774F9">
      <w:pPr>
        <w:pStyle w:val="NICCYBodyText"/>
        <w:rPr>
          <w:lang w:val="en-US"/>
        </w:rPr>
      </w:pPr>
    </w:p>
    <w:p w:rsidR="00144156" w:rsidRDefault="00144156" w:rsidP="004774F9">
      <w:pPr>
        <w:pStyle w:val="NICCYBodyText"/>
        <w:rPr>
          <w:lang w:val="en-US"/>
        </w:rPr>
      </w:pPr>
    </w:p>
    <w:p w:rsidR="004774F9" w:rsidRDefault="004774F9" w:rsidP="004774F9">
      <w:pPr>
        <w:pStyle w:val="NICCYBodyText"/>
        <w:rPr>
          <w:lang w:val="en-US"/>
        </w:rPr>
      </w:pPr>
    </w:p>
    <w:p w:rsidR="004774F9" w:rsidRDefault="004774F9" w:rsidP="004774F9">
      <w:pPr>
        <w:pStyle w:val="NICCYBodyText"/>
        <w:rPr>
          <w:lang w:val="en-US"/>
        </w:rPr>
      </w:pPr>
    </w:p>
    <w:p w:rsidR="004774F9" w:rsidRDefault="004774F9" w:rsidP="004774F9">
      <w:pPr>
        <w:pStyle w:val="NICCYBodyText"/>
        <w:rPr>
          <w:lang w:val="en-US"/>
        </w:rPr>
      </w:pPr>
    </w:p>
    <w:p w:rsidR="004774F9" w:rsidRDefault="004774F9" w:rsidP="004774F9">
      <w:pPr>
        <w:pStyle w:val="NICCYBodyText"/>
        <w:rPr>
          <w:lang w:val="en-US"/>
        </w:rPr>
      </w:pPr>
    </w:p>
    <w:p w:rsidR="00736612" w:rsidRDefault="00736612" w:rsidP="00736612">
      <w:pPr>
        <w:pStyle w:val="NICCYBodyText"/>
        <w:rPr>
          <w:rFonts w:ascii="ITCFranklinGothicBook" w:hAnsi="ITCFranklinGothicBook" w:cs="ITCFranklinGothicBook"/>
          <w:lang w:val="en-US"/>
        </w:rPr>
      </w:pPr>
    </w:p>
    <w:p w:rsidR="00736612" w:rsidRPr="00165378" w:rsidRDefault="00736612" w:rsidP="004774F9">
      <w:pPr>
        <w:pStyle w:val="NICCYHeading"/>
        <w:rPr>
          <w:lang w:val="en-US"/>
        </w:rPr>
      </w:pPr>
      <w:r w:rsidRPr="00165378">
        <w:rPr>
          <w:lang w:val="en-US"/>
        </w:rPr>
        <w:lastRenderedPageBreak/>
        <w:t>Department of Justice</w:t>
      </w:r>
    </w:p>
    <w:p w:rsidR="00736612" w:rsidRPr="004774F9" w:rsidRDefault="00736612" w:rsidP="004774F9">
      <w:pPr>
        <w:pStyle w:val="Heading2"/>
        <w:rPr>
          <w:rFonts w:eastAsiaTheme="minorEastAsia"/>
          <w:color w:val="23A4DE"/>
          <w:lang w:val="en-US"/>
        </w:rPr>
      </w:pPr>
      <w:bookmarkStart w:id="11" w:name="_Public_Protection_Arrangements"/>
      <w:bookmarkEnd w:id="11"/>
      <w:r w:rsidRPr="004774F9">
        <w:rPr>
          <w:rFonts w:eastAsiaTheme="minorEastAsia"/>
          <w:color w:val="23A4DE"/>
          <w:lang w:val="en-US"/>
        </w:rPr>
        <w:t>Public Protection Arrangements Northern Ireland</w:t>
      </w:r>
    </w:p>
    <w:p w:rsidR="004774F9" w:rsidRDefault="00736612" w:rsidP="004774F9">
      <w:pPr>
        <w:pStyle w:val="NICCYBodyText"/>
        <w:rPr>
          <w:lang w:val="en-US"/>
        </w:rPr>
      </w:pPr>
      <w:r w:rsidRPr="004774F9">
        <w:rPr>
          <w:rFonts w:ascii="ITCFranklinGothicDemi" w:hAnsi="ITCFranklinGothicDemi" w:cs="ITCFranklinGothicDemi"/>
          <w:b/>
          <w:lang w:val="en-US"/>
        </w:rPr>
        <w:t>Lord Morrow</w:t>
      </w:r>
      <w:r>
        <w:rPr>
          <w:rFonts w:ascii="ITCFranklinGothicDemi" w:hAnsi="ITCFranklinGothicDemi" w:cs="ITCFranklinGothicDemi"/>
          <w:lang w:val="en-US"/>
        </w:rPr>
        <w:t xml:space="preserve"> </w:t>
      </w:r>
      <w:r>
        <w:rPr>
          <w:lang w:val="en-US"/>
        </w:rPr>
        <w:t xml:space="preserve">asked the Minister of Justice to detail </w:t>
      </w:r>
    </w:p>
    <w:p w:rsidR="00736612" w:rsidRDefault="00736612" w:rsidP="004774F9">
      <w:pPr>
        <w:pStyle w:val="NICCYBodyText"/>
        <w:rPr>
          <w:lang w:val="en-US"/>
        </w:rPr>
      </w:pPr>
      <w:r>
        <w:rPr>
          <w:lang w:val="en-US"/>
        </w:rPr>
        <w:t>(</w:t>
      </w:r>
      <w:proofErr w:type="spellStart"/>
      <w:r>
        <w:rPr>
          <w:lang w:val="en-US"/>
        </w:rPr>
        <w:t>i</w:t>
      </w:r>
      <w:proofErr w:type="spellEnd"/>
      <w:r>
        <w:rPr>
          <w:lang w:val="en-US"/>
        </w:rPr>
        <w:t>) the recommendations by the Public Protection</w:t>
      </w:r>
      <w:r w:rsidR="004774F9">
        <w:rPr>
          <w:lang w:val="en-US"/>
        </w:rPr>
        <w:t xml:space="preserve"> </w:t>
      </w:r>
      <w:r>
        <w:rPr>
          <w:lang w:val="en-US"/>
        </w:rPr>
        <w:t>Arrangements in Northern Ireland that have been implemented following the conclusion of the Serious</w:t>
      </w:r>
      <w:r w:rsidR="004774F9">
        <w:rPr>
          <w:lang w:val="en-US"/>
        </w:rPr>
        <w:t xml:space="preserve"> </w:t>
      </w:r>
      <w:r>
        <w:rPr>
          <w:lang w:val="en-US"/>
        </w:rPr>
        <w:t>Case Reviews into Barry Johnston; Thomas Ward and David Paige, citing the changes and from which</w:t>
      </w:r>
    </w:p>
    <w:p w:rsidR="004774F9" w:rsidRDefault="00736612" w:rsidP="004774F9">
      <w:pPr>
        <w:pStyle w:val="NICCYBodyText"/>
        <w:rPr>
          <w:lang w:val="en-US"/>
        </w:rPr>
      </w:pPr>
      <w:r>
        <w:rPr>
          <w:lang w:val="en-US"/>
        </w:rPr>
        <w:t xml:space="preserve">review they originate; and </w:t>
      </w:r>
    </w:p>
    <w:p w:rsidR="00736612" w:rsidRDefault="00736612" w:rsidP="004774F9">
      <w:pPr>
        <w:pStyle w:val="NICCYBodyText"/>
        <w:rPr>
          <w:lang w:val="en-US"/>
        </w:rPr>
      </w:pPr>
      <w:r>
        <w:rPr>
          <w:lang w:val="en-US"/>
        </w:rPr>
        <w:t>(ii) the recommendations that have not been implemented.</w:t>
      </w:r>
    </w:p>
    <w:p w:rsidR="00736612" w:rsidRDefault="00736612" w:rsidP="004774F9">
      <w:pPr>
        <w:pStyle w:val="NICCYBodyText"/>
        <w:rPr>
          <w:rFonts w:ascii="ITCFranklinGothicDemi" w:hAnsi="ITCFranklinGothicDemi" w:cs="ITCFranklinGothicDemi"/>
          <w:lang w:val="en-US"/>
        </w:rPr>
      </w:pPr>
      <w:r>
        <w:rPr>
          <w:rFonts w:ascii="ITCFranklinGothicDemi" w:hAnsi="ITCFranklinGothicDemi" w:cs="ITCFranklinGothicDemi"/>
          <w:lang w:val="en-US"/>
        </w:rPr>
        <w:t>(AQW 35112/11-15)</w:t>
      </w:r>
    </w:p>
    <w:p w:rsidR="004774F9" w:rsidRDefault="004774F9" w:rsidP="004774F9">
      <w:pPr>
        <w:pStyle w:val="NICCYBodyText"/>
        <w:rPr>
          <w:rFonts w:ascii="ITCFranklinGothicDemi" w:hAnsi="ITCFranklinGothicDemi" w:cs="ITCFranklinGothicDemi"/>
          <w:lang w:val="en-US"/>
        </w:rPr>
      </w:pPr>
    </w:p>
    <w:p w:rsidR="004774F9" w:rsidRDefault="00736612" w:rsidP="004774F9">
      <w:pPr>
        <w:pStyle w:val="NICCYBodyText"/>
        <w:rPr>
          <w:rFonts w:ascii="ITCFranklinGothicDemi" w:hAnsi="ITCFranklinGothicDemi" w:cs="ITCFranklinGothicDemi"/>
          <w:b/>
          <w:lang w:val="en-US"/>
        </w:rPr>
      </w:pPr>
      <w:r w:rsidRPr="004774F9">
        <w:rPr>
          <w:rFonts w:ascii="ITCFranklinGothicDemi" w:hAnsi="ITCFranklinGothicDemi" w:cs="ITCFranklinGothicDemi"/>
          <w:b/>
          <w:lang w:val="en-US"/>
        </w:rPr>
        <w:t>Mr Ford:</w:t>
      </w:r>
      <w:r w:rsidR="004774F9">
        <w:rPr>
          <w:rFonts w:ascii="ITCFranklinGothicDemi" w:hAnsi="ITCFranklinGothicDemi" w:cs="ITCFranklinGothicDemi"/>
          <w:b/>
          <w:lang w:val="en-US"/>
        </w:rPr>
        <w:t xml:space="preserve"> </w:t>
      </w:r>
    </w:p>
    <w:p w:rsidR="00736612" w:rsidRPr="004774F9" w:rsidRDefault="00736612" w:rsidP="004774F9">
      <w:pPr>
        <w:pStyle w:val="NICCYBodyText"/>
        <w:rPr>
          <w:rFonts w:ascii="ITCFranklinGothicDemi" w:hAnsi="ITCFranklinGothicDemi" w:cs="ITCFranklinGothicDemi"/>
          <w:b/>
          <w:lang w:val="en-US"/>
        </w:rPr>
      </w:pPr>
      <w:r>
        <w:rPr>
          <w:rFonts w:ascii="ITCFranklinGothicDemi" w:hAnsi="ITCFranklinGothicDemi" w:cs="ITCFranklinGothicDemi"/>
          <w:lang w:val="en-US"/>
        </w:rPr>
        <w:t>(</w:t>
      </w:r>
      <w:proofErr w:type="spellStart"/>
      <w:r>
        <w:rPr>
          <w:rFonts w:ascii="ITCFranklinGothicDemi" w:hAnsi="ITCFranklinGothicDemi" w:cs="ITCFranklinGothicDemi"/>
          <w:lang w:val="en-US"/>
        </w:rPr>
        <w:t>i</w:t>
      </w:r>
      <w:proofErr w:type="spellEnd"/>
      <w:r>
        <w:rPr>
          <w:rFonts w:ascii="ITCFranklinGothicDemi" w:hAnsi="ITCFranklinGothicDemi" w:cs="ITCFranklinGothicDemi"/>
          <w:lang w:val="en-US"/>
        </w:rPr>
        <w:t>) Recommendations following conclusion of PPANI Serious Case Reviews</w:t>
      </w:r>
      <w:r w:rsidR="004774F9">
        <w:rPr>
          <w:rFonts w:ascii="ITCFranklinGothicDemi" w:hAnsi="ITCFranklinGothicDemi" w:cs="ITCFranklinGothicDemi"/>
          <w:b/>
          <w:lang w:val="en-US"/>
        </w:rPr>
        <w:t xml:space="preserve"> </w:t>
      </w:r>
      <w:r>
        <w:rPr>
          <w:lang w:val="en-US"/>
        </w:rPr>
        <w:t>Table A below sets out the recommendations arising from the Serious Case Reviews commissioned (for</w:t>
      </w:r>
    </w:p>
    <w:p w:rsidR="00736612" w:rsidRDefault="00736612" w:rsidP="004774F9">
      <w:pPr>
        <w:pStyle w:val="NICCYBodyText"/>
        <w:rPr>
          <w:lang w:val="en-US"/>
        </w:rPr>
      </w:pPr>
      <w:r>
        <w:rPr>
          <w:lang w:val="en-US"/>
        </w:rPr>
        <w:t>the cases listed) by the Strategic Management Board responsible for oversight of the Public Protection</w:t>
      </w:r>
      <w:r w:rsidR="004774F9">
        <w:rPr>
          <w:lang w:val="en-US"/>
        </w:rPr>
        <w:t xml:space="preserve"> </w:t>
      </w:r>
      <w:r>
        <w:rPr>
          <w:lang w:val="en-US"/>
        </w:rPr>
        <w:t>Arrangements Northern Ireland.</w:t>
      </w:r>
    </w:p>
    <w:p w:rsidR="00736612" w:rsidRDefault="00736612" w:rsidP="00736612">
      <w:pPr>
        <w:pStyle w:val="NICCYBodyText"/>
        <w:rPr>
          <w:rFonts w:ascii="ITCFranklinGothicBook" w:hAnsi="ITCFranklinGothicBook" w:cs="ITCFranklinGothicBook"/>
          <w:lang w:val="en-US"/>
        </w:rPr>
      </w:pPr>
    </w:p>
    <w:p w:rsidR="00736612" w:rsidRDefault="00736612" w:rsidP="00736612">
      <w:pPr>
        <w:pStyle w:val="NICCYBodyText"/>
      </w:pPr>
    </w:p>
    <w:p w:rsidR="00736612" w:rsidRDefault="00736612" w:rsidP="00736612">
      <w:pPr>
        <w:pStyle w:val="NICCYBodyText"/>
      </w:pPr>
    </w:p>
    <w:p w:rsidR="00736612" w:rsidRDefault="004774F9" w:rsidP="00736612">
      <w:pPr>
        <w:pStyle w:val="NICCYBodyText"/>
      </w:pPr>
      <w:r w:rsidRPr="004774F9">
        <w:lastRenderedPageBreak/>
        <w:drawing>
          <wp:inline distT="0" distB="0" distL="0" distR="0">
            <wp:extent cx="6116320" cy="5651682"/>
            <wp:effectExtent l="19050" t="0" r="0" b="0"/>
            <wp:docPr id="5" name="Picture 3" descr="C:\Users\andrew.mcgall\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mcgall\Desktop\Capture.PNG"/>
                    <pic:cNvPicPr>
                      <a:picLocks noChangeAspect="1" noChangeArrowheads="1"/>
                    </pic:cNvPicPr>
                  </pic:nvPicPr>
                  <pic:blipFill>
                    <a:blip r:embed="rId10"/>
                    <a:srcRect/>
                    <a:stretch>
                      <a:fillRect/>
                    </a:stretch>
                  </pic:blipFill>
                  <pic:spPr bwMode="auto">
                    <a:xfrm>
                      <a:off x="0" y="0"/>
                      <a:ext cx="6116320" cy="5651682"/>
                    </a:xfrm>
                    <a:prstGeom prst="rect">
                      <a:avLst/>
                    </a:prstGeom>
                    <a:noFill/>
                    <a:ln w="9525">
                      <a:noFill/>
                      <a:miter lim="800000"/>
                      <a:headEnd/>
                      <a:tailEnd/>
                    </a:ln>
                  </pic:spPr>
                </pic:pic>
              </a:graphicData>
            </a:graphic>
          </wp:inline>
        </w:drawing>
      </w:r>
    </w:p>
    <w:p w:rsidR="00736612" w:rsidRDefault="00736612" w:rsidP="00736612">
      <w:pPr>
        <w:pStyle w:val="NICCYBodyText"/>
      </w:pPr>
    </w:p>
    <w:p w:rsidR="00736612" w:rsidRDefault="00736612" w:rsidP="00736612">
      <w:pPr>
        <w:pStyle w:val="NICCYBodyText"/>
      </w:pPr>
    </w:p>
    <w:p w:rsidR="00736612" w:rsidRDefault="00736612" w:rsidP="00736612">
      <w:pPr>
        <w:pStyle w:val="NICCYBodyText"/>
      </w:pPr>
      <w:r>
        <w:rPr>
          <w:noProof/>
          <w:lang w:val="en-US"/>
        </w:rPr>
        <w:lastRenderedPageBreak/>
        <w:drawing>
          <wp:inline distT="0" distB="0" distL="0" distR="0">
            <wp:extent cx="6116320" cy="4627873"/>
            <wp:effectExtent l="19050" t="0" r="0" b="0"/>
            <wp:docPr id="4" name="Picture 4" descr="C:\Users\andrew.mcgall\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w.mcgall\Desktop\Capture.PNG"/>
                    <pic:cNvPicPr>
                      <a:picLocks noChangeAspect="1" noChangeArrowheads="1"/>
                    </pic:cNvPicPr>
                  </pic:nvPicPr>
                  <pic:blipFill>
                    <a:blip r:embed="rId11"/>
                    <a:srcRect/>
                    <a:stretch>
                      <a:fillRect/>
                    </a:stretch>
                  </pic:blipFill>
                  <pic:spPr bwMode="auto">
                    <a:xfrm>
                      <a:off x="0" y="0"/>
                      <a:ext cx="6116320" cy="4627873"/>
                    </a:xfrm>
                    <a:prstGeom prst="rect">
                      <a:avLst/>
                    </a:prstGeom>
                    <a:noFill/>
                    <a:ln w="9525">
                      <a:noFill/>
                      <a:miter lim="800000"/>
                      <a:headEnd/>
                      <a:tailEnd/>
                    </a:ln>
                  </pic:spPr>
                </pic:pic>
              </a:graphicData>
            </a:graphic>
          </wp:inline>
        </w:drawing>
      </w: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2C4626">
      <w:pPr>
        <w:pStyle w:val="NICCYBodyText"/>
      </w:pPr>
      <w:hyperlink w:anchor="_top" w:history="1">
        <w:r w:rsidRPr="007715F2">
          <w:rPr>
            <w:rStyle w:val="Hyperlink"/>
          </w:rPr>
          <w:t>B</w:t>
        </w:r>
        <w:r w:rsidRPr="007715F2">
          <w:rPr>
            <w:rStyle w:val="Hyperlink"/>
          </w:rPr>
          <w:t>a</w:t>
        </w:r>
        <w:r w:rsidRPr="007715F2">
          <w:rPr>
            <w:rStyle w:val="Hyperlink"/>
          </w:rPr>
          <w:t>ck to Top</w:t>
        </w:r>
      </w:hyperlink>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144156" w:rsidRDefault="0014415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736612" w:rsidRPr="002C4626" w:rsidRDefault="00736612" w:rsidP="002C4626">
      <w:pPr>
        <w:pStyle w:val="Heading2"/>
        <w:rPr>
          <w:rFonts w:eastAsiaTheme="minorEastAsia"/>
          <w:color w:val="23A4DE"/>
          <w:lang w:val="en-US"/>
        </w:rPr>
      </w:pPr>
      <w:bookmarkStart w:id="12" w:name="_Serious_Case_Review"/>
      <w:bookmarkEnd w:id="12"/>
      <w:r w:rsidRPr="002C4626">
        <w:rPr>
          <w:rFonts w:eastAsiaTheme="minorEastAsia"/>
          <w:color w:val="23A4DE"/>
          <w:lang w:val="en-US"/>
        </w:rPr>
        <w:lastRenderedPageBreak/>
        <w:t>Serious Case Review</w:t>
      </w:r>
    </w:p>
    <w:p w:rsidR="002C4626" w:rsidRDefault="00736612" w:rsidP="002C4626">
      <w:pPr>
        <w:pStyle w:val="NICCYBodyText"/>
        <w:rPr>
          <w:lang w:val="en-US"/>
        </w:rPr>
      </w:pPr>
      <w:r w:rsidRPr="002C4626">
        <w:rPr>
          <w:rFonts w:ascii="ITCFranklinGothicDemi" w:hAnsi="ITCFranklinGothicDemi" w:cs="ITCFranklinGothicDemi"/>
          <w:b/>
          <w:lang w:val="en-US"/>
        </w:rPr>
        <w:t>Lord Morrow</w:t>
      </w:r>
      <w:r>
        <w:rPr>
          <w:rFonts w:ascii="ITCFranklinGothicDemi" w:hAnsi="ITCFranklinGothicDemi" w:cs="ITCFranklinGothicDemi"/>
          <w:lang w:val="en-US"/>
        </w:rPr>
        <w:t xml:space="preserve"> </w:t>
      </w:r>
      <w:r>
        <w:rPr>
          <w:lang w:val="en-US"/>
        </w:rPr>
        <w:t>asked the Minister of Justice, pursuant to AQW 34383/11-15, whether he will specifically</w:t>
      </w:r>
      <w:r w:rsidR="002C4626">
        <w:rPr>
          <w:lang w:val="en-US"/>
        </w:rPr>
        <w:t xml:space="preserve"> </w:t>
      </w:r>
      <w:r>
        <w:rPr>
          <w:lang w:val="en-US"/>
        </w:rPr>
        <w:t>address the point on the approved residence being in an area of families with young children, and given</w:t>
      </w:r>
      <w:r w:rsidR="002C4626">
        <w:rPr>
          <w:lang w:val="en-US"/>
        </w:rPr>
        <w:t xml:space="preserve"> </w:t>
      </w:r>
      <w:r>
        <w:rPr>
          <w:lang w:val="en-US"/>
        </w:rPr>
        <w:t xml:space="preserve">the victim in the case was a child of the </w:t>
      </w:r>
      <w:r w:rsidR="002C4626">
        <w:rPr>
          <w:lang w:val="en-US"/>
        </w:rPr>
        <w:t>neighborhood</w:t>
      </w:r>
      <w:r>
        <w:rPr>
          <w:lang w:val="en-US"/>
        </w:rPr>
        <w:t xml:space="preserve"> to detail whether </w:t>
      </w:r>
    </w:p>
    <w:p w:rsidR="002C4626" w:rsidRDefault="00736612" w:rsidP="002C4626">
      <w:pPr>
        <w:pStyle w:val="NICCYBodyText"/>
        <w:rPr>
          <w:lang w:val="en-US"/>
        </w:rPr>
      </w:pPr>
      <w:r>
        <w:rPr>
          <w:lang w:val="en-US"/>
        </w:rPr>
        <w:t>(</w:t>
      </w:r>
      <w:proofErr w:type="spellStart"/>
      <w:r>
        <w:rPr>
          <w:lang w:val="en-US"/>
        </w:rPr>
        <w:t>i</w:t>
      </w:r>
      <w:proofErr w:type="spellEnd"/>
      <w:r>
        <w:rPr>
          <w:lang w:val="en-US"/>
        </w:rPr>
        <w:t>) this point was considered</w:t>
      </w:r>
      <w:r w:rsidR="002C4626">
        <w:rPr>
          <w:lang w:val="en-US"/>
        </w:rPr>
        <w:t xml:space="preserve"> </w:t>
      </w:r>
      <w:r>
        <w:rPr>
          <w:lang w:val="en-US"/>
        </w:rPr>
        <w:t>prior to the approval of residence and due cognisance given to the offender’s previous behaviour and</w:t>
      </w:r>
      <w:r w:rsidR="002C4626">
        <w:rPr>
          <w:lang w:val="en-US"/>
        </w:rPr>
        <w:t xml:space="preserve"> </w:t>
      </w:r>
      <w:r>
        <w:rPr>
          <w:lang w:val="en-US"/>
        </w:rPr>
        <w:t xml:space="preserve">targets; </w:t>
      </w:r>
    </w:p>
    <w:p w:rsidR="002C4626" w:rsidRDefault="00736612" w:rsidP="002C4626">
      <w:pPr>
        <w:pStyle w:val="NICCYBodyText"/>
        <w:rPr>
          <w:lang w:val="en-US"/>
        </w:rPr>
      </w:pPr>
      <w:r>
        <w:rPr>
          <w:lang w:val="en-US"/>
        </w:rPr>
        <w:t>(ii) he will amend risk assessments in these instances taking on board vulnerability of potential</w:t>
      </w:r>
      <w:r w:rsidR="002C4626">
        <w:rPr>
          <w:lang w:val="en-US"/>
        </w:rPr>
        <w:t xml:space="preserve"> </w:t>
      </w:r>
      <w:r>
        <w:rPr>
          <w:lang w:val="en-US"/>
        </w:rPr>
        <w:t xml:space="preserve">victims; and </w:t>
      </w:r>
    </w:p>
    <w:p w:rsidR="00736612" w:rsidRDefault="00736612" w:rsidP="002C4626">
      <w:pPr>
        <w:pStyle w:val="NICCYBodyText"/>
        <w:rPr>
          <w:lang w:val="en-US"/>
        </w:rPr>
      </w:pPr>
      <w:r>
        <w:rPr>
          <w:lang w:val="en-US"/>
        </w:rPr>
        <w:t>(iii) he will tighten residence criteria to remove or reduce reoffending in similar instances.</w:t>
      </w:r>
    </w:p>
    <w:p w:rsidR="00736612" w:rsidRDefault="00736612" w:rsidP="002C4626">
      <w:pPr>
        <w:pStyle w:val="NICCYBodyText"/>
        <w:rPr>
          <w:rFonts w:ascii="ITCFranklinGothicDemi" w:hAnsi="ITCFranklinGothicDemi" w:cs="ITCFranklinGothicDemi"/>
          <w:lang w:val="en-US"/>
        </w:rPr>
      </w:pPr>
      <w:r>
        <w:rPr>
          <w:rFonts w:ascii="ITCFranklinGothicDemi" w:hAnsi="ITCFranklinGothicDemi" w:cs="ITCFranklinGothicDemi"/>
          <w:lang w:val="en-US"/>
        </w:rPr>
        <w:t>(AQW 35113/11-15)</w:t>
      </w:r>
    </w:p>
    <w:p w:rsidR="002C4626" w:rsidRDefault="002C4626" w:rsidP="002C4626">
      <w:pPr>
        <w:pStyle w:val="NICCYBodyText"/>
        <w:rPr>
          <w:rFonts w:ascii="ITCFranklinGothicDemi" w:hAnsi="ITCFranklinGothicDemi" w:cs="ITCFranklinGothicDemi"/>
          <w:lang w:val="en-US"/>
        </w:rPr>
      </w:pPr>
    </w:p>
    <w:p w:rsidR="00736612" w:rsidRDefault="00736612" w:rsidP="002C4626">
      <w:pPr>
        <w:pStyle w:val="NICCYBodyText"/>
        <w:rPr>
          <w:lang w:val="en-US"/>
        </w:rPr>
      </w:pPr>
      <w:r w:rsidRPr="002C4626">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I shall reply to the points raised as soon as possible.</w:t>
      </w:r>
    </w:p>
    <w:p w:rsidR="002C4626" w:rsidRDefault="002C4626" w:rsidP="002C4626">
      <w:pPr>
        <w:pStyle w:val="NICCYBodyText"/>
        <w:rPr>
          <w:rFonts w:ascii="ITCFranklinGothicDemi" w:hAnsi="ITCFranklinGothicDemi" w:cs="ITCFranklinGothicDemi"/>
          <w:lang w:val="en-US"/>
        </w:rPr>
      </w:pPr>
    </w:p>
    <w:p w:rsidR="002C4626" w:rsidRDefault="002C4626" w:rsidP="002C4626">
      <w:pPr>
        <w:pStyle w:val="NICCYBodyText"/>
      </w:pPr>
      <w:hyperlink w:anchor="_top" w:history="1">
        <w:r w:rsidRPr="007715F2">
          <w:rPr>
            <w:rStyle w:val="Hyperlink"/>
          </w:rPr>
          <w:t>Back to</w:t>
        </w:r>
        <w:r w:rsidRPr="007715F2">
          <w:rPr>
            <w:rStyle w:val="Hyperlink"/>
          </w:rPr>
          <w:t xml:space="preserve"> </w:t>
        </w:r>
        <w:r w:rsidRPr="007715F2">
          <w:rPr>
            <w:rStyle w:val="Hyperlink"/>
          </w:rPr>
          <w:t>Top</w:t>
        </w:r>
      </w:hyperlink>
    </w:p>
    <w:p w:rsidR="002C4626" w:rsidRDefault="002C4626" w:rsidP="002C4626">
      <w:pPr>
        <w:pStyle w:val="NICCYBodyText"/>
        <w:rPr>
          <w:rFonts w:ascii="ITCFranklinGothicDemi" w:hAnsi="ITCFranklinGothicDemi" w:cs="ITCFranklinGothicDemi"/>
          <w:lang w:val="en-US"/>
        </w:rPr>
      </w:pPr>
    </w:p>
    <w:p w:rsidR="00736612" w:rsidRPr="007B5E33" w:rsidRDefault="00736612" w:rsidP="007B5E33">
      <w:pPr>
        <w:pStyle w:val="Heading2"/>
        <w:rPr>
          <w:rFonts w:eastAsiaTheme="minorEastAsia"/>
          <w:color w:val="23A4DE"/>
          <w:lang w:val="en-US"/>
        </w:rPr>
      </w:pPr>
      <w:bookmarkStart w:id="13" w:name="_Serious_Case_Review_1"/>
      <w:bookmarkEnd w:id="13"/>
      <w:r w:rsidRPr="007B5E33">
        <w:rPr>
          <w:rFonts w:eastAsiaTheme="minorEastAsia"/>
          <w:color w:val="23A4DE"/>
          <w:lang w:val="en-US"/>
        </w:rPr>
        <w:t>Serious Case Review</w:t>
      </w:r>
    </w:p>
    <w:p w:rsidR="00736612" w:rsidRDefault="00736612" w:rsidP="002C4626">
      <w:pPr>
        <w:pStyle w:val="NICCYBodyText"/>
        <w:rPr>
          <w:lang w:val="en-US"/>
        </w:rPr>
      </w:pPr>
      <w:r w:rsidRPr="007B5E33">
        <w:rPr>
          <w:rFonts w:ascii="ITCFranklinGothicDemi" w:hAnsi="ITCFranklinGothicDemi" w:cs="ITCFranklinGothicDemi"/>
          <w:b/>
          <w:lang w:val="en-US"/>
        </w:rPr>
        <w:t>Lord Morrow</w:t>
      </w:r>
      <w:r>
        <w:rPr>
          <w:rFonts w:ascii="ITCFranklinGothicDemi" w:hAnsi="ITCFranklinGothicDemi" w:cs="ITCFranklinGothicDemi"/>
          <w:lang w:val="en-US"/>
        </w:rPr>
        <w:t xml:space="preserve"> </w:t>
      </w:r>
      <w:r>
        <w:rPr>
          <w:lang w:val="en-US"/>
        </w:rPr>
        <w:t>asked the Minister of Justice following the conclusion of a Serious Case Review, whether</w:t>
      </w:r>
      <w:r w:rsidR="007B5E33">
        <w:rPr>
          <w:lang w:val="en-US"/>
        </w:rPr>
        <w:t xml:space="preserve"> </w:t>
      </w:r>
      <w:r>
        <w:rPr>
          <w:lang w:val="en-US"/>
        </w:rPr>
        <w:t>any departmental agency has found to have missed opportunities, neglected responsibilities, or</w:t>
      </w:r>
      <w:r w:rsidR="007B5E33">
        <w:rPr>
          <w:lang w:val="en-US"/>
        </w:rPr>
        <w:t xml:space="preserve"> </w:t>
      </w:r>
      <w:r>
        <w:rPr>
          <w:lang w:val="en-US"/>
        </w:rPr>
        <w:t>defaulted in any way which could have prevented re-offending; and if so, to cite the relevant instances.</w:t>
      </w:r>
    </w:p>
    <w:p w:rsidR="00736612" w:rsidRDefault="00736612" w:rsidP="002C4626">
      <w:pPr>
        <w:pStyle w:val="NICCYBodyText"/>
        <w:rPr>
          <w:rFonts w:ascii="ITCFranklinGothicDemi" w:hAnsi="ITCFranklinGothicDemi" w:cs="ITCFranklinGothicDemi"/>
          <w:lang w:val="en-US"/>
        </w:rPr>
      </w:pPr>
      <w:r>
        <w:rPr>
          <w:rFonts w:ascii="ITCFranklinGothicDemi" w:hAnsi="ITCFranklinGothicDemi" w:cs="ITCFranklinGothicDemi"/>
          <w:lang w:val="en-US"/>
        </w:rPr>
        <w:t>(AQW 35193/11-15)</w:t>
      </w:r>
    </w:p>
    <w:p w:rsidR="007B5E33" w:rsidRDefault="007B5E33" w:rsidP="002C4626">
      <w:pPr>
        <w:pStyle w:val="NICCYBodyText"/>
        <w:rPr>
          <w:rFonts w:ascii="ITCFranklinGothicDemi" w:hAnsi="ITCFranklinGothicDemi" w:cs="ITCFranklinGothicDemi"/>
          <w:lang w:val="en-US"/>
        </w:rPr>
      </w:pPr>
    </w:p>
    <w:p w:rsidR="00736612" w:rsidRDefault="00736612" w:rsidP="002C4626">
      <w:pPr>
        <w:pStyle w:val="NICCYBodyText"/>
        <w:rPr>
          <w:lang w:val="en-US"/>
        </w:rPr>
      </w:pPr>
      <w:r w:rsidRPr="007B5E33">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The Independent Reviewers conducting Serious Case Reviews commissioned by the Strategic</w:t>
      </w:r>
      <w:r w:rsidR="00144156">
        <w:rPr>
          <w:lang w:val="en-US"/>
        </w:rPr>
        <w:t xml:space="preserve"> </w:t>
      </w:r>
      <w:r>
        <w:rPr>
          <w:lang w:val="en-US"/>
        </w:rPr>
        <w:t>Management Board responsible for oversight of Public Protection Arrangements Northern Ireland did</w:t>
      </w:r>
      <w:r w:rsidR="00144156">
        <w:rPr>
          <w:lang w:val="en-US"/>
        </w:rPr>
        <w:t xml:space="preserve"> </w:t>
      </w:r>
      <w:r>
        <w:rPr>
          <w:lang w:val="en-US"/>
        </w:rPr>
        <w:t>not identify any failings in the management of the cases which could have prevented re-offending.</w:t>
      </w:r>
    </w:p>
    <w:p w:rsidR="00736612" w:rsidRDefault="00736612" w:rsidP="00736612">
      <w:pPr>
        <w:pStyle w:val="NICCYBodyText"/>
        <w:rPr>
          <w:rFonts w:ascii="ITCFranklinGothicBook" w:hAnsi="ITCFranklinGothicBook" w:cs="ITCFranklinGothicBook"/>
          <w:lang w:val="en-US"/>
        </w:rPr>
      </w:pPr>
    </w:p>
    <w:p w:rsidR="00736612" w:rsidRDefault="00736612" w:rsidP="00736612">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p w:rsidR="00736612" w:rsidRDefault="00736612" w:rsidP="00F875F8">
      <w:pPr>
        <w:pStyle w:val="NICCYHeading"/>
      </w:pPr>
    </w:p>
    <w:sectPr w:rsidR="00736612" w:rsidSect="00144156">
      <w:headerReference w:type="default" r:id="rId12"/>
      <w:footerReference w:type="even" r:id="rId13"/>
      <w:footerReference w:type="default" r:id="rId14"/>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E33" w:rsidRDefault="007B5E33" w:rsidP="00CC53D4">
      <w:r>
        <w:separator/>
      </w:r>
    </w:p>
  </w:endnote>
  <w:endnote w:type="continuationSeparator" w:id="0">
    <w:p w:rsidR="007B5E33" w:rsidRDefault="007B5E33"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E33" w:rsidRDefault="007B5E33"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B5E33" w:rsidRDefault="007B5E33"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E33" w:rsidRPr="00D81956" w:rsidRDefault="007B5E33"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144156">
      <w:rPr>
        <w:rStyle w:val="PageNumber"/>
        <w:rFonts w:ascii="Arial" w:hAnsi="Arial" w:cs="Arial"/>
        <w:noProof/>
        <w:sz w:val="16"/>
        <w:szCs w:val="16"/>
      </w:rPr>
      <w:t>1</w:t>
    </w:r>
    <w:r w:rsidRPr="00D81956">
      <w:rPr>
        <w:rStyle w:val="PageNumber"/>
        <w:rFonts w:ascii="Arial" w:hAnsi="Arial" w:cs="Arial"/>
        <w:sz w:val="16"/>
        <w:szCs w:val="16"/>
      </w:rPr>
      <w:fldChar w:fldCharType="end"/>
    </w:r>
  </w:p>
  <w:p w:rsidR="007B5E33" w:rsidRPr="00D81956" w:rsidRDefault="007B5E33"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7B5E33" w:rsidRDefault="007B5E33"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7B5E33" w:rsidRDefault="007B5E33"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7B5E33" w:rsidRDefault="007B5E33"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7B5E33" w:rsidRDefault="007B5E33"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7B5E33" w:rsidRDefault="007B5E33"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E33" w:rsidRDefault="007B5E33" w:rsidP="00CC53D4">
      <w:r>
        <w:separator/>
      </w:r>
    </w:p>
  </w:footnote>
  <w:footnote w:type="continuationSeparator" w:id="0">
    <w:p w:rsidR="007B5E33" w:rsidRDefault="007B5E33"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7B5E33" w:rsidTr="000D52AB">
      <w:tc>
        <w:tcPr>
          <w:tcW w:w="5027" w:type="dxa"/>
          <w:shd w:val="clear" w:color="auto" w:fill="auto"/>
        </w:tcPr>
        <w:p w:rsidR="007B5E33" w:rsidRDefault="007B5E33" w:rsidP="00CC53D4">
          <w:pPr>
            <w:pStyle w:val="CompanyName"/>
          </w:pPr>
        </w:p>
      </w:tc>
      <w:tc>
        <w:tcPr>
          <w:tcW w:w="4855" w:type="dxa"/>
          <w:shd w:val="clear" w:color="auto" w:fill="auto"/>
        </w:tcPr>
        <w:p w:rsidR="007B5E33" w:rsidRDefault="007B5E33" w:rsidP="00CC53D4">
          <w:pPr>
            <w:pStyle w:val="CompanyName"/>
          </w:pPr>
        </w:p>
      </w:tc>
    </w:tr>
  </w:tbl>
  <w:p w:rsidR="007B5E33" w:rsidRDefault="007B5E33"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0741"/>
    <w:rsid w:val="000211FE"/>
    <w:rsid w:val="000234A1"/>
    <w:rsid w:val="000444A3"/>
    <w:rsid w:val="00055EA0"/>
    <w:rsid w:val="00071D77"/>
    <w:rsid w:val="000738F5"/>
    <w:rsid w:val="000834FA"/>
    <w:rsid w:val="000837F5"/>
    <w:rsid w:val="00093189"/>
    <w:rsid w:val="000A35EF"/>
    <w:rsid w:val="000B7622"/>
    <w:rsid w:val="000D1CB1"/>
    <w:rsid w:val="000D2AEB"/>
    <w:rsid w:val="000D52AB"/>
    <w:rsid w:val="000E415A"/>
    <w:rsid w:val="000F1CDD"/>
    <w:rsid w:val="000F3A4A"/>
    <w:rsid w:val="000F7DDE"/>
    <w:rsid w:val="00110962"/>
    <w:rsid w:val="00115282"/>
    <w:rsid w:val="001324EB"/>
    <w:rsid w:val="00133E56"/>
    <w:rsid w:val="00135AEE"/>
    <w:rsid w:val="00136B0B"/>
    <w:rsid w:val="0014006E"/>
    <w:rsid w:val="00142718"/>
    <w:rsid w:val="00144156"/>
    <w:rsid w:val="00152D28"/>
    <w:rsid w:val="00157446"/>
    <w:rsid w:val="00162F1C"/>
    <w:rsid w:val="0017007C"/>
    <w:rsid w:val="0017312A"/>
    <w:rsid w:val="00176027"/>
    <w:rsid w:val="0018348D"/>
    <w:rsid w:val="0018790D"/>
    <w:rsid w:val="00190478"/>
    <w:rsid w:val="001911A0"/>
    <w:rsid w:val="001936E2"/>
    <w:rsid w:val="001B1E34"/>
    <w:rsid w:val="001B4509"/>
    <w:rsid w:val="001B6EC2"/>
    <w:rsid w:val="001C021B"/>
    <w:rsid w:val="001C07DB"/>
    <w:rsid w:val="001C3FD9"/>
    <w:rsid w:val="001E0551"/>
    <w:rsid w:val="002229F6"/>
    <w:rsid w:val="00222A16"/>
    <w:rsid w:val="00245FC8"/>
    <w:rsid w:val="00257738"/>
    <w:rsid w:val="002631A4"/>
    <w:rsid w:val="00266801"/>
    <w:rsid w:val="002721BD"/>
    <w:rsid w:val="00280C3B"/>
    <w:rsid w:val="002962C1"/>
    <w:rsid w:val="002A3F21"/>
    <w:rsid w:val="002B54AF"/>
    <w:rsid w:val="002C4626"/>
    <w:rsid w:val="002D63CA"/>
    <w:rsid w:val="002E017D"/>
    <w:rsid w:val="002E1D4A"/>
    <w:rsid w:val="002F37EE"/>
    <w:rsid w:val="00311BBE"/>
    <w:rsid w:val="0031506E"/>
    <w:rsid w:val="00317ED8"/>
    <w:rsid w:val="003201AE"/>
    <w:rsid w:val="0032022E"/>
    <w:rsid w:val="003313EA"/>
    <w:rsid w:val="00342A06"/>
    <w:rsid w:val="00346313"/>
    <w:rsid w:val="003505C8"/>
    <w:rsid w:val="003715DF"/>
    <w:rsid w:val="00392605"/>
    <w:rsid w:val="00394F1A"/>
    <w:rsid w:val="003A1BB8"/>
    <w:rsid w:val="003B0C0B"/>
    <w:rsid w:val="003E6232"/>
    <w:rsid w:val="003E67E9"/>
    <w:rsid w:val="003F5501"/>
    <w:rsid w:val="004064D7"/>
    <w:rsid w:val="00414AF9"/>
    <w:rsid w:val="00432B30"/>
    <w:rsid w:val="00434D7C"/>
    <w:rsid w:val="00451456"/>
    <w:rsid w:val="00454EA3"/>
    <w:rsid w:val="0046603E"/>
    <w:rsid w:val="00474AFE"/>
    <w:rsid w:val="004774F9"/>
    <w:rsid w:val="00483941"/>
    <w:rsid w:val="00490ABC"/>
    <w:rsid w:val="00494024"/>
    <w:rsid w:val="00497479"/>
    <w:rsid w:val="0049756B"/>
    <w:rsid w:val="004C026E"/>
    <w:rsid w:val="004C4E64"/>
    <w:rsid w:val="004E47E2"/>
    <w:rsid w:val="004F785C"/>
    <w:rsid w:val="0050043B"/>
    <w:rsid w:val="00502CBF"/>
    <w:rsid w:val="00516B9E"/>
    <w:rsid w:val="0052135F"/>
    <w:rsid w:val="0053253A"/>
    <w:rsid w:val="00534C9C"/>
    <w:rsid w:val="00534EB5"/>
    <w:rsid w:val="00541146"/>
    <w:rsid w:val="00542EC1"/>
    <w:rsid w:val="00546DA4"/>
    <w:rsid w:val="005525FB"/>
    <w:rsid w:val="00560EC9"/>
    <w:rsid w:val="005730D0"/>
    <w:rsid w:val="005776FA"/>
    <w:rsid w:val="00581031"/>
    <w:rsid w:val="00582988"/>
    <w:rsid w:val="0058693C"/>
    <w:rsid w:val="00594766"/>
    <w:rsid w:val="005A0429"/>
    <w:rsid w:val="005A3E39"/>
    <w:rsid w:val="005C465F"/>
    <w:rsid w:val="005C4D0D"/>
    <w:rsid w:val="005E6076"/>
    <w:rsid w:val="005F4C21"/>
    <w:rsid w:val="005F5FAB"/>
    <w:rsid w:val="006013F5"/>
    <w:rsid w:val="006240F5"/>
    <w:rsid w:val="0062524B"/>
    <w:rsid w:val="00635A59"/>
    <w:rsid w:val="006373CF"/>
    <w:rsid w:val="006460E2"/>
    <w:rsid w:val="00654528"/>
    <w:rsid w:val="00655558"/>
    <w:rsid w:val="006608EA"/>
    <w:rsid w:val="006701B4"/>
    <w:rsid w:val="00671F7C"/>
    <w:rsid w:val="006754C4"/>
    <w:rsid w:val="00676A55"/>
    <w:rsid w:val="006830EB"/>
    <w:rsid w:val="00686E42"/>
    <w:rsid w:val="006A5470"/>
    <w:rsid w:val="006B33DC"/>
    <w:rsid w:val="006B7F4A"/>
    <w:rsid w:val="006C16B2"/>
    <w:rsid w:val="006E5A88"/>
    <w:rsid w:val="006F3562"/>
    <w:rsid w:val="006F3A42"/>
    <w:rsid w:val="006F3F8A"/>
    <w:rsid w:val="006F5620"/>
    <w:rsid w:val="006F6F73"/>
    <w:rsid w:val="0070315A"/>
    <w:rsid w:val="007035A8"/>
    <w:rsid w:val="0070635F"/>
    <w:rsid w:val="0070725E"/>
    <w:rsid w:val="00712D51"/>
    <w:rsid w:val="007138CC"/>
    <w:rsid w:val="00727D62"/>
    <w:rsid w:val="00736612"/>
    <w:rsid w:val="00744E52"/>
    <w:rsid w:val="00751ADC"/>
    <w:rsid w:val="007526F9"/>
    <w:rsid w:val="00752EBD"/>
    <w:rsid w:val="0076185E"/>
    <w:rsid w:val="00764644"/>
    <w:rsid w:val="00773FE9"/>
    <w:rsid w:val="00774E6A"/>
    <w:rsid w:val="00775C69"/>
    <w:rsid w:val="007764FD"/>
    <w:rsid w:val="007902A6"/>
    <w:rsid w:val="007910C9"/>
    <w:rsid w:val="007915E7"/>
    <w:rsid w:val="007954C5"/>
    <w:rsid w:val="007A5E2D"/>
    <w:rsid w:val="007B2173"/>
    <w:rsid w:val="007B5E33"/>
    <w:rsid w:val="007B6113"/>
    <w:rsid w:val="007C183C"/>
    <w:rsid w:val="007D1642"/>
    <w:rsid w:val="008131FD"/>
    <w:rsid w:val="00815A2F"/>
    <w:rsid w:val="00831BDB"/>
    <w:rsid w:val="008578C9"/>
    <w:rsid w:val="008654D4"/>
    <w:rsid w:val="00873EBD"/>
    <w:rsid w:val="00874143"/>
    <w:rsid w:val="008822D4"/>
    <w:rsid w:val="008860ED"/>
    <w:rsid w:val="00894865"/>
    <w:rsid w:val="008A31A5"/>
    <w:rsid w:val="008A32FE"/>
    <w:rsid w:val="008B4F31"/>
    <w:rsid w:val="008D31BB"/>
    <w:rsid w:val="008D406D"/>
    <w:rsid w:val="008E3945"/>
    <w:rsid w:val="008F3863"/>
    <w:rsid w:val="008F4BE3"/>
    <w:rsid w:val="009108C4"/>
    <w:rsid w:val="00913158"/>
    <w:rsid w:val="00922E3B"/>
    <w:rsid w:val="00922EB4"/>
    <w:rsid w:val="0094155F"/>
    <w:rsid w:val="00951984"/>
    <w:rsid w:val="00955B1B"/>
    <w:rsid w:val="009560AE"/>
    <w:rsid w:val="009675A2"/>
    <w:rsid w:val="00971DFA"/>
    <w:rsid w:val="00976C7A"/>
    <w:rsid w:val="00977BED"/>
    <w:rsid w:val="00997DF0"/>
    <w:rsid w:val="009A5DED"/>
    <w:rsid w:val="009B022D"/>
    <w:rsid w:val="009B121E"/>
    <w:rsid w:val="009B1AF6"/>
    <w:rsid w:val="009C3AA7"/>
    <w:rsid w:val="009D134E"/>
    <w:rsid w:val="009D179C"/>
    <w:rsid w:val="009D7DCD"/>
    <w:rsid w:val="009E1CCE"/>
    <w:rsid w:val="009E6D40"/>
    <w:rsid w:val="009F45B4"/>
    <w:rsid w:val="00A03AF5"/>
    <w:rsid w:val="00A17E57"/>
    <w:rsid w:val="00A206DA"/>
    <w:rsid w:val="00A468ED"/>
    <w:rsid w:val="00A57C15"/>
    <w:rsid w:val="00A66FCA"/>
    <w:rsid w:val="00A70F96"/>
    <w:rsid w:val="00A71735"/>
    <w:rsid w:val="00A80E8D"/>
    <w:rsid w:val="00A840D8"/>
    <w:rsid w:val="00A870AC"/>
    <w:rsid w:val="00A92D13"/>
    <w:rsid w:val="00A971BA"/>
    <w:rsid w:val="00AA15B0"/>
    <w:rsid w:val="00AA2943"/>
    <w:rsid w:val="00AC7EF9"/>
    <w:rsid w:val="00AD4064"/>
    <w:rsid w:val="00AD6E4D"/>
    <w:rsid w:val="00B04461"/>
    <w:rsid w:val="00B13ED0"/>
    <w:rsid w:val="00B23B32"/>
    <w:rsid w:val="00B356B1"/>
    <w:rsid w:val="00B37997"/>
    <w:rsid w:val="00B51076"/>
    <w:rsid w:val="00B5127A"/>
    <w:rsid w:val="00B5656D"/>
    <w:rsid w:val="00B56BE8"/>
    <w:rsid w:val="00B63A85"/>
    <w:rsid w:val="00B906EB"/>
    <w:rsid w:val="00B935F3"/>
    <w:rsid w:val="00BA0F69"/>
    <w:rsid w:val="00BA2319"/>
    <w:rsid w:val="00BA23C1"/>
    <w:rsid w:val="00BB3142"/>
    <w:rsid w:val="00BB603F"/>
    <w:rsid w:val="00BD589F"/>
    <w:rsid w:val="00BE13B4"/>
    <w:rsid w:val="00BF5014"/>
    <w:rsid w:val="00C0081D"/>
    <w:rsid w:val="00C06BD6"/>
    <w:rsid w:val="00C10EA2"/>
    <w:rsid w:val="00C24F32"/>
    <w:rsid w:val="00C31FED"/>
    <w:rsid w:val="00C434B2"/>
    <w:rsid w:val="00C61EEA"/>
    <w:rsid w:val="00C637A4"/>
    <w:rsid w:val="00C714F2"/>
    <w:rsid w:val="00C749C1"/>
    <w:rsid w:val="00C852E2"/>
    <w:rsid w:val="00C8585F"/>
    <w:rsid w:val="00CA27CA"/>
    <w:rsid w:val="00CB439A"/>
    <w:rsid w:val="00CB450B"/>
    <w:rsid w:val="00CC2DCC"/>
    <w:rsid w:val="00CC488F"/>
    <w:rsid w:val="00CC4EEF"/>
    <w:rsid w:val="00CC53D4"/>
    <w:rsid w:val="00CC7A32"/>
    <w:rsid w:val="00CD26FC"/>
    <w:rsid w:val="00CE29B6"/>
    <w:rsid w:val="00CF0D19"/>
    <w:rsid w:val="00CF702F"/>
    <w:rsid w:val="00D13D8B"/>
    <w:rsid w:val="00D206EE"/>
    <w:rsid w:val="00D26C7C"/>
    <w:rsid w:val="00D26EFB"/>
    <w:rsid w:val="00D33C37"/>
    <w:rsid w:val="00D366DD"/>
    <w:rsid w:val="00D5205A"/>
    <w:rsid w:val="00D531C5"/>
    <w:rsid w:val="00D63B63"/>
    <w:rsid w:val="00D65745"/>
    <w:rsid w:val="00D66149"/>
    <w:rsid w:val="00D72A9F"/>
    <w:rsid w:val="00D81956"/>
    <w:rsid w:val="00D83956"/>
    <w:rsid w:val="00D94E0A"/>
    <w:rsid w:val="00DA39F1"/>
    <w:rsid w:val="00DB2968"/>
    <w:rsid w:val="00DB7E5C"/>
    <w:rsid w:val="00DC2FE2"/>
    <w:rsid w:val="00DC417B"/>
    <w:rsid w:val="00DC69F8"/>
    <w:rsid w:val="00DD3409"/>
    <w:rsid w:val="00DD4FEF"/>
    <w:rsid w:val="00E03CDC"/>
    <w:rsid w:val="00E16583"/>
    <w:rsid w:val="00E25DC8"/>
    <w:rsid w:val="00E347A1"/>
    <w:rsid w:val="00E41050"/>
    <w:rsid w:val="00E440B3"/>
    <w:rsid w:val="00E44493"/>
    <w:rsid w:val="00E531E2"/>
    <w:rsid w:val="00E62C60"/>
    <w:rsid w:val="00E65508"/>
    <w:rsid w:val="00E84839"/>
    <w:rsid w:val="00E84CEC"/>
    <w:rsid w:val="00E85371"/>
    <w:rsid w:val="00E921A4"/>
    <w:rsid w:val="00EA058E"/>
    <w:rsid w:val="00EA55B7"/>
    <w:rsid w:val="00EB7847"/>
    <w:rsid w:val="00ED0BC6"/>
    <w:rsid w:val="00EE20AD"/>
    <w:rsid w:val="00EE7908"/>
    <w:rsid w:val="00EF62E7"/>
    <w:rsid w:val="00F043D3"/>
    <w:rsid w:val="00F231CF"/>
    <w:rsid w:val="00F255DF"/>
    <w:rsid w:val="00F2595C"/>
    <w:rsid w:val="00F3229A"/>
    <w:rsid w:val="00F3674D"/>
    <w:rsid w:val="00F44595"/>
    <w:rsid w:val="00F6320A"/>
    <w:rsid w:val="00F81B86"/>
    <w:rsid w:val="00F875F8"/>
    <w:rsid w:val="00F90386"/>
    <w:rsid w:val="00FA1731"/>
    <w:rsid w:val="00FC3476"/>
    <w:rsid w:val="00FE2FBC"/>
    <w:rsid w:val="00FE575F"/>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DEE88-2CF4-4CBF-8904-C6F9CD28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Joanne.Allen</cp:lastModifiedBy>
  <cp:revision>5</cp:revision>
  <cp:lastPrinted>2013-09-30T10:53:00Z</cp:lastPrinted>
  <dcterms:created xsi:type="dcterms:W3CDTF">2014-07-28T11:33:00Z</dcterms:created>
  <dcterms:modified xsi:type="dcterms:W3CDTF">2014-07-28T13:36:00Z</dcterms:modified>
</cp:coreProperties>
</file>