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ACB" w:rsidRPr="00872FD4" w:rsidRDefault="00271ACB" w:rsidP="00E71E05">
      <w:pPr>
        <w:pStyle w:val="NICCYSubTitle"/>
        <w:spacing w:line="240" w:lineRule="auto"/>
        <w:jc w:val="center"/>
        <w:rPr>
          <w:sz w:val="32"/>
          <w:szCs w:val="32"/>
        </w:rPr>
      </w:pPr>
      <w:r w:rsidRPr="00872FD4">
        <w:rPr>
          <w:sz w:val="32"/>
          <w:szCs w:val="32"/>
        </w:rPr>
        <w:t>Comments on the Revision of General Comment No 10 (2007) – Children’s Rights in Juvenile Justice</w:t>
      </w:r>
    </w:p>
    <w:p w:rsidR="00271ACB" w:rsidRPr="00872FD4" w:rsidRDefault="00271ACB" w:rsidP="0039197B">
      <w:pPr>
        <w:pStyle w:val="NICCYBodyText"/>
        <w:spacing w:line="240" w:lineRule="auto"/>
        <w:jc w:val="both"/>
        <w:rPr>
          <w:color w:val="auto"/>
        </w:rPr>
      </w:pPr>
    </w:p>
    <w:p w:rsidR="00271ACB" w:rsidRPr="00872FD4" w:rsidRDefault="00271ACB" w:rsidP="0039197B">
      <w:pPr>
        <w:pStyle w:val="NICCYBodyText"/>
        <w:spacing w:line="240" w:lineRule="auto"/>
        <w:jc w:val="both"/>
        <w:rPr>
          <w:color w:val="404040" w:themeColor="text1" w:themeTint="BF"/>
        </w:rPr>
      </w:pPr>
      <w:r w:rsidRPr="00872FD4">
        <w:rPr>
          <w:color w:val="404040" w:themeColor="text1" w:themeTint="BF"/>
        </w:rPr>
        <w:t xml:space="preserve">The Commissioner for Children and Young People (NICCY) was created in accordance with ‘The Commissioner for Children and Young People (Northern Ireland) Order’ (2003) to safeguard and promote the rights and best interests of children and young people in Northern Ireland.  </w:t>
      </w:r>
      <w:r w:rsidRPr="00872FD4">
        <w:rPr>
          <w:color w:val="404040" w:themeColor="text1" w:themeTint="BF"/>
          <w:shd w:val="clear" w:color="auto" w:fill="FFFFFF"/>
        </w:rPr>
        <w:t xml:space="preserve">NICCY has a statutory duty to advise any relevant authority on matters concerning the rights or best interests of children and young persons. </w:t>
      </w:r>
      <w:r w:rsidRPr="00872FD4">
        <w:rPr>
          <w:color w:val="404040" w:themeColor="text1" w:themeTint="BF"/>
        </w:rPr>
        <w:t xml:space="preserve">In carrying out her functions, the Commissioner’s paramount consideration </w:t>
      </w:r>
      <w:r w:rsidRPr="00872FD4">
        <w:rPr>
          <w:rStyle w:val="legds"/>
          <w:color w:val="404040" w:themeColor="text1" w:themeTint="BF"/>
        </w:rPr>
        <w:t xml:space="preserve">is the rights of the child or young person, having particular regard to their wishes and feelings. In exercising her functions, the Commissioner has regard to all relevant provisions of </w:t>
      </w:r>
      <w:r w:rsidRPr="00872FD4">
        <w:rPr>
          <w:color w:val="404040" w:themeColor="text1" w:themeTint="BF"/>
        </w:rPr>
        <w:t xml:space="preserve">the United Nations Convention on the Rights of the Child (UNCRC).  </w:t>
      </w:r>
    </w:p>
    <w:p w:rsidR="00E71E05" w:rsidRDefault="00E71E05" w:rsidP="0039197B">
      <w:pPr>
        <w:pStyle w:val="NICCYBodyText"/>
        <w:spacing w:line="240" w:lineRule="auto"/>
        <w:jc w:val="both"/>
        <w:rPr>
          <w:b/>
          <w:color w:val="FF0000"/>
        </w:rPr>
      </w:pPr>
    </w:p>
    <w:p w:rsidR="002548D7" w:rsidRPr="00872FD4" w:rsidRDefault="002548D7" w:rsidP="0039197B">
      <w:pPr>
        <w:pStyle w:val="NICCYBodyText"/>
        <w:spacing w:line="240" w:lineRule="auto"/>
        <w:jc w:val="both"/>
        <w:rPr>
          <w:b/>
          <w:color w:val="FF0000"/>
        </w:rPr>
      </w:pPr>
      <w:r w:rsidRPr="00872FD4">
        <w:rPr>
          <w:b/>
          <w:color w:val="FF0000"/>
        </w:rPr>
        <w:t>N</w:t>
      </w:r>
      <w:r w:rsidR="00036CFC">
        <w:rPr>
          <w:b/>
          <w:color w:val="FF0000"/>
        </w:rPr>
        <w:t xml:space="preserve">orthern </w:t>
      </w:r>
      <w:r w:rsidRPr="00872FD4">
        <w:rPr>
          <w:b/>
          <w:color w:val="FF0000"/>
        </w:rPr>
        <w:t>I</w:t>
      </w:r>
      <w:r w:rsidR="00036CFC">
        <w:rPr>
          <w:b/>
          <w:color w:val="FF0000"/>
        </w:rPr>
        <w:t>reland</w:t>
      </w:r>
      <w:r w:rsidRPr="00872FD4">
        <w:rPr>
          <w:b/>
          <w:color w:val="FF0000"/>
        </w:rPr>
        <w:t xml:space="preserve"> Youth Justice System </w:t>
      </w:r>
    </w:p>
    <w:p w:rsidR="00271ACB" w:rsidRPr="00872FD4" w:rsidRDefault="00271ACB" w:rsidP="0039197B">
      <w:pPr>
        <w:pStyle w:val="NICCYBodyText"/>
        <w:spacing w:line="240" w:lineRule="auto"/>
        <w:jc w:val="both"/>
      </w:pPr>
      <w:r w:rsidRPr="00872FD4">
        <w:t xml:space="preserve">The NI Youth Justice System does recognise that children have a different status than that of adults and therefore has separate processes and policies for children and young people and indeed </w:t>
      </w:r>
      <w:r w:rsidR="00653BA1">
        <w:t>considers</w:t>
      </w:r>
      <w:r w:rsidRPr="00872FD4">
        <w:t xml:space="preserve"> diversion and early intervention </w:t>
      </w:r>
      <w:r w:rsidR="00653BA1">
        <w:t>to be key aspects of its work</w:t>
      </w:r>
      <w:r w:rsidRPr="00872FD4">
        <w:t xml:space="preserve">.  There have been significant and positive developments in the youth justice system in </w:t>
      </w:r>
      <w:r w:rsidR="00036CFC" w:rsidRPr="00872FD4">
        <w:t>N</w:t>
      </w:r>
      <w:r w:rsidR="00036CFC">
        <w:t xml:space="preserve">orthern </w:t>
      </w:r>
      <w:r w:rsidR="00036CFC" w:rsidRPr="00872FD4">
        <w:t>I</w:t>
      </w:r>
      <w:r w:rsidR="00036CFC">
        <w:t>reland</w:t>
      </w:r>
      <w:r w:rsidR="00036CFC" w:rsidRPr="00872FD4">
        <w:t xml:space="preserve"> </w:t>
      </w:r>
      <w:r w:rsidRPr="00872FD4">
        <w:t xml:space="preserve">since 1998.  </w:t>
      </w:r>
    </w:p>
    <w:p w:rsidR="00271ACB" w:rsidRPr="00872FD4" w:rsidRDefault="00271ACB" w:rsidP="0039197B">
      <w:pPr>
        <w:pStyle w:val="NICCYBodyText"/>
        <w:spacing w:line="240" w:lineRule="auto"/>
        <w:jc w:val="both"/>
      </w:pPr>
    </w:p>
    <w:p w:rsidR="00271ACB" w:rsidRPr="00872FD4" w:rsidRDefault="00271ACB" w:rsidP="0039197B">
      <w:pPr>
        <w:pStyle w:val="NICCYBodyText"/>
        <w:spacing w:line="240" w:lineRule="auto"/>
        <w:jc w:val="both"/>
      </w:pPr>
      <w:r w:rsidRPr="00872FD4">
        <w:t xml:space="preserve">Following the devolution of Justice to the </w:t>
      </w:r>
      <w:r w:rsidR="003006F1">
        <w:t xml:space="preserve">NI </w:t>
      </w:r>
      <w:r w:rsidRPr="00872FD4">
        <w:t>Assembly the Minister for Justice launched the independent “Review of the Youth Justice System in NI”</w:t>
      </w:r>
      <w:r w:rsidR="0039197B">
        <w:t xml:space="preserve"> (YJR)</w:t>
      </w:r>
      <w:r w:rsidRPr="00872FD4">
        <w:rPr>
          <w:rStyle w:val="FootnoteReference"/>
        </w:rPr>
        <w:footnoteReference w:id="1"/>
      </w:r>
      <w:r w:rsidR="00653BA1">
        <w:t xml:space="preserve"> </w:t>
      </w:r>
      <w:r w:rsidRPr="00872FD4">
        <w:t>which was required to take in</w:t>
      </w:r>
      <w:r w:rsidR="00653BA1">
        <w:t>to</w:t>
      </w:r>
      <w:r w:rsidRPr="00872FD4">
        <w:t xml:space="preserve"> account international standards including the UNCRC.  The review published its report and made 31 recommendations in September 2011, 29 of which were fully accepted.  The most significant recommendations included raising the age of criminal responsibility (29), </w:t>
      </w:r>
      <w:r w:rsidR="002E2A4D" w:rsidRPr="00872FD4">
        <w:t>the introduction of</w:t>
      </w:r>
      <w:r w:rsidRPr="00872FD4">
        <w:t xml:space="preserve"> the best interest principle in YJ legislation (28), reduce number of non-sentenced young people in custody (8, 9, 18),ensure equity between looked after and non-looked after children when entering custody (19), reduce delay and introduce statutory time limit for disposal of cases (14, 15), no children to be accommodated in </w:t>
      </w:r>
      <w:r w:rsidR="00036CFC">
        <w:t>Young Offenders Centre (</w:t>
      </w:r>
      <w:r w:rsidRPr="00872FD4">
        <w:t>YOC</w:t>
      </w:r>
      <w:r w:rsidR="00036CFC">
        <w:t>)</w:t>
      </w:r>
      <w:r w:rsidRPr="00872FD4">
        <w:t xml:space="preserve"> (16) and better collaboration within the criminal justice system and across statutory agencies (22 – 25). </w:t>
      </w:r>
    </w:p>
    <w:p w:rsidR="0039197B" w:rsidRDefault="0039197B" w:rsidP="0039197B">
      <w:pPr>
        <w:pStyle w:val="NICCYBodyText"/>
        <w:spacing w:line="240" w:lineRule="auto"/>
        <w:jc w:val="both"/>
        <w:rPr>
          <w:rFonts w:eastAsiaTheme="minorHAnsi"/>
        </w:rPr>
      </w:pPr>
    </w:p>
    <w:p w:rsidR="00271ACB" w:rsidRDefault="00271ACB" w:rsidP="0039197B">
      <w:pPr>
        <w:pStyle w:val="NICCYBodyText"/>
        <w:spacing w:line="240" w:lineRule="auto"/>
        <w:jc w:val="both"/>
        <w:rPr>
          <w:rFonts w:eastAsiaTheme="minorHAnsi"/>
        </w:rPr>
      </w:pPr>
      <w:r w:rsidRPr="00872FD4">
        <w:rPr>
          <w:rFonts w:eastAsiaTheme="minorHAnsi"/>
        </w:rPr>
        <w:t xml:space="preserve">Regrettably the work on the YJR had not been completed and this was confirmed in </w:t>
      </w:r>
      <w:r w:rsidRPr="00872FD4">
        <w:t xml:space="preserve">December 2015 by the Criminal Justice Inspector who formally assessed that </w:t>
      </w:r>
      <w:r w:rsidRPr="00872FD4">
        <w:rPr>
          <w:rFonts w:eastAsiaTheme="minorHAnsi"/>
        </w:rPr>
        <w:t>59% of accepted recommendations had been achieved at that time</w:t>
      </w:r>
      <w:r w:rsidR="002E2A4D" w:rsidRPr="00872FD4">
        <w:rPr>
          <w:rFonts w:eastAsiaTheme="minorHAnsi"/>
        </w:rPr>
        <w:t>.</w:t>
      </w:r>
      <w:r w:rsidR="002E2A4D" w:rsidRPr="00872FD4">
        <w:rPr>
          <w:rStyle w:val="FootnoteReference"/>
          <w:rFonts w:eastAsiaTheme="minorHAnsi"/>
        </w:rPr>
        <w:footnoteReference w:id="2"/>
      </w:r>
      <w:r w:rsidRPr="00872FD4">
        <w:rPr>
          <w:rFonts w:eastAsiaTheme="minorHAnsi"/>
        </w:rPr>
        <w:t xml:space="preserve">  Of the recommendations identified above only the best interests and no child accommodated in the YOC (although </w:t>
      </w:r>
      <w:r w:rsidR="009759E5">
        <w:rPr>
          <w:rFonts w:eastAsiaTheme="minorHAnsi"/>
        </w:rPr>
        <w:t>the necessary legislative changes have not occurred to ensure the protection of this arrangement</w:t>
      </w:r>
      <w:r w:rsidR="002E2A4D" w:rsidRPr="00872FD4">
        <w:rPr>
          <w:rFonts w:eastAsiaTheme="minorHAnsi"/>
        </w:rPr>
        <w:t xml:space="preserve">) have been achieved.  </w:t>
      </w:r>
    </w:p>
    <w:p w:rsidR="0039197B" w:rsidRPr="00872FD4" w:rsidRDefault="0039197B" w:rsidP="0039197B">
      <w:pPr>
        <w:pStyle w:val="NICCYBodyText"/>
        <w:spacing w:line="240" w:lineRule="auto"/>
        <w:jc w:val="both"/>
        <w:rPr>
          <w:rFonts w:eastAsiaTheme="minorHAnsi"/>
        </w:rPr>
      </w:pPr>
    </w:p>
    <w:p w:rsidR="00271ACB" w:rsidRPr="00872FD4" w:rsidRDefault="00271ACB" w:rsidP="0039197B">
      <w:pPr>
        <w:pStyle w:val="NICCYBodyText"/>
        <w:spacing w:line="240" w:lineRule="auto"/>
        <w:jc w:val="both"/>
      </w:pPr>
      <w:r w:rsidRPr="00872FD4">
        <w:rPr>
          <w:rFonts w:eastAsiaTheme="minorHAnsi"/>
        </w:rPr>
        <w:t>In June 2017, the Audit Office</w:t>
      </w:r>
      <w:r w:rsidR="00596BC2">
        <w:rPr>
          <w:rFonts w:eastAsiaTheme="minorHAnsi"/>
        </w:rPr>
        <w:t xml:space="preserve"> (NIAO)</w:t>
      </w:r>
      <w:r w:rsidRPr="00872FD4">
        <w:rPr>
          <w:rFonts w:eastAsiaTheme="minorHAnsi"/>
        </w:rPr>
        <w:t xml:space="preserve"> published “Managing Children who Offend”</w:t>
      </w:r>
      <w:r w:rsidR="009759E5">
        <w:rPr>
          <w:rStyle w:val="FootnoteReference"/>
          <w:rFonts w:eastAsiaTheme="minorHAnsi"/>
        </w:rPr>
        <w:footnoteReference w:id="3"/>
      </w:r>
      <w:r w:rsidRPr="00872FD4">
        <w:rPr>
          <w:rFonts w:eastAsiaTheme="minorHAnsi"/>
        </w:rPr>
        <w:t xml:space="preserve"> which examined the </w:t>
      </w:r>
      <w:r w:rsidR="002E2A4D" w:rsidRPr="00872FD4">
        <w:rPr>
          <w:rFonts w:eastAsiaTheme="minorHAnsi"/>
        </w:rPr>
        <w:t>efficiency of</w:t>
      </w:r>
      <w:r w:rsidRPr="00872FD4">
        <w:rPr>
          <w:rFonts w:eastAsiaTheme="minorHAnsi"/>
        </w:rPr>
        <w:t xml:space="preserve"> s</w:t>
      </w:r>
      <w:r w:rsidR="002E2A4D" w:rsidRPr="00872FD4">
        <w:rPr>
          <w:rFonts w:eastAsiaTheme="minorHAnsi"/>
        </w:rPr>
        <w:t>trategies and interventions</w:t>
      </w:r>
      <w:r w:rsidRPr="00872FD4">
        <w:rPr>
          <w:rFonts w:eastAsiaTheme="minorHAnsi"/>
        </w:rPr>
        <w:t xml:space="preserve"> to address offending by children</w:t>
      </w:r>
      <w:r w:rsidR="002E2A4D" w:rsidRPr="00872FD4">
        <w:rPr>
          <w:rFonts w:eastAsiaTheme="minorHAnsi"/>
        </w:rPr>
        <w:t xml:space="preserve"> undertaken by the Youth Justice Agency</w:t>
      </w:r>
      <w:r w:rsidR="009759E5">
        <w:rPr>
          <w:rFonts w:eastAsiaTheme="minorHAnsi"/>
        </w:rPr>
        <w:t xml:space="preserve"> (YJA)</w:t>
      </w:r>
      <w:r w:rsidRPr="00872FD4">
        <w:rPr>
          <w:rFonts w:eastAsiaTheme="minorHAnsi"/>
        </w:rPr>
        <w:t xml:space="preserve">.  </w:t>
      </w:r>
      <w:r w:rsidRPr="00872FD4">
        <w:t xml:space="preserve">Crucially the report found that the YJA </w:t>
      </w:r>
      <w:bookmarkStart w:id="0" w:name="_GoBack"/>
      <w:bookmarkEnd w:id="0"/>
      <w:r w:rsidRPr="00872FD4">
        <w:lastRenderedPageBreak/>
        <w:t>could not</w:t>
      </w:r>
      <w:r w:rsidR="009759E5">
        <w:t>,</w:t>
      </w:r>
      <w:r w:rsidRPr="00872FD4">
        <w:t xml:space="preserve"> “assess their cost-effectiveness and cannot currently demonstrate that the interventions to reduce offending by young people represent value for money</w:t>
      </w:r>
      <w:r w:rsidR="009759E5">
        <w:t>.</w:t>
      </w:r>
      <w:r w:rsidRPr="00872FD4">
        <w:t>”</w:t>
      </w:r>
      <w:r w:rsidRPr="00872FD4">
        <w:rPr>
          <w:rStyle w:val="FootnoteReference"/>
        </w:rPr>
        <w:footnoteReference w:id="4"/>
      </w:r>
    </w:p>
    <w:p w:rsidR="00E71E05" w:rsidRDefault="00E71E05" w:rsidP="0039197B">
      <w:pPr>
        <w:pStyle w:val="NICCYBodyText"/>
        <w:spacing w:line="240" w:lineRule="auto"/>
        <w:jc w:val="both"/>
        <w:rPr>
          <w:b/>
          <w:color w:val="FF0000"/>
        </w:rPr>
      </w:pPr>
    </w:p>
    <w:p w:rsidR="002548D7" w:rsidRPr="00872FD4" w:rsidRDefault="002548D7" w:rsidP="0039197B">
      <w:pPr>
        <w:pStyle w:val="NICCYBodyText"/>
        <w:spacing w:line="240" w:lineRule="auto"/>
        <w:jc w:val="both"/>
        <w:rPr>
          <w:b/>
          <w:color w:val="FF0000"/>
        </w:rPr>
      </w:pPr>
      <w:r w:rsidRPr="00872FD4">
        <w:rPr>
          <w:b/>
          <w:color w:val="FF0000"/>
        </w:rPr>
        <w:t>Minimum Age of Criminal Responsibility</w:t>
      </w:r>
    </w:p>
    <w:p w:rsidR="002548D7" w:rsidRPr="00872FD4" w:rsidRDefault="002548D7" w:rsidP="00080E86">
      <w:pPr>
        <w:pStyle w:val="SingleTxtG"/>
        <w:spacing w:after="0" w:line="240" w:lineRule="auto"/>
        <w:ind w:left="0" w:right="-46"/>
        <w:rPr>
          <w:rFonts w:ascii="Arial" w:eastAsiaTheme="minorEastAsia" w:hAnsi="Arial" w:cs="Arial"/>
          <w:color w:val="414042"/>
          <w:sz w:val="24"/>
          <w:szCs w:val="24"/>
        </w:rPr>
      </w:pPr>
      <w:r w:rsidRPr="00872FD4">
        <w:rPr>
          <w:rFonts w:ascii="Arial" w:eastAsiaTheme="minorEastAsia" w:hAnsi="Arial" w:cs="Arial"/>
          <w:color w:val="414042"/>
          <w:sz w:val="24"/>
          <w:szCs w:val="24"/>
        </w:rPr>
        <w:t xml:space="preserve">Through devolution in the United Kingdom, England and Wales, Northern Ireland and Scotland can set their own </w:t>
      </w:r>
      <w:r w:rsidR="00036CFC">
        <w:rPr>
          <w:rFonts w:ascii="Arial" w:eastAsiaTheme="minorEastAsia" w:hAnsi="Arial" w:cs="Arial"/>
          <w:color w:val="414042"/>
          <w:sz w:val="24"/>
          <w:szCs w:val="24"/>
        </w:rPr>
        <w:t xml:space="preserve">minimum </w:t>
      </w:r>
      <w:r w:rsidRPr="00872FD4">
        <w:rPr>
          <w:rFonts w:ascii="Arial" w:eastAsiaTheme="minorEastAsia" w:hAnsi="Arial" w:cs="Arial"/>
          <w:color w:val="414042"/>
          <w:sz w:val="24"/>
          <w:szCs w:val="24"/>
        </w:rPr>
        <w:t>age</w:t>
      </w:r>
      <w:r w:rsidR="00036CFC">
        <w:rPr>
          <w:rFonts w:ascii="Arial" w:eastAsiaTheme="minorEastAsia" w:hAnsi="Arial" w:cs="Arial"/>
          <w:color w:val="414042"/>
          <w:sz w:val="24"/>
          <w:szCs w:val="24"/>
        </w:rPr>
        <w:t xml:space="preserve"> of criminal responsibility (MACR)</w:t>
      </w:r>
      <w:r w:rsidRPr="00872FD4">
        <w:rPr>
          <w:rFonts w:ascii="Arial" w:eastAsiaTheme="minorEastAsia" w:hAnsi="Arial" w:cs="Arial"/>
          <w:color w:val="414042"/>
          <w:sz w:val="24"/>
          <w:szCs w:val="24"/>
        </w:rPr>
        <w:t>.  The age at which children can be held criminally responsible is 10 years in NI (as well as in England and Wales).  In 1998</w:t>
      </w:r>
      <w:r w:rsidR="002E2A4D" w:rsidRPr="00872FD4">
        <w:rPr>
          <w:rFonts w:ascii="Arial" w:eastAsiaTheme="minorEastAsia" w:hAnsi="Arial" w:cs="Arial"/>
          <w:color w:val="414042"/>
          <w:sz w:val="24"/>
          <w:szCs w:val="24"/>
        </w:rPr>
        <w:t>,</w:t>
      </w:r>
      <w:r w:rsidRPr="00872FD4">
        <w:rPr>
          <w:rFonts w:ascii="Arial" w:eastAsiaTheme="minorEastAsia" w:hAnsi="Arial" w:cs="Arial"/>
          <w:color w:val="414042"/>
          <w:sz w:val="24"/>
          <w:szCs w:val="24"/>
        </w:rPr>
        <w:t xml:space="preserve"> the Criminal Justice </w:t>
      </w:r>
      <w:r w:rsidR="002E2A4D" w:rsidRPr="00872FD4">
        <w:rPr>
          <w:rFonts w:ascii="Arial" w:eastAsiaTheme="minorEastAsia" w:hAnsi="Arial" w:cs="Arial"/>
          <w:color w:val="414042"/>
          <w:sz w:val="24"/>
          <w:szCs w:val="24"/>
        </w:rPr>
        <w:t>(</w:t>
      </w:r>
      <w:r w:rsidRPr="00872FD4">
        <w:rPr>
          <w:rFonts w:ascii="Arial" w:eastAsiaTheme="minorEastAsia" w:hAnsi="Arial" w:cs="Arial"/>
          <w:color w:val="414042"/>
          <w:sz w:val="24"/>
          <w:szCs w:val="24"/>
        </w:rPr>
        <w:t>Children</w:t>
      </w:r>
      <w:r w:rsidR="002E2A4D" w:rsidRPr="00872FD4">
        <w:rPr>
          <w:rFonts w:ascii="Arial" w:eastAsiaTheme="minorEastAsia" w:hAnsi="Arial" w:cs="Arial"/>
          <w:color w:val="414042"/>
          <w:sz w:val="24"/>
          <w:szCs w:val="24"/>
        </w:rPr>
        <w:t>)</w:t>
      </w:r>
      <w:r w:rsidRPr="00872FD4">
        <w:rPr>
          <w:rFonts w:ascii="Arial" w:eastAsiaTheme="minorEastAsia" w:hAnsi="Arial" w:cs="Arial"/>
          <w:color w:val="414042"/>
          <w:sz w:val="24"/>
          <w:szCs w:val="24"/>
        </w:rPr>
        <w:t xml:space="preserve"> </w:t>
      </w:r>
      <w:r w:rsidR="002E2A4D" w:rsidRPr="00872FD4">
        <w:rPr>
          <w:rFonts w:ascii="Arial" w:eastAsiaTheme="minorEastAsia" w:hAnsi="Arial" w:cs="Arial"/>
          <w:color w:val="414042"/>
          <w:sz w:val="24"/>
          <w:szCs w:val="24"/>
        </w:rPr>
        <w:t>(</w:t>
      </w:r>
      <w:r w:rsidRPr="00872FD4">
        <w:rPr>
          <w:rFonts w:ascii="Arial" w:eastAsiaTheme="minorEastAsia" w:hAnsi="Arial" w:cs="Arial"/>
          <w:color w:val="414042"/>
          <w:sz w:val="24"/>
          <w:szCs w:val="24"/>
        </w:rPr>
        <w:t>NI</w:t>
      </w:r>
      <w:r w:rsidR="002E2A4D" w:rsidRPr="00872FD4">
        <w:rPr>
          <w:rFonts w:ascii="Arial" w:eastAsiaTheme="minorEastAsia" w:hAnsi="Arial" w:cs="Arial"/>
          <w:color w:val="414042"/>
          <w:sz w:val="24"/>
          <w:szCs w:val="24"/>
        </w:rPr>
        <w:t>)</w:t>
      </w:r>
      <w:r w:rsidRPr="00872FD4">
        <w:rPr>
          <w:rFonts w:ascii="Arial" w:eastAsiaTheme="minorEastAsia" w:hAnsi="Arial" w:cs="Arial"/>
          <w:color w:val="414042"/>
          <w:sz w:val="24"/>
          <w:szCs w:val="24"/>
        </w:rPr>
        <w:t xml:space="preserve"> Order confirmed the age of 10 whilst removing doli incapax, which had allowed an assessment of maturity up to the age of 14.  </w:t>
      </w:r>
    </w:p>
    <w:p w:rsidR="00486A99" w:rsidRPr="00872FD4" w:rsidRDefault="00486A99" w:rsidP="0039197B">
      <w:pPr>
        <w:jc w:val="both"/>
        <w:rPr>
          <w:rFonts w:ascii="Arial" w:hAnsi="Arial" w:cs="Arial"/>
          <w:sz w:val="24"/>
          <w:szCs w:val="24"/>
        </w:rPr>
      </w:pPr>
    </w:p>
    <w:p w:rsidR="00AB1016" w:rsidRPr="00872FD4" w:rsidRDefault="00486A99" w:rsidP="0039197B">
      <w:pPr>
        <w:pStyle w:val="NICCYBodyText"/>
        <w:spacing w:line="240" w:lineRule="auto"/>
        <w:jc w:val="both"/>
      </w:pPr>
      <w:r w:rsidRPr="00872FD4">
        <w:rPr>
          <w:lang w:val="en-US"/>
        </w:rPr>
        <w:t>There was detailed examination of the MACR as part of</w:t>
      </w:r>
      <w:r w:rsidR="002E2A4D" w:rsidRPr="00872FD4">
        <w:rPr>
          <w:lang w:val="en-US"/>
        </w:rPr>
        <w:t xml:space="preserve"> both the Criminal Justice Review</w:t>
      </w:r>
      <w:r w:rsidR="002E2A4D" w:rsidRPr="00872FD4">
        <w:rPr>
          <w:rStyle w:val="FootnoteReference"/>
          <w:lang w:val="en-US"/>
        </w:rPr>
        <w:footnoteReference w:id="5"/>
      </w:r>
      <w:r w:rsidR="002E2A4D" w:rsidRPr="00872FD4">
        <w:rPr>
          <w:lang w:val="en-US"/>
        </w:rPr>
        <w:t xml:space="preserve"> in 1999 and again in the YJR.  I</w:t>
      </w:r>
      <w:r w:rsidRPr="00872FD4">
        <w:rPr>
          <w:lang w:val="en-US"/>
        </w:rPr>
        <w:t>n an attempt to comply</w:t>
      </w:r>
      <w:r w:rsidR="0039197B">
        <w:rPr>
          <w:lang w:val="en-US"/>
        </w:rPr>
        <w:t xml:space="preserve"> with </w:t>
      </w:r>
      <w:r w:rsidR="00036CFC">
        <w:rPr>
          <w:lang w:val="en-US"/>
        </w:rPr>
        <w:t xml:space="preserve">the Committee’s </w:t>
      </w:r>
      <w:r w:rsidR="002E2A4D" w:rsidRPr="00872FD4">
        <w:rPr>
          <w:lang w:val="en-US"/>
        </w:rPr>
        <w:t>General Comment</w:t>
      </w:r>
      <w:r w:rsidRPr="00872FD4">
        <w:rPr>
          <w:lang w:val="en-US"/>
        </w:rPr>
        <w:t xml:space="preserve"> 10 the </w:t>
      </w:r>
      <w:r w:rsidR="0039197B">
        <w:rPr>
          <w:lang w:val="en-US"/>
        </w:rPr>
        <w:t>YJR</w:t>
      </w:r>
      <w:r w:rsidRPr="00872FD4">
        <w:rPr>
          <w:lang w:val="en-US"/>
        </w:rPr>
        <w:t xml:space="preserve"> recommended that the MACR should be raised to 12 with immediate effect and then further consideration should be given to an increase to 14 within 3 years</w:t>
      </w:r>
      <w:r w:rsidRPr="00872FD4">
        <w:t>.</w:t>
      </w:r>
      <w:r w:rsidRPr="00872FD4">
        <w:rPr>
          <w:rStyle w:val="FootnoteReference"/>
        </w:rPr>
        <w:footnoteReference w:id="6"/>
      </w:r>
      <w:r w:rsidRPr="00872FD4">
        <w:t xml:space="preserve">  </w:t>
      </w:r>
      <w:r w:rsidR="00AB1016" w:rsidRPr="00872FD4">
        <w:t xml:space="preserve">Despite the acceptance of this recommendation by the, then Minister of Justice, there was no political consensus amongst his </w:t>
      </w:r>
      <w:r w:rsidR="003006F1">
        <w:t xml:space="preserve">NI </w:t>
      </w:r>
      <w:r w:rsidR="00AB1016" w:rsidRPr="00872FD4">
        <w:t xml:space="preserve">Executive and Assembly colleagues and therefore legislative change was not pursued.  </w:t>
      </w:r>
    </w:p>
    <w:p w:rsidR="00486A99" w:rsidRPr="00872FD4" w:rsidRDefault="00486A99" w:rsidP="0039197B">
      <w:pPr>
        <w:jc w:val="both"/>
        <w:rPr>
          <w:rFonts w:ascii="Arial" w:eastAsiaTheme="minorEastAsia" w:hAnsi="Arial" w:cs="Arial"/>
          <w:color w:val="414042"/>
          <w:sz w:val="24"/>
          <w:szCs w:val="24"/>
          <w:lang w:val="en-US"/>
        </w:rPr>
      </w:pPr>
    </w:p>
    <w:p w:rsidR="00036CFC" w:rsidRPr="00872FD4" w:rsidRDefault="00486A99" w:rsidP="0039197B">
      <w:pPr>
        <w:jc w:val="both"/>
        <w:rPr>
          <w:rFonts w:ascii="Arial" w:eastAsiaTheme="minorEastAsia" w:hAnsi="Arial" w:cs="Arial"/>
          <w:color w:val="414042"/>
          <w:sz w:val="24"/>
          <w:szCs w:val="24"/>
          <w:lang w:val="en-US"/>
        </w:rPr>
      </w:pPr>
      <w:r w:rsidRPr="00872FD4">
        <w:rPr>
          <w:rFonts w:ascii="Arial" w:eastAsiaTheme="minorEastAsia" w:hAnsi="Arial" w:cs="Arial"/>
          <w:color w:val="414042"/>
          <w:sz w:val="24"/>
          <w:szCs w:val="24"/>
          <w:lang w:val="en-US"/>
        </w:rPr>
        <w:t>There is a growing body of evidence which suggests that an individual assessment of psycho-social maturity of a young person should be undertaken before they can be held criminally responsible and indeed in 2003 the Committee of Ministers of the Council of Europe stated that:</w:t>
      </w:r>
    </w:p>
    <w:p w:rsidR="00486A99" w:rsidRPr="00872FD4" w:rsidRDefault="00486A99" w:rsidP="0039197B">
      <w:pPr>
        <w:ind w:left="397"/>
        <w:jc w:val="both"/>
        <w:rPr>
          <w:rFonts w:ascii="Arial" w:eastAsiaTheme="minorEastAsia" w:hAnsi="Arial" w:cs="Arial"/>
          <w:color w:val="414042"/>
          <w:sz w:val="24"/>
          <w:szCs w:val="24"/>
          <w:lang w:val="en-US"/>
        </w:rPr>
      </w:pPr>
      <w:r w:rsidRPr="00872FD4">
        <w:rPr>
          <w:rFonts w:ascii="Arial" w:eastAsiaTheme="minorEastAsia" w:hAnsi="Arial" w:cs="Arial"/>
          <w:color w:val="414042"/>
          <w:sz w:val="24"/>
          <w:szCs w:val="24"/>
          <w:lang w:val="en-US"/>
        </w:rPr>
        <w:t>“</w:t>
      </w:r>
      <w:r w:rsidRPr="00872FD4">
        <w:rPr>
          <w:rFonts w:ascii="Arial" w:eastAsiaTheme="minorEastAsia" w:hAnsi="Arial" w:cs="Arial"/>
          <w:i/>
          <w:color w:val="414042"/>
          <w:sz w:val="24"/>
          <w:szCs w:val="24"/>
          <w:lang w:val="en-US"/>
        </w:rPr>
        <w:t>Culp</w:t>
      </w:r>
      <w:r w:rsidR="0039197B">
        <w:rPr>
          <w:rFonts w:ascii="Arial" w:eastAsiaTheme="minorEastAsia" w:hAnsi="Arial" w:cs="Arial"/>
          <w:i/>
          <w:color w:val="414042"/>
          <w:sz w:val="24"/>
          <w:szCs w:val="24"/>
          <w:lang w:val="en-US"/>
        </w:rPr>
        <w:t>ability should better reflect the</w:t>
      </w:r>
      <w:r w:rsidRPr="00872FD4">
        <w:rPr>
          <w:rFonts w:ascii="Arial" w:eastAsiaTheme="minorEastAsia" w:hAnsi="Arial" w:cs="Arial"/>
          <w:i/>
          <w:color w:val="414042"/>
          <w:sz w:val="24"/>
          <w:szCs w:val="24"/>
          <w:lang w:val="en-US"/>
        </w:rPr>
        <w:t xml:space="preserve"> age and maturity of the offender, and be more in step with the offender’s stage of development….</w:t>
      </w:r>
      <w:r w:rsidR="002E2A4D" w:rsidRPr="00872FD4">
        <w:rPr>
          <w:rStyle w:val="FootnoteReference"/>
          <w:rFonts w:ascii="Arial" w:eastAsiaTheme="minorEastAsia" w:hAnsi="Arial" w:cs="Arial"/>
          <w:i/>
          <w:color w:val="414042"/>
          <w:sz w:val="24"/>
          <w:szCs w:val="24"/>
          <w:lang w:val="en-US"/>
        </w:rPr>
        <w:footnoteReference w:id="7"/>
      </w:r>
      <w:r w:rsidRPr="00872FD4">
        <w:rPr>
          <w:rFonts w:ascii="Arial" w:eastAsiaTheme="minorEastAsia" w:hAnsi="Arial" w:cs="Arial"/>
          <w:i/>
          <w:color w:val="414042"/>
          <w:sz w:val="24"/>
          <w:szCs w:val="24"/>
          <w:lang w:val="en-US"/>
        </w:rPr>
        <w:t>”</w:t>
      </w:r>
      <w:r w:rsidRPr="00872FD4">
        <w:rPr>
          <w:rFonts w:ascii="Arial" w:eastAsiaTheme="minorEastAsia" w:hAnsi="Arial" w:cs="Arial"/>
          <w:color w:val="414042"/>
          <w:sz w:val="24"/>
          <w:szCs w:val="24"/>
          <w:lang w:val="en-US"/>
        </w:rPr>
        <w:t xml:space="preserve"> </w:t>
      </w:r>
    </w:p>
    <w:p w:rsidR="00486A99" w:rsidRPr="00872FD4" w:rsidRDefault="00486A99" w:rsidP="0039197B">
      <w:pPr>
        <w:ind w:left="397"/>
        <w:jc w:val="both"/>
        <w:rPr>
          <w:rFonts w:ascii="Arial" w:eastAsiaTheme="minorEastAsia" w:hAnsi="Arial" w:cs="Arial"/>
          <w:color w:val="414042"/>
          <w:sz w:val="24"/>
          <w:szCs w:val="24"/>
          <w:lang w:val="en-US"/>
        </w:rPr>
      </w:pPr>
    </w:p>
    <w:p w:rsidR="00D86546" w:rsidRPr="00872FD4" w:rsidRDefault="00486A99" w:rsidP="0039197B">
      <w:pPr>
        <w:pStyle w:val="NICCYBodyText"/>
        <w:spacing w:line="240" w:lineRule="auto"/>
        <w:jc w:val="both"/>
      </w:pPr>
      <w:r w:rsidRPr="00872FD4">
        <w:t>However</w:t>
      </w:r>
      <w:r w:rsidR="007125F3">
        <w:t>,</w:t>
      </w:r>
      <w:r w:rsidRPr="00872FD4">
        <w:t xml:space="preserve"> </w:t>
      </w:r>
      <w:r w:rsidR="0039197B">
        <w:t xml:space="preserve">it is recognised that this may not be a practical solution. </w:t>
      </w:r>
      <w:r w:rsidR="00AB1016" w:rsidRPr="00872FD4">
        <w:t xml:space="preserve"> </w:t>
      </w:r>
      <w:r w:rsidR="002E2A4D" w:rsidRPr="00872FD4">
        <w:t>NICCY</w:t>
      </w:r>
      <w:r w:rsidR="00D86546" w:rsidRPr="00872FD4">
        <w:t xml:space="preserve"> believes that the Committee’s statement </w:t>
      </w:r>
      <w:r w:rsidR="00957AB7">
        <w:t xml:space="preserve">in GC 10 </w:t>
      </w:r>
      <w:r w:rsidR="00D86546" w:rsidRPr="00872FD4">
        <w:t>that</w:t>
      </w:r>
      <w:r w:rsidR="00036CFC">
        <w:t>,</w:t>
      </w:r>
      <w:r w:rsidR="00D86546" w:rsidRPr="00872FD4">
        <w:t xml:space="preserve"> “a MACR below the age of 12 is considered by </w:t>
      </w:r>
      <w:r w:rsidR="007125F3">
        <w:t>…</w:t>
      </w:r>
      <w:r w:rsidR="00D86546" w:rsidRPr="00872FD4">
        <w:t>not to be internationally acceptable”</w:t>
      </w:r>
      <w:r w:rsidR="00957AB7" w:rsidRPr="00872FD4">
        <w:t xml:space="preserve"> </w:t>
      </w:r>
      <w:r w:rsidR="00D86546" w:rsidRPr="00872FD4">
        <w:t>has been viewed by so</w:t>
      </w:r>
      <w:r w:rsidR="002E2A4D" w:rsidRPr="00872FD4">
        <w:t>me governments including the UK</w:t>
      </w:r>
      <w:r w:rsidR="00D86546" w:rsidRPr="00872FD4">
        <w:t xml:space="preserve"> as an aspirational target rather than the starting point.  </w:t>
      </w:r>
    </w:p>
    <w:p w:rsidR="007125F3" w:rsidRDefault="007125F3" w:rsidP="007125F3">
      <w:pPr>
        <w:pStyle w:val="NICCYBodyText"/>
        <w:spacing w:line="240" w:lineRule="auto"/>
        <w:jc w:val="both"/>
      </w:pPr>
    </w:p>
    <w:p w:rsidR="007125F3" w:rsidRPr="00872FD4" w:rsidRDefault="007125F3" w:rsidP="007125F3">
      <w:pPr>
        <w:pStyle w:val="NICCYBodyText"/>
        <w:spacing w:line="240" w:lineRule="auto"/>
        <w:jc w:val="both"/>
      </w:pPr>
      <w:r w:rsidRPr="00872FD4">
        <w:t xml:space="preserve">When examining other age related legislation in </w:t>
      </w:r>
      <w:r w:rsidR="003006F1">
        <w:t xml:space="preserve">NI </w:t>
      </w:r>
      <w:r w:rsidRPr="00872FD4">
        <w:t>it becomes apparent that MACR is out of step</w:t>
      </w:r>
      <w:r w:rsidR="00036CFC">
        <w:t>. F</w:t>
      </w:r>
      <w:r w:rsidRPr="00872FD4">
        <w:t>or example the age of sexual consent</w:t>
      </w:r>
      <w:r w:rsidR="00036CFC">
        <w:t xml:space="preserve"> in </w:t>
      </w:r>
      <w:r w:rsidR="003006F1">
        <w:t xml:space="preserve">NI </w:t>
      </w:r>
      <w:r w:rsidRPr="00872FD4">
        <w:t xml:space="preserve">is 16, </w:t>
      </w:r>
      <w:r w:rsidR="00036CFC">
        <w:t xml:space="preserve">the </w:t>
      </w:r>
      <w:r w:rsidRPr="00872FD4">
        <w:t xml:space="preserve">age of majority (voting) is 18, </w:t>
      </w:r>
      <w:r w:rsidR="00036CFC">
        <w:t xml:space="preserve">the compulsory school leaving age </w:t>
      </w:r>
      <w:r w:rsidRPr="00872FD4">
        <w:t>is 16 and</w:t>
      </w:r>
      <w:r w:rsidR="00036CFC">
        <w:t xml:space="preserve"> the age to be eligible for</w:t>
      </w:r>
      <w:r w:rsidRPr="00872FD4">
        <w:t xml:space="preserve"> jury service is 18 (which means that young people </w:t>
      </w:r>
      <w:r w:rsidR="00036CFC">
        <w:t xml:space="preserve">under 18 </w:t>
      </w:r>
      <w:r w:rsidRPr="00872FD4">
        <w:t xml:space="preserve">can never be tried by their peers).  </w:t>
      </w:r>
    </w:p>
    <w:p w:rsidR="00AB1016" w:rsidRPr="00872FD4" w:rsidRDefault="00AB1016" w:rsidP="0039197B">
      <w:pPr>
        <w:pStyle w:val="NICCYBodyText"/>
        <w:spacing w:line="240" w:lineRule="auto"/>
        <w:jc w:val="both"/>
      </w:pPr>
    </w:p>
    <w:p w:rsidR="00D86546" w:rsidRPr="00872FD4" w:rsidRDefault="00D86546" w:rsidP="0039197B">
      <w:pPr>
        <w:pStyle w:val="NICCYBodyText"/>
        <w:spacing w:line="240" w:lineRule="auto"/>
        <w:jc w:val="both"/>
        <w:rPr>
          <w:b/>
        </w:rPr>
      </w:pPr>
      <w:r w:rsidRPr="00872FD4">
        <w:rPr>
          <w:b/>
        </w:rPr>
        <w:t xml:space="preserve">NICCY recommends that the age of 12 should be removed from </w:t>
      </w:r>
      <w:r w:rsidR="00596BC2">
        <w:rPr>
          <w:b/>
        </w:rPr>
        <w:t>G</w:t>
      </w:r>
      <w:r w:rsidR="00036CFC">
        <w:rPr>
          <w:b/>
        </w:rPr>
        <w:t>eneral Comment 10</w:t>
      </w:r>
      <w:r w:rsidR="00036CFC" w:rsidRPr="00872FD4">
        <w:rPr>
          <w:b/>
        </w:rPr>
        <w:t xml:space="preserve"> </w:t>
      </w:r>
      <w:r w:rsidRPr="00872FD4">
        <w:rPr>
          <w:b/>
        </w:rPr>
        <w:t xml:space="preserve">and replaced by </w:t>
      </w:r>
      <w:r w:rsidR="00AB1016" w:rsidRPr="00872FD4">
        <w:rPr>
          <w:b/>
        </w:rPr>
        <w:t>16 as</w:t>
      </w:r>
      <w:r w:rsidRPr="00872FD4">
        <w:rPr>
          <w:b/>
        </w:rPr>
        <w:t xml:space="preserve"> the </w:t>
      </w:r>
      <w:r w:rsidR="00036CFC">
        <w:rPr>
          <w:b/>
        </w:rPr>
        <w:t>MACR,</w:t>
      </w:r>
      <w:r w:rsidRPr="00872FD4">
        <w:rPr>
          <w:b/>
        </w:rPr>
        <w:t xml:space="preserve"> which would ensure that states are in compliance with </w:t>
      </w:r>
      <w:r w:rsidR="00036CFC">
        <w:rPr>
          <w:b/>
        </w:rPr>
        <w:t xml:space="preserve">their children’s rights obligations under </w:t>
      </w:r>
      <w:r w:rsidRPr="00872FD4">
        <w:rPr>
          <w:b/>
        </w:rPr>
        <w:t>article 40(3)(b)</w:t>
      </w:r>
      <w:r w:rsidR="00486A99" w:rsidRPr="00872FD4">
        <w:rPr>
          <w:b/>
        </w:rPr>
        <w:t xml:space="preserve"> of the UNCRC.  </w:t>
      </w:r>
    </w:p>
    <w:p w:rsidR="00957AB7" w:rsidRDefault="00957AB7" w:rsidP="0039197B">
      <w:pPr>
        <w:pStyle w:val="NICCYBodyText"/>
        <w:spacing w:line="240" w:lineRule="auto"/>
        <w:jc w:val="both"/>
        <w:rPr>
          <w:b/>
          <w:color w:val="FF0000"/>
        </w:rPr>
      </w:pPr>
    </w:p>
    <w:p w:rsidR="00271ACB" w:rsidRPr="00872FD4" w:rsidRDefault="00AB1016" w:rsidP="0039197B">
      <w:pPr>
        <w:pStyle w:val="NICCYBodyText"/>
        <w:spacing w:line="240" w:lineRule="auto"/>
        <w:jc w:val="both"/>
        <w:rPr>
          <w:b/>
          <w:color w:val="FF0000"/>
        </w:rPr>
      </w:pPr>
      <w:r w:rsidRPr="00872FD4">
        <w:rPr>
          <w:b/>
          <w:color w:val="FF0000"/>
        </w:rPr>
        <w:t xml:space="preserve">Upper Age Limit of the Juvenile Justice System </w:t>
      </w:r>
    </w:p>
    <w:p w:rsidR="00AB1016" w:rsidRPr="00872FD4" w:rsidRDefault="003006F1" w:rsidP="0039197B">
      <w:pPr>
        <w:pStyle w:val="NICCYBodyText"/>
        <w:spacing w:line="240" w:lineRule="auto"/>
        <w:jc w:val="both"/>
        <w:rPr>
          <w:color w:val="auto"/>
        </w:rPr>
      </w:pPr>
      <w:r>
        <w:t xml:space="preserve">NI </w:t>
      </w:r>
      <w:r w:rsidR="008E7318" w:rsidRPr="00872FD4">
        <w:rPr>
          <w:color w:val="auto"/>
        </w:rPr>
        <w:t>is compli</w:t>
      </w:r>
      <w:r w:rsidR="00036CFC">
        <w:rPr>
          <w:color w:val="auto"/>
        </w:rPr>
        <w:t>ant</w:t>
      </w:r>
      <w:r w:rsidR="008E7318" w:rsidRPr="00872FD4">
        <w:rPr>
          <w:color w:val="auto"/>
        </w:rPr>
        <w:t xml:space="preserve"> with Article 40 </w:t>
      </w:r>
      <w:r w:rsidR="0096422C">
        <w:rPr>
          <w:color w:val="auto"/>
        </w:rPr>
        <w:t>of the UNCRC in so far as</w:t>
      </w:r>
      <w:r w:rsidR="008E7318" w:rsidRPr="00872FD4">
        <w:rPr>
          <w:color w:val="auto"/>
        </w:rPr>
        <w:t xml:space="preserve"> there are separate rules, processes and structures for children (up to the age of 18)</w:t>
      </w:r>
      <w:r w:rsidR="00036CFC">
        <w:rPr>
          <w:color w:val="auto"/>
        </w:rPr>
        <w:t>,</w:t>
      </w:r>
      <w:r w:rsidR="008E7318" w:rsidRPr="00872FD4">
        <w:rPr>
          <w:color w:val="auto"/>
        </w:rPr>
        <w:t xml:space="preserve"> except as stated previously</w:t>
      </w:r>
      <w:r w:rsidR="00036CFC">
        <w:rPr>
          <w:color w:val="auto"/>
        </w:rPr>
        <w:t>,</w:t>
      </w:r>
      <w:r w:rsidR="008E7318" w:rsidRPr="00872FD4">
        <w:rPr>
          <w:color w:val="auto"/>
        </w:rPr>
        <w:t xml:space="preserve"> legislation to </w:t>
      </w:r>
      <w:r w:rsidR="008E7318" w:rsidRPr="00872FD4">
        <w:rPr>
          <w:color w:val="auto"/>
        </w:rPr>
        <w:lastRenderedPageBreak/>
        <w:t>ensure that children are never held with adults in compliance with article 37(c)</w:t>
      </w:r>
      <w:r w:rsidR="00036CFC">
        <w:rPr>
          <w:color w:val="auto"/>
        </w:rPr>
        <w:t xml:space="preserve"> remains outstanding</w:t>
      </w:r>
      <w:r w:rsidR="008E7318" w:rsidRPr="00872FD4">
        <w:rPr>
          <w:color w:val="auto"/>
        </w:rPr>
        <w:t xml:space="preserve">. </w:t>
      </w:r>
      <w:r w:rsidR="00080E86">
        <w:rPr>
          <w:color w:val="auto"/>
        </w:rPr>
        <w:t xml:space="preserve"> </w:t>
      </w:r>
    </w:p>
    <w:p w:rsidR="00E71E05" w:rsidRDefault="00E71E05" w:rsidP="0039197B">
      <w:pPr>
        <w:pStyle w:val="NICCYBodyText"/>
        <w:spacing w:line="240" w:lineRule="auto"/>
        <w:jc w:val="both"/>
        <w:rPr>
          <w:b/>
          <w:color w:val="FF0000"/>
        </w:rPr>
      </w:pPr>
    </w:p>
    <w:p w:rsidR="009249B7" w:rsidRDefault="009249B7" w:rsidP="0039197B">
      <w:pPr>
        <w:pStyle w:val="NICCYBodyText"/>
        <w:spacing w:line="240" w:lineRule="auto"/>
        <w:jc w:val="both"/>
        <w:rPr>
          <w:b/>
          <w:color w:val="FF0000"/>
        </w:rPr>
      </w:pPr>
      <w:r w:rsidRPr="00872FD4">
        <w:rPr>
          <w:b/>
          <w:color w:val="FF0000"/>
        </w:rPr>
        <w:t>Deprivation of Liberty and Custody</w:t>
      </w:r>
      <w:r w:rsidR="00CB4293">
        <w:rPr>
          <w:b/>
          <w:color w:val="FF0000"/>
        </w:rPr>
        <w:t xml:space="preserve"> and Pre-Trial Detention</w:t>
      </w:r>
    </w:p>
    <w:p w:rsidR="00CB4293" w:rsidRDefault="007125F3" w:rsidP="0039197B">
      <w:pPr>
        <w:pStyle w:val="NICCYBodyText"/>
        <w:spacing w:line="240" w:lineRule="auto"/>
        <w:jc w:val="both"/>
        <w:rPr>
          <w:color w:val="auto"/>
        </w:rPr>
      </w:pPr>
      <w:r>
        <w:rPr>
          <w:color w:val="auto"/>
        </w:rPr>
        <w:t xml:space="preserve">NICCY believes that having a different age for custody and MACR may provide states </w:t>
      </w:r>
      <w:r w:rsidR="00036CFC">
        <w:rPr>
          <w:color w:val="auto"/>
        </w:rPr>
        <w:t xml:space="preserve">with </w:t>
      </w:r>
      <w:r>
        <w:rPr>
          <w:color w:val="auto"/>
        </w:rPr>
        <w:t xml:space="preserve">an excuse for maintaining a low MACR whilst raising the age of custody which is not acceptable.  </w:t>
      </w:r>
    </w:p>
    <w:p w:rsidR="00E36206" w:rsidRDefault="00E36206" w:rsidP="0039197B">
      <w:pPr>
        <w:pStyle w:val="NICCYBodyText"/>
        <w:spacing w:line="240" w:lineRule="auto"/>
        <w:jc w:val="both"/>
      </w:pPr>
    </w:p>
    <w:p w:rsidR="009249B7" w:rsidRPr="003006F1" w:rsidRDefault="009249B7" w:rsidP="00C53011">
      <w:pPr>
        <w:jc w:val="both"/>
        <w:rPr>
          <w:rFonts w:ascii="Arial" w:hAnsi="Arial" w:cs="Arial"/>
          <w:sz w:val="24"/>
          <w:szCs w:val="24"/>
        </w:rPr>
      </w:pPr>
      <w:r w:rsidRPr="003006F1">
        <w:rPr>
          <w:rFonts w:ascii="Arial" w:hAnsi="Arial" w:cs="Arial"/>
          <w:sz w:val="24"/>
          <w:szCs w:val="24"/>
        </w:rPr>
        <w:t xml:space="preserve">There have been tangible improvements during the last two decades in custodial facilities and </w:t>
      </w:r>
      <w:r w:rsidR="00036CFC" w:rsidRPr="003006F1">
        <w:rPr>
          <w:rFonts w:ascii="Arial" w:hAnsi="Arial" w:cs="Arial"/>
          <w:sz w:val="24"/>
          <w:szCs w:val="24"/>
        </w:rPr>
        <w:t xml:space="preserve">the </w:t>
      </w:r>
      <w:r w:rsidRPr="003006F1">
        <w:rPr>
          <w:rFonts w:ascii="Arial" w:hAnsi="Arial" w:cs="Arial"/>
          <w:sz w:val="24"/>
          <w:szCs w:val="24"/>
        </w:rPr>
        <w:t xml:space="preserve">level of care </w:t>
      </w:r>
      <w:r w:rsidR="00036CFC" w:rsidRPr="003006F1">
        <w:rPr>
          <w:rFonts w:ascii="Arial" w:hAnsi="Arial" w:cs="Arial"/>
          <w:sz w:val="24"/>
          <w:szCs w:val="24"/>
        </w:rPr>
        <w:t xml:space="preserve">for children in conflict with the law </w:t>
      </w:r>
      <w:r w:rsidR="007125F3" w:rsidRPr="003006F1">
        <w:rPr>
          <w:rFonts w:ascii="Arial" w:hAnsi="Arial" w:cs="Arial"/>
          <w:sz w:val="24"/>
          <w:szCs w:val="24"/>
        </w:rPr>
        <w:t xml:space="preserve">in </w:t>
      </w:r>
      <w:r w:rsidR="00036CFC" w:rsidRPr="003006F1">
        <w:rPr>
          <w:rFonts w:ascii="Arial" w:hAnsi="Arial" w:cs="Arial"/>
          <w:sz w:val="24"/>
          <w:szCs w:val="24"/>
        </w:rPr>
        <w:t>Northern Ireland</w:t>
      </w:r>
      <w:r w:rsidRPr="003006F1">
        <w:rPr>
          <w:rFonts w:ascii="Arial" w:hAnsi="Arial" w:cs="Arial"/>
          <w:sz w:val="24"/>
          <w:szCs w:val="24"/>
        </w:rPr>
        <w:t xml:space="preserve">.  Article 37(b) </w:t>
      </w:r>
      <w:r w:rsidR="00036CFC" w:rsidRPr="003006F1">
        <w:rPr>
          <w:rFonts w:ascii="Arial" w:hAnsi="Arial" w:cs="Arial"/>
          <w:sz w:val="24"/>
          <w:szCs w:val="24"/>
        </w:rPr>
        <w:t xml:space="preserve">of the UNCRC </w:t>
      </w:r>
      <w:r w:rsidRPr="003006F1">
        <w:rPr>
          <w:rFonts w:ascii="Arial" w:hAnsi="Arial" w:cs="Arial"/>
          <w:sz w:val="24"/>
          <w:szCs w:val="24"/>
        </w:rPr>
        <w:t xml:space="preserve">states that imprisonment and detention of children shall be </w:t>
      </w:r>
      <w:r w:rsidR="00036CFC" w:rsidRPr="003006F1">
        <w:rPr>
          <w:rFonts w:ascii="Arial" w:hAnsi="Arial" w:cs="Arial"/>
          <w:sz w:val="24"/>
          <w:szCs w:val="24"/>
        </w:rPr>
        <w:t xml:space="preserve">used </w:t>
      </w:r>
      <w:r w:rsidRPr="003006F1">
        <w:rPr>
          <w:rFonts w:ascii="Arial" w:hAnsi="Arial" w:cs="Arial"/>
          <w:sz w:val="24"/>
          <w:szCs w:val="24"/>
        </w:rPr>
        <w:t>as a measure of last resort</w:t>
      </w:r>
      <w:r w:rsidR="00036CFC" w:rsidRPr="003006F1">
        <w:rPr>
          <w:rFonts w:ascii="Arial" w:hAnsi="Arial" w:cs="Arial"/>
          <w:sz w:val="24"/>
          <w:szCs w:val="24"/>
        </w:rPr>
        <w:t xml:space="preserve">. This is still </w:t>
      </w:r>
      <w:r w:rsidR="007125F3" w:rsidRPr="003006F1">
        <w:rPr>
          <w:rFonts w:ascii="Arial" w:hAnsi="Arial" w:cs="Arial"/>
          <w:sz w:val="24"/>
          <w:szCs w:val="24"/>
        </w:rPr>
        <w:t>not the case in NI</w:t>
      </w:r>
      <w:r w:rsidR="00E36206" w:rsidRPr="003006F1">
        <w:rPr>
          <w:rFonts w:ascii="Arial" w:hAnsi="Arial" w:cs="Arial"/>
          <w:sz w:val="24"/>
          <w:szCs w:val="24"/>
        </w:rPr>
        <w:t>.  In 20</w:t>
      </w:r>
      <w:r w:rsidRPr="003006F1">
        <w:rPr>
          <w:rFonts w:ascii="Arial" w:hAnsi="Arial" w:cs="Arial"/>
          <w:sz w:val="24"/>
          <w:szCs w:val="24"/>
        </w:rPr>
        <w:t>17</w:t>
      </w:r>
      <w:r w:rsidR="00E36206" w:rsidRPr="003006F1">
        <w:rPr>
          <w:rFonts w:ascii="Arial" w:hAnsi="Arial" w:cs="Arial"/>
          <w:sz w:val="24"/>
          <w:szCs w:val="24"/>
        </w:rPr>
        <w:t>/18 only 7</w:t>
      </w:r>
      <w:r w:rsidRPr="003006F1">
        <w:rPr>
          <w:rFonts w:ascii="Arial" w:hAnsi="Arial" w:cs="Arial"/>
          <w:sz w:val="24"/>
          <w:szCs w:val="24"/>
        </w:rPr>
        <w:t xml:space="preserve">% of young people in the </w:t>
      </w:r>
      <w:r w:rsidR="00036CFC" w:rsidRPr="003006F1">
        <w:rPr>
          <w:rFonts w:ascii="Arial" w:hAnsi="Arial" w:cs="Arial"/>
          <w:sz w:val="24"/>
          <w:szCs w:val="24"/>
        </w:rPr>
        <w:t>Juvenile Justice Centre (</w:t>
      </w:r>
      <w:r w:rsidRPr="003006F1">
        <w:rPr>
          <w:rFonts w:ascii="Arial" w:hAnsi="Arial" w:cs="Arial"/>
          <w:sz w:val="24"/>
          <w:szCs w:val="24"/>
        </w:rPr>
        <w:t>JJC</w:t>
      </w:r>
      <w:r w:rsidR="00036CFC" w:rsidRPr="003006F1">
        <w:rPr>
          <w:rFonts w:ascii="Arial" w:hAnsi="Arial" w:cs="Arial"/>
          <w:sz w:val="24"/>
          <w:szCs w:val="24"/>
        </w:rPr>
        <w:t>)</w:t>
      </w:r>
      <w:r w:rsidRPr="003006F1">
        <w:rPr>
          <w:rFonts w:ascii="Arial" w:hAnsi="Arial" w:cs="Arial"/>
          <w:sz w:val="24"/>
          <w:szCs w:val="24"/>
        </w:rPr>
        <w:t xml:space="preserve"> were</w:t>
      </w:r>
      <w:r w:rsidR="007665A5" w:rsidRPr="003006F1">
        <w:rPr>
          <w:rFonts w:ascii="Arial" w:hAnsi="Arial" w:cs="Arial"/>
          <w:sz w:val="24"/>
          <w:szCs w:val="24"/>
        </w:rPr>
        <w:t xml:space="preserve"> sentenced with the remaining 93</w:t>
      </w:r>
      <w:r w:rsidRPr="003006F1">
        <w:rPr>
          <w:rFonts w:ascii="Arial" w:hAnsi="Arial" w:cs="Arial"/>
          <w:sz w:val="24"/>
          <w:szCs w:val="24"/>
        </w:rPr>
        <w:t xml:space="preserve">% either there </w:t>
      </w:r>
      <w:r w:rsidR="00C53011" w:rsidRPr="00E03515">
        <w:rPr>
          <w:rFonts w:ascii="Arial" w:hAnsi="Arial" w:cs="Arial"/>
          <w:sz w:val="24"/>
          <w:szCs w:val="24"/>
        </w:rPr>
        <w:t>or remand (i.e. pre-trial detention)</w:t>
      </w:r>
      <w:r w:rsidR="00C53011">
        <w:rPr>
          <w:rFonts w:ascii="Arial" w:hAnsi="Arial" w:cs="Arial"/>
          <w:sz w:val="24"/>
          <w:szCs w:val="24"/>
        </w:rPr>
        <w:t xml:space="preserve"> or </w:t>
      </w:r>
      <w:r w:rsidR="00C53011" w:rsidRPr="003006F1">
        <w:rPr>
          <w:rFonts w:ascii="Arial" w:hAnsi="Arial" w:cs="Arial"/>
          <w:sz w:val="24"/>
          <w:szCs w:val="24"/>
        </w:rPr>
        <w:t>under the Police and Criminal Evidence (NI) Order 1989 (PACE) .</w:t>
      </w:r>
      <w:r w:rsidRPr="003006F1">
        <w:rPr>
          <w:rStyle w:val="FootnoteReference"/>
          <w:rFonts w:ascii="Arial" w:hAnsi="Arial" w:cs="Arial"/>
          <w:sz w:val="24"/>
          <w:szCs w:val="24"/>
        </w:rPr>
        <w:footnoteReference w:id="8"/>
      </w:r>
      <w:r w:rsidR="00C53011" w:rsidRPr="003006F1">
        <w:rPr>
          <w:rFonts w:ascii="Arial" w:hAnsi="Arial" w:cs="Arial"/>
          <w:sz w:val="24"/>
          <w:szCs w:val="24"/>
        </w:rPr>
        <w:t xml:space="preserve"> </w:t>
      </w:r>
      <w:r w:rsidR="00C53011">
        <w:rPr>
          <w:rFonts w:ascii="Arial" w:hAnsi="Arial" w:cs="Arial"/>
          <w:sz w:val="24"/>
          <w:szCs w:val="24"/>
        </w:rPr>
        <w:t xml:space="preserve">PACE </w:t>
      </w:r>
      <w:r w:rsidR="00C53011" w:rsidRPr="003006F1">
        <w:rPr>
          <w:rFonts w:ascii="Arial" w:hAnsi="Arial" w:cs="Arial"/>
          <w:sz w:val="24"/>
          <w:szCs w:val="24"/>
        </w:rPr>
        <w:t xml:space="preserve">allows the </w:t>
      </w:r>
      <w:r w:rsidR="00C53011">
        <w:rPr>
          <w:rFonts w:ascii="Arial" w:hAnsi="Arial" w:cs="Arial"/>
          <w:sz w:val="24"/>
          <w:szCs w:val="24"/>
        </w:rPr>
        <w:t>Police Service of (</w:t>
      </w:r>
      <w:r w:rsidR="00C53011" w:rsidRPr="003006F1">
        <w:rPr>
          <w:rFonts w:ascii="Arial" w:hAnsi="Arial" w:cs="Arial"/>
          <w:sz w:val="24"/>
          <w:szCs w:val="24"/>
        </w:rPr>
        <w:t>PSNI</w:t>
      </w:r>
      <w:r w:rsidR="00C53011">
        <w:rPr>
          <w:rFonts w:ascii="Arial" w:hAnsi="Arial" w:cs="Arial"/>
          <w:sz w:val="24"/>
          <w:szCs w:val="24"/>
        </w:rPr>
        <w:t>)</w:t>
      </w:r>
      <w:r w:rsidR="00C53011" w:rsidRPr="003006F1">
        <w:rPr>
          <w:rFonts w:ascii="Arial" w:hAnsi="Arial" w:cs="Arial"/>
          <w:sz w:val="24"/>
          <w:szCs w:val="24"/>
        </w:rPr>
        <w:t xml:space="preserve"> to refuse bail to a child, including on the basis that they ought to be detained in their own interests.</w:t>
      </w:r>
      <w:r w:rsidR="00C53011" w:rsidRPr="003006F1">
        <w:rPr>
          <w:rStyle w:val="FootnoteReference"/>
          <w:rFonts w:ascii="Arial" w:hAnsi="Arial" w:cs="Arial"/>
          <w:sz w:val="24"/>
          <w:szCs w:val="24"/>
        </w:rPr>
        <w:footnoteReference w:id="9"/>
      </w:r>
      <w:r w:rsidR="00C53011" w:rsidRPr="003006F1">
        <w:rPr>
          <w:rFonts w:ascii="Arial" w:hAnsi="Arial" w:cs="Arial"/>
          <w:sz w:val="24"/>
          <w:szCs w:val="24"/>
        </w:rPr>
        <w:t xml:space="preserve"> Before the case appears in court these children are detained in a ‘place of safety’, which includes the JJC.  It is NICCY’s view that in many cases these powers are being used not as a measure of last resort, but in the absence of alternative accommodation.</w:t>
      </w:r>
    </w:p>
    <w:p w:rsidR="00A47D63" w:rsidRPr="00080E86" w:rsidRDefault="00A47D63" w:rsidP="0039197B">
      <w:pPr>
        <w:pStyle w:val="NICCYBodyText"/>
        <w:spacing w:line="240" w:lineRule="auto"/>
        <w:jc w:val="both"/>
        <w:rPr>
          <w:color w:val="auto"/>
        </w:rPr>
      </w:pPr>
    </w:p>
    <w:p w:rsidR="00A47D63" w:rsidRPr="00080E86" w:rsidRDefault="00A47D63" w:rsidP="0039197B">
      <w:pPr>
        <w:pStyle w:val="NICCYBodyText"/>
        <w:spacing w:line="240" w:lineRule="auto"/>
        <w:jc w:val="both"/>
        <w:rPr>
          <w:color w:val="auto"/>
        </w:rPr>
      </w:pPr>
      <w:r w:rsidRPr="00080E86">
        <w:rPr>
          <w:color w:val="auto"/>
        </w:rPr>
        <w:t xml:space="preserve">Regardless of </w:t>
      </w:r>
      <w:r w:rsidR="00C53011">
        <w:rPr>
          <w:color w:val="auto"/>
        </w:rPr>
        <w:t>a number of</w:t>
      </w:r>
      <w:r w:rsidR="00C53011" w:rsidRPr="00080E86">
        <w:rPr>
          <w:color w:val="auto"/>
        </w:rPr>
        <w:t xml:space="preserve"> </w:t>
      </w:r>
      <w:r w:rsidR="00C53011">
        <w:rPr>
          <w:color w:val="auto"/>
        </w:rPr>
        <w:t>attempts to address the issue of inappropriate detentions to the JJC,</w:t>
      </w:r>
      <w:r w:rsidR="00E36206" w:rsidRPr="00080E86">
        <w:rPr>
          <w:color w:val="auto"/>
        </w:rPr>
        <w:t xml:space="preserve"> there has been a 14</w:t>
      </w:r>
      <w:r w:rsidRPr="00080E86">
        <w:rPr>
          <w:color w:val="auto"/>
        </w:rPr>
        <w:t xml:space="preserve">% increase </w:t>
      </w:r>
      <w:r w:rsidR="00C53011">
        <w:rPr>
          <w:color w:val="auto"/>
        </w:rPr>
        <w:t>in</w:t>
      </w:r>
      <w:r w:rsidR="00C53011" w:rsidRPr="00080E86">
        <w:rPr>
          <w:color w:val="auto"/>
        </w:rPr>
        <w:t xml:space="preserve"> </w:t>
      </w:r>
      <w:r w:rsidRPr="00080E86">
        <w:rPr>
          <w:color w:val="auto"/>
        </w:rPr>
        <w:t>the proportion of young people in custody who were looked</w:t>
      </w:r>
      <w:r w:rsidR="00E36206" w:rsidRPr="00080E86">
        <w:rPr>
          <w:color w:val="auto"/>
        </w:rPr>
        <w:t xml:space="preserve"> after between 2015/16 and 20</w:t>
      </w:r>
      <w:r w:rsidRPr="00080E86">
        <w:rPr>
          <w:color w:val="auto"/>
        </w:rPr>
        <w:t>17</w:t>
      </w:r>
      <w:r w:rsidR="00E36206" w:rsidRPr="00080E86">
        <w:rPr>
          <w:color w:val="auto"/>
        </w:rPr>
        <w:t>/18 to 43</w:t>
      </w:r>
      <w:r w:rsidRPr="00080E86">
        <w:rPr>
          <w:color w:val="auto"/>
        </w:rPr>
        <w:t>%</w:t>
      </w:r>
      <w:r w:rsidRPr="00080E86">
        <w:rPr>
          <w:rStyle w:val="FootnoteReference"/>
          <w:color w:val="auto"/>
        </w:rPr>
        <w:footnoteReference w:id="10"/>
      </w:r>
      <w:r w:rsidRPr="00080E86">
        <w:rPr>
          <w:color w:val="auto"/>
        </w:rPr>
        <w:t xml:space="preserve"> demonstrating no progress since the YJR recommendation in 2011. </w:t>
      </w:r>
    </w:p>
    <w:p w:rsidR="009249B7" w:rsidRPr="00080E86" w:rsidRDefault="009249B7" w:rsidP="0039197B">
      <w:pPr>
        <w:pStyle w:val="NICCYBodyText"/>
        <w:spacing w:line="240" w:lineRule="auto"/>
        <w:jc w:val="both"/>
        <w:rPr>
          <w:color w:val="auto"/>
        </w:rPr>
      </w:pPr>
    </w:p>
    <w:p w:rsidR="009249B7" w:rsidRPr="00080E86" w:rsidRDefault="00A47D63" w:rsidP="0039197B">
      <w:pPr>
        <w:pStyle w:val="NICCYBodyText"/>
        <w:spacing w:line="240" w:lineRule="auto"/>
        <w:jc w:val="both"/>
        <w:rPr>
          <w:b/>
          <w:color w:val="auto"/>
        </w:rPr>
      </w:pPr>
      <w:r w:rsidRPr="00080E86">
        <w:rPr>
          <w:b/>
          <w:color w:val="auto"/>
        </w:rPr>
        <w:t>NICCY would welcome greater clarity from the Committee with regards to the circumstances where</w:t>
      </w:r>
      <w:r w:rsidR="009249B7" w:rsidRPr="00080E86">
        <w:rPr>
          <w:b/>
          <w:color w:val="auto"/>
        </w:rPr>
        <w:t xml:space="preserve"> “pretrial” detention</w:t>
      </w:r>
      <w:r w:rsidRPr="00080E86">
        <w:rPr>
          <w:b/>
          <w:color w:val="auto"/>
        </w:rPr>
        <w:t xml:space="preserve"> may be necessary.</w:t>
      </w:r>
    </w:p>
    <w:p w:rsidR="00E71E05" w:rsidRPr="00633EF4" w:rsidRDefault="00E71E05" w:rsidP="0039197B">
      <w:pPr>
        <w:pStyle w:val="NICCYBodyText"/>
        <w:spacing w:line="240" w:lineRule="auto"/>
        <w:jc w:val="both"/>
        <w:rPr>
          <w:color w:val="auto"/>
        </w:rPr>
      </w:pPr>
    </w:p>
    <w:p w:rsidR="009249B7" w:rsidRPr="00872FD4" w:rsidRDefault="009249B7" w:rsidP="0039197B">
      <w:pPr>
        <w:pStyle w:val="NICCYBodyText"/>
        <w:spacing w:line="240" w:lineRule="auto"/>
        <w:jc w:val="both"/>
        <w:rPr>
          <w:b/>
          <w:color w:val="FF0000"/>
        </w:rPr>
      </w:pPr>
      <w:r w:rsidRPr="00872FD4">
        <w:rPr>
          <w:b/>
          <w:color w:val="FF0000"/>
        </w:rPr>
        <w:t xml:space="preserve">Suggestions for Further Changes to General Comment </w:t>
      </w:r>
      <w:r w:rsidR="00C53011">
        <w:rPr>
          <w:b/>
          <w:color w:val="FF0000"/>
        </w:rPr>
        <w:t>10</w:t>
      </w:r>
    </w:p>
    <w:p w:rsidR="00271ACB" w:rsidRPr="009A1489" w:rsidRDefault="00271ACB" w:rsidP="0039197B">
      <w:pPr>
        <w:pStyle w:val="NICCYBodyText"/>
        <w:spacing w:line="240" w:lineRule="auto"/>
        <w:jc w:val="both"/>
        <w:rPr>
          <w:b/>
          <w:color w:val="00B0F0"/>
        </w:rPr>
      </w:pPr>
      <w:r w:rsidRPr="009A1489">
        <w:rPr>
          <w:b/>
          <w:color w:val="00B0F0"/>
        </w:rPr>
        <w:t xml:space="preserve">Best interests </w:t>
      </w:r>
    </w:p>
    <w:p w:rsidR="00271ACB" w:rsidRPr="00080E86" w:rsidRDefault="00271ACB" w:rsidP="0039197B">
      <w:pPr>
        <w:pStyle w:val="NICCYBodyText"/>
        <w:spacing w:line="240" w:lineRule="auto"/>
        <w:jc w:val="both"/>
        <w:rPr>
          <w:color w:val="auto"/>
        </w:rPr>
      </w:pPr>
      <w:r w:rsidRPr="00080E86">
        <w:rPr>
          <w:color w:val="auto"/>
        </w:rPr>
        <w:t>The amendment in 2015 of the Justice (NI) Act, 2002 to introduce the best interest principles as a core aim of the youth justice system</w:t>
      </w:r>
      <w:r w:rsidR="00A47D63" w:rsidRPr="00080E86">
        <w:rPr>
          <w:color w:val="auto"/>
        </w:rPr>
        <w:t xml:space="preserve"> in </w:t>
      </w:r>
      <w:r w:rsidR="003006F1">
        <w:rPr>
          <w:color w:val="auto"/>
        </w:rPr>
        <w:t xml:space="preserve">NI </w:t>
      </w:r>
      <w:r w:rsidRPr="00080E86">
        <w:rPr>
          <w:color w:val="auto"/>
        </w:rPr>
        <w:t xml:space="preserve">is welcome and to be applauded.  However there is little evidence as to how this has been implemented across all the relevant criminal justice agencies.  </w:t>
      </w:r>
    </w:p>
    <w:p w:rsidR="00A47D63" w:rsidRPr="00080E86" w:rsidRDefault="00A47D63" w:rsidP="0039197B">
      <w:pPr>
        <w:pStyle w:val="NICCYBodyText"/>
        <w:spacing w:line="240" w:lineRule="auto"/>
        <w:jc w:val="both"/>
        <w:rPr>
          <w:color w:val="auto"/>
          <w:lang w:eastAsia="en-GB"/>
        </w:rPr>
      </w:pPr>
    </w:p>
    <w:p w:rsidR="00271ACB" w:rsidRPr="00080E86" w:rsidRDefault="00A47D63" w:rsidP="0039197B">
      <w:pPr>
        <w:pStyle w:val="NICCYBodyText"/>
        <w:spacing w:line="240" w:lineRule="auto"/>
        <w:jc w:val="both"/>
        <w:rPr>
          <w:b/>
          <w:color w:val="auto"/>
        </w:rPr>
      </w:pPr>
      <w:r w:rsidRPr="00080E86">
        <w:rPr>
          <w:b/>
          <w:color w:val="auto"/>
        </w:rPr>
        <w:t xml:space="preserve">NICCY would welcome a revised </w:t>
      </w:r>
      <w:r w:rsidR="00D76D62">
        <w:rPr>
          <w:b/>
          <w:color w:val="auto"/>
        </w:rPr>
        <w:t>G</w:t>
      </w:r>
      <w:r w:rsidRPr="00080E86">
        <w:rPr>
          <w:b/>
          <w:color w:val="auto"/>
        </w:rPr>
        <w:t xml:space="preserve">eneral </w:t>
      </w:r>
      <w:r w:rsidR="00D76D62">
        <w:rPr>
          <w:b/>
          <w:color w:val="auto"/>
        </w:rPr>
        <w:t>C</w:t>
      </w:r>
      <w:r w:rsidRPr="00080E86">
        <w:rPr>
          <w:b/>
          <w:color w:val="auto"/>
        </w:rPr>
        <w:t>omment</w:t>
      </w:r>
      <w:r w:rsidR="00D76D62">
        <w:rPr>
          <w:b/>
          <w:color w:val="auto"/>
        </w:rPr>
        <w:t xml:space="preserve"> 10</w:t>
      </w:r>
      <w:r w:rsidRPr="00080E86">
        <w:rPr>
          <w:b/>
          <w:color w:val="auto"/>
        </w:rPr>
        <w:t xml:space="preserve"> includ</w:t>
      </w:r>
      <w:r w:rsidR="00D76D62">
        <w:rPr>
          <w:b/>
          <w:color w:val="auto"/>
        </w:rPr>
        <w:t>ing</w:t>
      </w:r>
      <w:r w:rsidRPr="00080E86">
        <w:rPr>
          <w:b/>
          <w:color w:val="auto"/>
        </w:rPr>
        <w:t xml:space="preserve"> clear indicators as to how a </w:t>
      </w:r>
      <w:r w:rsidR="00D76D62">
        <w:rPr>
          <w:b/>
          <w:color w:val="auto"/>
        </w:rPr>
        <w:t xml:space="preserve">youth justice </w:t>
      </w:r>
      <w:r w:rsidRPr="00080E86">
        <w:rPr>
          <w:b/>
          <w:color w:val="auto"/>
        </w:rPr>
        <w:t xml:space="preserve">system </w:t>
      </w:r>
      <w:r w:rsidR="00D76D62">
        <w:rPr>
          <w:b/>
          <w:color w:val="auto"/>
        </w:rPr>
        <w:t xml:space="preserve">should </w:t>
      </w:r>
      <w:r w:rsidRPr="00080E86">
        <w:rPr>
          <w:b/>
          <w:color w:val="auto"/>
        </w:rPr>
        <w:t xml:space="preserve">provide evidence that it </w:t>
      </w:r>
      <w:r w:rsidR="00D76D62">
        <w:rPr>
          <w:b/>
          <w:color w:val="auto"/>
        </w:rPr>
        <w:t>meaningfully upholds</w:t>
      </w:r>
      <w:r w:rsidR="00D76D62" w:rsidRPr="00080E86">
        <w:rPr>
          <w:b/>
          <w:color w:val="auto"/>
        </w:rPr>
        <w:t xml:space="preserve"> </w:t>
      </w:r>
      <w:r w:rsidRPr="00080E86">
        <w:rPr>
          <w:b/>
          <w:color w:val="auto"/>
        </w:rPr>
        <w:t>the best interests</w:t>
      </w:r>
      <w:r w:rsidR="00D76D62">
        <w:rPr>
          <w:b/>
          <w:color w:val="auto"/>
        </w:rPr>
        <w:t xml:space="preserve"> of the child as a core</w:t>
      </w:r>
      <w:r w:rsidRPr="00080E86">
        <w:rPr>
          <w:b/>
          <w:color w:val="auto"/>
        </w:rPr>
        <w:t xml:space="preserve"> principle</w:t>
      </w:r>
      <w:r w:rsidR="00D76D62">
        <w:rPr>
          <w:b/>
          <w:color w:val="auto"/>
        </w:rPr>
        <w:t xml:space="preserve"> of the system</w:t>
      </w:r>
      <w:r w:rsidRPr="00080E86">
        <w:rPr>
          <w:b/>
          <w:color w:val="auto"/>
        </w:rPr>
        <w:t xml:space="preserve">. </w:t>
      </w:r>
    </w:p>
    <w:p w:rsidR="00A47D63" w:rsidRDefault="00A47D63" w:rsidP="0039197B">
      <w:pPr>
        <w:pStyle w:val="NICCYBodyText"/>
        <w:spacing w:line="240" w:lineRule="auto"/>
        <w:jc w:val="both"/>
        <w:rPr>
          <w:b/>
          <w:color w:val="auto"/>
        </w:rPr>
      </w:pPr>
    </w:p>
    <w:p w:rsidR="00271ACB" w:rsidRPr="009A1489" w:rsidRDefault="00271ACB" w:rsidP="0039197B">
      <w:pPr>
        <w:pStyle w:val="NICCYBodyText"/>
        <w:spacing w:line="240" w:lineRule="auto"/>
        <w:jc w:val="both"/>
        <w:rPr>
          <w:b/>
          <w:color w:val="00B0F0"/>
        </w:rPr>
      </w:pPr>
      <w:r w:rsidRPr="009A1489">
        <w:rPr>
          <w:b/>
          <w:color w:val="00B0F0"/>
        </w:rPr>
        <w:t xml:space="preserve">Delay </w:t>
      </w:r>
    </w:p>
    <w:p w:rsidR="00D76D62" w:rsidRPr="00080E86" w:rsidRDefault="00271ACB" w:rsidP="0039197B">
      <w:pPr>
        <w:pStyle w:val="NICCYBodyText"/>
        <w:spacing w:line="240" w:lineRule="auto"/>
        <w:jc w:val="both"/>
        <w:rPr>
          <w:color w:val="auto"/>
        </w:rPr>
      </w:pPr>
      <w:r w:rsidRPr="00080E86">
        <w:rPr>
          <w:color w:val="auto"/>
        </w:rPr>
        <w:t xml:space="preserve">The issue </w:t>
      </w:r>
      <w:r w:rsidR="00A47D63" w:rsidRPr="00080E86">
        <w:rPr>
          <w:color w:val="auto"/>
        </w:rPr>
        <w:t>that most animated the YJR team</w:t>
      </w:r>
      <w:r w:rsidRPr="00080E86">
        <w:rPr>
          <w:color w:val="auto"/>
        </w:rPr>
        <w:t xml:space="preserve"> was the “unconscionable” levels of delay within the </w:t>
      </w:r>
      <w:r w:rsidR="00D76D62">
        <w:rPr>
          <w:color w:val="auto"/>
        </w:rPr>
        <w:t xml:space="preserve">Northern Ireland </w:t>
      </w:r>
      <w:r w:rsidRPr="00080E86">
        <w:rPr>
          <w:color w:val="auto"/>
        </w:rPr>
        <w:t>youth justice system. They made a clear recommendation that</w:t>
      </w:r>
      <w:r w:rsidR="00D76D62">
        <w:rPr>
          <w:color w:val="auto"/>
        </w:rPr>
        <w:t>,</w:t>
      </w:r>
      <w:r w:rsidRPr="00080E86">
        <w:rPr>
          <w:color w:val="auto"/>
        </w:rPr>
        <w:t xml:space="preserve"> </w:t>
      </w:r>
      <w:r w:rsidR="00D76D62">
        <w:rPr>
          <w:color w:val="auto"/>
        </w:rPr>
        <w:t>“</w:t>
      </w:r>
      <w:r w:rsidRPr="00080E86">
        <w:rPr>
          <w:color w:val="auto"/>
        </w:rPr>
        <w:t xml:space="preserve">statutory time limits (STLs) should be introduced for all youth cases providing a maximum </w:t>
      </w:r>
      <w:r w:rsidRPr="00080E86">
        <w:rPr>
          <w:color w:val="auto"/>
        </w:rPr>
        <w:lastRenderedPageBreak/>
        <w:t>period from arrest to disposal of 120 days”</w:t>
      </w:r>
      <w:r w:rsidRPr="00080E86">
        <w:rPr>
          <w:rStyle w:val="FootnoteReference"/>
          <w:color w:val="auto"/>
        </w:rPr>
        <w:footnoteReference w:id="11"/>
      </w:r>
      <w:r w:rsidRPr="00080E86">
        <w:rPr>
          <w:color w:val="auto"/>
        </w:rPr>
        <w:t xml:space="preserve">.  They went on to state that it should be introduced in the </w:t>
      </w:r>
      <w:r w:rsidRPr="00080E86">
        <w:rPr>
          <w:i/>
          <w:color w:val="auto"/>
        </w:rPr>
        <w:t xml:space="preserve">next </w:t>
      </w:r>
      <w:r w:rsidRPr="00080E86">
        <w:rPr>
          <w:color w:val="auto"/>
        </w:rPr>
        <w:t>Justice Bill with full implementation a year later.  Since the publication of the YJR there have been 3 Justice Acts</w:t>
      </w:r>
      <w:r w:rsidRPr="00080E86">
        <w:rPr>
          <w:rStyle w:val="FootnoteReference"/>
          <w:color w:val="auto"/>
        </w:rPr>
        <w:footnoteReference w:id="12"/>
      </w:r>
      <w:r w:rsidRPr="00080E86">
        <w:rPr>
          <w:color w:val="auto"/>
        </w:rPr>
        <w:t xml:space="preserve"> passed by the </w:t>
      </w:r>
      <w:r w:rsidR="003006F1">
        <w:rPr>
          <w:color w:val="auto"/>
        </w:rPr>
        <w:t xml:space="preserve">NI </w:t>
      </w:r>
      <w:r w:rsidRPr="00080E86">
        <w:rPr>
          <w:color w:val="auto"/>
        </w:rPr>
        <w:t>Assembly</w:t>
      </w:r>
      <w:r w:rsidR="00D76D62">
        <w:rPr>
          <w:color w:val="auto"/>
        </w:rPr>
        <w:t>,</w:t>
      </w:r>
      <w:r w:rsidRPr="00080E86">
        <w:rPr>
          <w:color w:val="auto"/>
        </w:rPr>
        <w:t xml:space="preserve"> none of which introduced STLs for youth justice cases.  Piecemeal measures such as summons reform have been introduced and the latest available statistics from the </w:t>
      </w:r>
      <w:r w:rsidR="00D76D62">
        <w:rPr>
          <w:color w:val="auto"/>
        </w:rPr>
        <w:t>Department of Justice (</w:t>
      </w:r>
      <w:r w:rsidRPr="00080E86">
        <w:rPr>
          <w:color w:val="auto"/>
        </w:rPr>
        <w:t>DoJ</w:t>
      </w:r>
      <w:r w:rsidR="00D76D62">
        <w:rPr>
          <w:color w:val="auto"/>
        </w:rPr>
        <w:t>)</w:t>
      </w:r>
      <w:r w:rsidRPr="00080E86">
        <w:rPr>
          <w:color w:val="auto"/>
        </w:rPr>
        <w:t xml:space="preserve"> indicate that there has been no improvement in</w:t>
      </w:r>
      <w:r w:rsidR="009A1489">
        <w:rPr>
          <w:color w:val="auto"/>
        </w:rPr>
        <w:t xml:space="preserve"> delays for youth justice cases.</w:t>
      </w:r>
      <w:r w:rsidRPr="00080E86">
        <w:rPr>
          <w:color w:val="auto"/>
        </w:rPr>
        <w:t xml:space="preserve"> Despite the fact that less youth cases are progressing to courts the median number of days taken</w:t>
      </w:r>
      <w:r w:rsidR="00D76D62">
        <w:rPr>
          <w:color w:val="auto"/>
        </w:rPr>
        <w:t xml:space="preserve"> has</w:t>
      </w:r>
      <w:r w:rsidRPr="00080E86">
        <w:rPr>
          <w:color w:val="auto"/>
        </w:rPr>
        <w:t xml:space="preserve"> increased between 2015/16 and 2016/17 </w:t>
      </w:r>
      <w:r w:rsidR="00A47D63" w:rsidRPr="00080E86">
        <w:rPr>
          <w:color w:val="auto"/>
        </w:rPr>
        <w:t xml:space="preserve">and indeed children are subject much longer delays that adults as outlined below: </w:t>
      </w:r>
    </w:p>
    <w:p w:rsidR="00271ACB" w:rsidRPr="00080E86" w:rsidRDefault="00271ACB" w:rsidP="007665A5">
      <w:pPr>
        <w:pStyle w:val="NICCYBodyText"/>
        <w:spacing w:line="240" w:lineRule="auto"/>
        <w:ind w:firstLine="397"/>
        <w:jc w:val="both"/>
        <w:rPr>
          <w:color w:val="auto"/>
        </w:rPr>
      </w:pPr>
      <w:r w:rsidRPr="00080E86">
        <w:rPr>
          <w:color w:val="auto"/>
        </w:rPr>
        <w:t xml:space="preserve">Charged </w:t>
      </w:r>
      <w:r w:rsidR="007665A5" w:rsidRPr="00080E86">
        <w:rPr>
          <w:color w:val="auto"/>
        </w:rPr>
        <w:tab/>
        <w:t>adults (69 days</w:t>
      </w:r>
      <w:r w:rsidRPr="00080E86">
        <w:rPr>
          <w:color w:val="auto"/>
        </w:rPr>
        <w:t xml:space="preserve">) </w:t>
      </w:r>
      <w:r w:rsidR="007665A5" w:rsidRPr="00080E86">
        <w:rPr>
          <w:color w:val="auto"/>
        </w:rPr>
        <w:tab/>
      </w:r>
      <w:r w:rsidR="007665A5" w:rsidRPr="00080E86">
        <w:rPr>
          <w:color w:val="auto"/>
        </w:rPr>
        <w:tab/>
        <w:t>children (110 days</w:t>
      </w:r>
      <w:r w:rsidRPr="00080E86">
        <w:rPr>
          <w:color w:val="auto"/>
        </w:rPr>
        <w:t>)</w:t>
      </w:r>
    </w:p>
    <w:p w:rsidR="00271ACB" w:rsidRPr="00080E86" w:rsidRDefault="00271ACB" w:rsidP="007665A5">
      <w:pPr>
        <w:pStyle w:val="NICCYBodyText"/>
        <w:spacing w:line="240" w:lineRule="auto"/>
        <w:ind w:firstLine="397"/>
        <w:jc w:val="both"/>
        <w:rPr>
          <w:color w:val="auto"/>
        </w:rPr>
      </w:pPr>
      <w:r w:rsidRPr="00080E86">
        <w:rPr>
          <w:color w:val="auto"/>
        </w:rPr>
        <w:t xml:space="preserve">Summons </w:t>
      </w:r>
      <w:r w:rsidR="007665A5" w:rsidRPr="00080E86">
        <w:rPr>
          <w:color w:val="auto"/>
        </w:rPr>
        <w:tab/>
        <w:t>adults (198</w:t>
      </w:r>
      <w:r w:rsidR="00D76D62">
        <w:rPr>
          <w:color w:val="auto"/>
        </w:rPr>
        <w:t xml:space="preserve"> days</w:t>
      </w:r>
      <w:r w:rsidRPr="00080E86">
        <w:rPr>
          <w:color w:val="auto"/>
        </w:rPr>
        <w:t xml:space="preserve">) </w:t>
      </w:r>
      <w:r w:rsidR="003006F1">
        <w:rPr>
          <w:color w:val="auto"/>
        </w:rPr>
        <w:tab/>
      </w:r>
      <w:r w:rsidR="003006F1">
        <w:rPr>
          <w:color w:val="auto"/>
        </w:rPr>
        <w:tab/>
      </w:r>
      <w:r w:rsidR="007665A5" w:rsidRPr="00080E86">
        <w:rPr>
          <w:color w:val="auto"/>
        </w:rPr>
        <w:t>children (248</w:t>
      </w:r>
      <w:r w:rsidR="00D76D62">
        <w:rPr>
          <w:color w:val="auto"/>
        </w:rPr>
        <w:t xml:space="preserve"> days</w:t>
      </w:r>
      <w:r w:rsidRPr="00080E86">
        <w:rPr>
          <w:color w:val="auto"/>
        </w:rPr>
        <w:t>)</w:t>
      </w:r>
      <w:r w:rsidR="00A47D63" w:rsidRPr="00080E86">
        <w:rPr>
          <w:rStyle w:val="FootnoteReference"/>
          <w:color w:val="auto"/>
        </w:rPr>
        <w:footnoteReference w:id="13"/>
      </w:r>
      <w:r w:rsidRPr="00080E86">
        <w:rPr>
          <w:color w:val="auto"/>
        </w:rPr>
        <w:t xml:space="preserve"> </w:t>
      </w:r>
    </w:p>
    <w:p w:rsidR="007665A5" w:rsidRDefault="007665A5" w:rsidP="0039197B">
      <w:pPr>
        <w:pStyle w:val="NICCYBodyText"/>
        <w:spacing w:line="240" w:lineRule="auto"/>
        <w:jc w:val="both"/>
      </w:pPr>
    </w:p>
    <w:p w:rsidR="007665A5" w:rsidRPr="009A1489" w:rsidRDefault="007665A5" w:rsidP="0039197B">
      <w:pPr>
        <w:pStyle w:val="NICCYBodyText"/>
        <w:spacing w:line="240" w:lineRule="auto"/>
        <w:jc w:val="both"/>
        <w:rPr>
          <w:b/>
          <w:color w:val="auto"/>
        </w:rPr>
      </w:pPr>
      <w:r w:rsidRPr="009A1489">
        <w:rPr>
          <w:b/>
          <w:color w:val="auto"/>
        </w:rPr>
        <w:t>NICCY would welcome a continued</w:t>
      </w:r>
      <w:r w:rsidR="00D76D62">
        <w:rPr>
          <w:b/>
          <w:color w:val="auto"/>
        </w:rPr>
        <w:t xml:space="preserve"> and enhanced</w:t>
      </w:r>
      <w:r w:rsidRPr="009A1489">
        <w:rPr>
          <w:b/>
          <w:color w:val="auto"/>
        </w:rPr>
        <w:t xml:space="preserve"> focus in the revised </w:t>
      </w:r>
      <w:r w:rsidR="00D76D62">
        <w:rPr>
          <w:b/>
          <w:color w:val="auto"/>
        </w:rPr>
        <w:t>G</w:t>
      </w:r>
      <w:r w:rsidRPr="009A1489">
        <w:rPr>
          <w:b/>
          <w:color w:val="auto"/>
        </w:rPr>
        <w:t xml:space="preserve">eneral </w:t>
      </w:r>
      <w:r w:rsidR="00D76D62">
        <w:rPr>
          <w:b/>
          <w:color w:val="auto"/>
        </w:rPr>
        <w:t>C</w:t>
      </w:r>
      <w:r w:rsidRPr="009A1489">
        <w:rPr>
          <w:b/>
          <w:color w:val="auto"/>
        </w:rPr>
        <w:t xml:space="preserve">omment of the importance of </w:t>
      </w:r>
      <w:r w:rsidR="00D76D62">
        <w:rPr>
          <w:b/>
          <w:color w:val="auto"/>
        </w:rPr>
        <w:t xml:space="preserve">undertaking </w:t>
      </w:r>
      <w:r w:rsidRPr="009A1489">
        <w:rPr>
          <w:b/>
          <w:color w:val="auto"/>
        </w:rPr>
        <w:t xml:space="preserve">due process </w:t>
      </w:r>
      <w:r w:rsidR="00D76D62">
        <w:rPr>
          <w:b/>
          <w:color w:val="auto"/>
        </w:rPr>
        <w:t>for children</w:t>
      </w:r>
      <w:r w:rsidRPr="009A1489">
        <w:rPr>
          <w:b/>
          <w:color w:val="auto"/>
        </w:rPr>
        <w:t xml:space="preserve"> in a timely </w:t>
      </w:r>
      <w:r w:rsidR="00D76D62">
        <w:rPr>
          <w:b/>
          <w:color w:val="auto"/>
        </w:rPr>
        <w:t>manner</w:t>
      </w:r>
      <w:r w:rsidRPr="009A1489">
        <w:rPr>
          <w:b/>
          <w:color w:val="auto"/>
        </w:rPr>
        <w:t xml:space="preserve">. </w:t>
      </w:r>
    </w:p>
    <w:p w:rsidR="009249B7" w:rsidRPr="00872FD4" w:rsidRDefault="009249B7" w:rsidP="0039197B">
      <w:pPr>
        <w:pStyle w:val="NICCYBodyText"/>
        <w:spacing w:line="240" w:lineRule="auto"/>
        <w:jc w:val="both"/>
      </w:pPr>
    </w:p>
    <w:p w:rsidR="00271ACB" w:rsidRPr="009A1489" w:rsidRDefault="00271ACB" w:rsidP="0039197B">
      <w:pPr>
        <w:pStyle w:val="NICCYBodyText"/>
        <w:spacing w:line="240" w:lineRule="auto"/>
        <w:jc w:val="both"/>
        <w:rPr>
          <w:b/>
          <w:color w:val="00B0F0"/>
        </w:rPr>
      </w:pPr>
      <w:r w:rsidRPr="009A1489">
        <w:rPr>
          <w:b/>
          <w:color w:val="00B0F0"/>
        </w:rPr>
        <w:t xml:space="preserve">Stop and Search </w:t>
      </w:r>
      <w:r w:rsidR="007665A5" w:rsidRPr="009A1489">
        <w:rPr>
          <w:b/>
          <w:color w:val="00B0F0"/>
        </w:rPr>
        <w:t xml:space="preserve">by Police </w:t>
      </w:r>
    </w:p>
    <w:p w:rsidR="00271ACB" w:rsidRPr="00872FD4" w:rsidRDefault="009A1489" w:rsidP="0039197B">
      <w:pPr>
        <w:jc w:val="both"/>
        <w:rPr>
          <w:rFonts w:ascii="Arial" w:hAnsi="Arial" w:cs="Arial"/>
          <w:sz w:val="24"/>
          <w:szCs w:val="24"/>
        </w:rPr>
      </w:pPr>
      <w:r>
        <w:rPr>
          <w:rFonts w:ascii="Arial" w:hAnsi="Arial" w:cs="Arial"/>
          <w:sz w:val="24"/>
          <w:szCs w:val="24"/>
        </w:rPr>
        <w:t>One of the</w:t>
      </w:r>
      <w:r w:rsidR="00271ACB" w:rsidRPr="00872FD4">
        <w:rPr>
          <w:rFonts w:ascii="Arial" w:hAnsi="Arial" w:cs="Arial"/>
          <w:sz w:val="24"/>
          <w:szCs w:val="24"/>
        </w:rPr>
        <w:t xml:space="preserve"> biggest concerns</w:t>
      </w:r>
      <w:r>
        <w:rPr>
          <w:rFonts w:ascii="Arial" w:hAnsi="Arial" w:cs="Arial"/>
          <w:sz w:val="24"/>
          <w:szCs w:val="24"/>
        </w:rPr>
        <w:t xml:space="preserve"> of young people concerning the police</w:t>
      </w:r>
      <w:r w:rsidR="00271ACB" w:rsidRPr="00872FD4">
        <w:rPr>
          <w:rFonts w:ascii="Arial" w:hAnsi="Arial" w:cs="Arial"/>
          <w:sz w:val="24"/>
          <w:szCs w:val="24"/>
        </w:rPr>
        <w:t xml:space="preserve"> is the use of stop and search</w:t>
      </w:r>
      <w:r>
        <w:rPr>
          <w:rFonts w:ascii="Arial" w:hAnsi="Arial" w:cs="Arial"/>
          <w:sz w:val="24"/>
          <w:szCs w:val="24"/>
        </w:rPr>
        <w:t>.  Many young people</w:t>
      </w:r>
      <w:r w:rsidR="00271ACB" w:rsidRPr="00872FD4">
        <w:rPr>
          <w:rFonts w:ascii="Arial" w:hAnsi="Arial" w:cs="Arial"/>
          <w:sz w:val="24"/>
          <w:szCs w:val="24"/>
        </w:rPr>
        <w:t xml:space="preserve"> believe that they are discriminated against and treated with disrespect which may exacerbate an already tense situation.  Whilst </w:t>
      </w:r>
      <w:r>
        <w:rPr>
          <w:rFonts w:ascii="Arial" w:hAnsi="Arial" w:cs="Arial"/>
          <w:sz w:val="24"/>
          <w:szCs w:val="24"/>
        </w:rPr>
        <w:t>the PSNI</w:t>
      </w:r>
      <w:r w:rsidR="00271ACB" w:rsidRPr="00872FD4">
        <w:rPr>
          <w:rFonts w:ascii="Arial" w:hAnsi="Arial" w:cs="Arial"/>
          <w:sz w:val="24"/>
          <w:szCs w:val="24"/>
        </w:rPr>
        <w:t xml:space="preserve"> ha</w:t>
      </w:r>
      <w:r w:rsidR="00D76D62">
        <w:rPr>
          <w:rFonts w:ascii="Arial" w:hAnsi="Arial" w:cs="Arial"/>
          <w:sz w:val="24"/>
          <w:szCs w:val="24"/>
        </w:rPr>
        <w:t>s</w:t>
      </w:r>
      <w:r w:rsidR="00271ACB" w:rsidRPr="00872FD4">
        <w:rPr>
          <w:rFonts w:ascii="Arial" w:hAnsi="Arial" w:cs="Arial"/>
          <w:sz w:val="24"/>
          <w:szCs w:val="24"/>
        </w:rPr>
        <w:t xml:space="preserve"> a clear policy commitment to children’s rights this </w:t>
      </w:r>
      <w:r w:rsidR="00D76D62">
        <w:rPr>
          <w:rFonts w:ascii="Arial" w:hAnsi="Arial" w:cs="Arial"/>
          <w:sz w:val="24"/>
          <w:szCs w:val="24"/>
        </w:rPr>
        <w:t>is significantly undermined</w:t>
      </w:r>
      <w:r w:rsidR="00271ACB" w:rsidRPr="00872FD4">
        <w:rPr>
          <w:rFonts w:ascii="Arial" w:hAnsi="Arial" w:cs="Arial"/>
          <w:sz w:val="24"/>
          <w:szCs w:val="24"/>
        </w:rPr>
        <w:t xml:space="preserve"> if </w:t>
      </w:r>
      <w:r w:rsidR="00D76D62">
        <w:rPr>
          <w:rFonts w:ascii="Arial" w:hAnsi="Arial" w:cs="Arial"/>
          <w:sz w:val="24"/>
          <w:szCs w:val="24"/>
        </w:rPr>
        <w:t>this is the experience of young people who</w:t>
      </w:r>
      <w:r w:rsidR="00271ACB" w:rsidRPr="00872FD4">
        <w:rPr>
          <w:rFonts w:ascii="Arial" w:hAnsi="Arial" w:cs="Arial"/>
          <w:sz w:val="24"/>
          <w:szCs w:val="24"/>
        </w:rPr>
        <w:t xml:space="preserve"> engage with </w:t>
      </w:r>
      <w:r w:rsidR="00D76D62">
        <w:rPr>
          <w:rFonts w:ascii="Arial" w:hAnsi="Arial" w:cs="Arial"/>
          <w:sz w:val="24"/>
          <w:szCs w:val="24"/>
        </w:rPr>
        <w:t>the PSNI</w:t>
      </w:r>
      <w:r w:rsidR="00271ACB" w:rsidRPr="00872FD4">
        <w:rPr>
          <w:rFonts w:ascii="Arial" w:hAnsi="Arial" w:cs="Arial"/>
          <w:sz w:val="24"/>
          <w:szCs w:val="24"/>
        </w:rPr>
        <w:t xml:space="preserve"> in routine operations.  It is these experiences that shape the views of young people, t</w:t>
      </w:r>
      <w:r>
        <w:rPr>
          <w:rFonts w:ascii="Arial" w:hAnsi="Arial" w:cs="Arial"/>
          <w:sz w:val="24"/>
          <w:szCs w:val="24"/>
        </w:rPr>
        <w:t xml:space="preserve">heir families and communities and which </w:t>
      </w:r>
      <w:r w:rsidR="00271ACB" w:rsidRPr="00872FD4">
        <w:rPr>
          <w:rFonts w:ascii="Arial" w:hAnsi="Arial" w:cs="Arial"/>
          <w:sz w:val="24"/>
          <w:szCs w:val="24"/>
        </w:rPr>
        <w:t>reduce the likelihood that a young person will have confidence in the PSNI if they are victim of crime in the future</w:t>
      </w:r>
      <w:r w:rsidR="00D76D62">
        <w:rPr>
          <w:rFonts w:ascii="Arial" w:hAnsi="Arial" w:cs="Arial"/>
          <w:sz w:val="24"/>
          <w:szCs w:val="24"/>
        </w:rPr>
        <w:t>, which they are statistically more likely to be than any other group</w:t>
      </w:r>
      <w:r w:rsidR="00271ACB" w:rsidRPr="00872FD4">
        <w:rPr>
          <w:rFonts w:ascii="Arial" w:hAnsi="Arial" w:cs="Arial"/>
          <w:sz w:val="24"/>
          <w:szCs w:val="24"/>
        </w:rPr>
        <w:t xml:space="preserve">. </w:t>
      </w:r>
    </w:p>
    <w:p w:rsidR="00271ACB" w:rsidRPr="00872FD4" w:rsidRDefault="00271ACB" w:rsidP="0039197B">
      <w:pPr>
        <w:jc w:val="both"/>
        <w:rPr>
          <w:rFonts w:ascii="Arial" w:hAnsi="Arial" w:cs="Arial"/>
          <w:sz w:val="24"/>
          <w:szCs w:val="24"/>
        </w:rPr>
      </w:pPr>
    </w:p>
    <w:p w:rsidR="00872FD4" w:rsidRPr="003006F1" w:rsidRDefault="00271ACB" w:rsidP="003006F1">
      <w:pPr>
        <w:jc w:val="both"/>
        <w:rPr>
          <w:rFonts w:ascii="Arial" w:hAnsi="Arial" w:cs="Arial"/>
          <w:color w:val="111111"/>
          <w:sz w:val="24"/>
          <w:szCs w:val="24"/>
        </w:rPr>
      </w:pPr>
      <w:r w:rsidRPr="00872FD4">
        <w:rPr>
          <w:rFonts w:ascii="Arial" w:hAnsi="Arial" w:cs="Arial"/>
          <w:sz w:val="24"/>
          <w:szCs w:val="24"/>
        </w:rPr>
        <w:t>The question remains with regards to</w:t>
      </w:r>
      <w:r w:rsidR="009A1489">
        <w:rPr>
          <w:rFonts w:ascii="Arial" w:hAnsi="Arial" w:cs="Arial"/>
          <w:sz w:val="24"/>
          <w:szCs w:val="24"/>
        </w:rPr>
        <w:t xml:space="preserve"> the purpose of stop and s</w:t>
      </w:r>
      <w:r w:rsidRPr="00872FD4">
        <w:rPr>
          <w:rFonts w:ascii="Arial" w:hAnsi="Arial" w:cs="Arial"/>
          <w:sz w:val="24"/>
          <w:szCs w:val="24"/>
        </w:rPr>
        <w:t xml:space="preserve">earch operations.  The PSNI reasonably suggest that the arrest and prosecution cannot be the only measure used </w:t>
      </w:r>
      <w:r w:rsidR="00D76D62">
        <w:rPr>
          <w:rFonts w:ascii="Arial" w:hAnsi="Arial" w:cs="Arial"/>
          <w:sz w:val="24"/>
          <w:szCs w:val="24"/>
        </w:rPr>
        <w:t xml:space="preserve">when dealing with young people </w:t>
      </w:r>
      <w:r w:rsidRPr="00872FD4">
        <w:rPr>
          <w:rFonts w:ascii="Arial" w:hAnsi="Arial" w:cs="Arial"/>
          <w:sz w:val="24"/>
          <w:szCs w:val="24"/>
        </w:rPr>
        <w:t>and state that prevention and deterrence</w:t>
      </w:r>
      <w:r w:rsidR="00D76D62">
        <w:rPr>
          <w:rFonts w:ascii="Arial" w:hAnsi="Arial" w:cs="Arial"/>
          <w:sz w:val="24"/>
          <w:szCs w:val="24"/>
        </w:rPr>
        <w:t>,</w:t>
      </w:r>
      <w:r w:rsidRPr="00872FD4">
        <w:rPr>
          <w:rFonts w:ascii="Arial" w:hAnsi="Arial" w:cs="Arial"/>
          <w:sz w:val="24"/>
          <w:szCs w:val="24"/>
        </w:rPr>
        <w:t xml:space="preserve"> alongside supporting young people vulnerable to drug and alcohol misuse</w:t>
      </w:r>
      <w:r w:rsidR="00924A33" w:rsidRPr="00872FD4">
        <w:rPr>
          <w:rFonts w:ascii="Arial" w:hAnsi="Arial" w:cs="Arial"/>
          <w:sz w:val="24"/>
          <w:szCs w:val="24"/>
        </w:rPr>
        <w:t xml:space="preserve"> are also acceptable </w:t>
      </w:r>
      <w:r w:rsidR="00D76D62">
        <w:rPr>
          <w:rFonts w:ascii="Arial" w:hAnsi="Arial" w:cs="Arial"/>
          <w:sz w:val="24"/>
          <w:szCs w:val="24"/>
        </w:rPr>
        <w:t xml:space="preserve">stop and search </w:t>
      </w:r>
      <w:r w:rsidR="00924A33" w:rsidRPr="00872FD4">
        <w:rPr>
          <w:rFonts w:ascii="Arial" w:hAnsi="Arial" w:cs="Arial"/>
          <w:sz w:val="24"/>
          <w:szCs w:val="24"/>
        </w:rPr>
        <w:t>outcomes.</w:t>
      </w:r>
      <w:r w:rsidRPr="00872FD4">
        <w:rPr>
          <w:rStyle w:val="FootnoteReference"/>
          <w:rFonts w:ascii="Arial" w:hAnsi="Arial" w:cs="Arial"/>
          <w:sz w:val="24"/>
          <w:szCs w:val="24"/>
        </w:rPr>
        <w:footnoteReference w:id="14"/>
      </w:r>
      <w:r w:rsidR="009A1489">
        <w:rPr>
          <w:rFonts w:ascii="Arial" w:hAnsi="Arial" w:cs="Arial"/>
          <w:color w:val="111111"/>
          <w:sz w:val="24"/>
          <w:szCs w:val="24"/>
        </w:rPr>
        <w:t xml:space="preserve">  </w:t>
      </w:r>
      <w:r w:rsidR="00924A33" w:rsidRPr="007665A5">
        <w:rPr>
          <w:rFonts w:ascii="Arial" w:hAnsi="Arial" w:cs="Arial"/>
          <w:sz w:val="24"/>
          <w:szCs w:val="24"/>
        </w:rPr>
        <w:t>However</w:t>
      </w:r>
      <w:r w:rsidR="00D76D62">
        <w:rPr>
          <w:rFonts w:ascii="Arial" w:hAnsi="Arial" w:cs="Arial"/>
          <w:sz w:val="24"/>
          <w:szCs w:val="24"/>
        </w:rPr>
        <w:t>,</w:t>
      </w:r>
      <w:r w:rsidR="00924A33" w:rsidRPr="007665A5">
        <w:rPr>
          <w:rFonts w:ascii="Arial" w:hAnsi="Arial" w:cs="Arial"/>
          <w:sz w:val="24"/>
          <w:szCs w:val="24"/>
        </w:rPr>
        <w:t xml:space="preserve"> the </w:t>
      </w:r>
      <w:r w:rsidRPr="007665A5">
        <w:rPr>
          <w:rFonts w:ascii="Arial" w:hAnsi="Arial" w:cs="Arial"/>
          <w:sz w:val="24"/>
          <w:szCs w:val="24"/>
        </w:rPr>
        <w:t xml:space="preserve">only outcome information </w:t>
      </w:r>
      <w:r w:rsidR="007665A5" w:rsidRPr="007665A5">
        <w:rPr>
          <w:rFonts w:ascii="Arial" w:hAnsi="Arial" w:cs="Arial"/>
          <w:sz w:val="24"/>
          <w:szCs w:val="24"/>
        </w:rPr>
        <w:t>available is arrest and in 20</w:t>
      </w:r>
      <w:r w:rsidRPr="007665A5">
        <w:rPr>
          <w:rFonts w:ascii="Arial" w:hAnsi="Arial" w:cs="Arial"/>
          <w:sz w:val="24"/>
          <w:szCs w:val="24"/>
        </w:rPr>
        <w:t>17</w:t>
      </w:r>
      <w:r w:rsidR="007665A5" w:rsidRPr="007665A5">
        <w:rPr>
          <w:rFonts w:ascii="Arial" w:hAnsi="Arial" w:cs="Arial"/>
          <w:sz w:val="24"/>
          <w:szCs w:val="24"/>
        </w:rPr>
        <w:t>/18</w:t>
      </w:r>
      <w:r w:rsidRPr="007665A5">
        <w:rPr>
          <w:rFonts w:ascii="Arial" w:hAnsi="Arial" w:cs="Arial"/>
          <w:sz w:val="24"/>
          <w:szCs w:val="24"/>
        </w:rPr>
        <w:t xml:space="preserve"> of the </w:t>
      </w:r>
      <w:r w:rsidR="007665A5" w:rsidRPr="007665A5">
        <w:rPr>
          <w:rFonts w:ascii="Arial" w:hAnsi="Arial" w:cs="Arial"/>
          <w:sz w:val="24"/>
          <w:szCs w:val="24"/>
        </w:rPr>
        <w:t>29,882</w:t>
      </w:r>
      <w:r w:rsidRPr="007665A5">
        <w:rPr>
          <w:rFonts w:ascii="Arial" w:hAnsi="Arial" w:cs="Arial"/>
          <w:sz w:val="24"/>
          <w:szCs w:val="24"/>
        </w:rPr>
        <w:t xml:space="preserve"> people stoppe</w:t>
      </w:r>
      <w:r w:rsidR="007665A5" w:rsidRPr="007665A5">
        <w:rPr>
          <w:rFonts w:ascii="Arial" w:hAnsi="Arial" w:cs="Arial"/>
          <w:sz w:val="24"/>
          <w:szCs w:val="24"/>
        </w:rPr>
        <w:t>d and searched</w:t>
      </w:r>
      <w:r w:rsidR="00D76D62">
        <w:rPr>
          <w:rFonts w:ascii="Arial" w:hAnsi="Arial" w:cs="Arial"/>
          <w:sz w:val="24"/>
          <w:szCs w:val="24"/>
        </w:rPr>
        <w:t xml:space="preserve"> only</w:t>
      </w:r>
      <w:r w:rsidR="007665A5" w:rsidRPr="007665A5">
        <w:rPr>
          <w:rFonts w:ascii="Arial" w:hAnsi="Arial" w:cs="Arial"/>
          <w:sz w:val="24"/>
          <w:szCs w:val="24"/>
        </w:rPr>
        <w:t xml:space="preserve"> 7</w:t>
      </w:r>
      <w:r w:rsidR="00872FD4" w:rsidRPr="007665A5">
        <w:rPr>
          <w:rFonts w:ascii="Arial" w:hAnsi="Arial" w:cs="Arial"/>
          <w:sz w:val="24"/>
          <w:szCs w:val="24"/>
        </w:rPr>
        <w:t>% were arrested</w:t>
      </w:r>
      <w:r w:rsidRPr="007665A5">
        <w:rPr>
          <w:rFonts w:ascii="Arial" w:hAnsi="Arial" w:cs="Arial"/>
          <w:sz w:val="24"/>
          <w:szCs w:val="24"/>
        </w:rPr>
        <w:t>.</w:t>
      </w:r>
      <w:r w:rsidR="00C3335E">
        <w:rPr>
          <w:rStyle w:val="FootnoteReference"/>
          <w:rFonts w:ascii="Arial" w:hAnsi="Arial" w:cs="Arial"/>
          <w:sz w:val="24"/>
          <w:szCs w:val="24"/>
        </w:rPr>
        <w:footnoteReference w:id="15"/>
      </w:r>
      <w:r w:rsidRPr="00872FD4">
        <w:rPr>
          <w:rFonts w:ascii="Arial" w:hAnsi="Arial" w:cs="Arial"/>
          <w:sz w:val="24"/>
          <w:szCs w:val="24"/>
        </w:rPr>
        <w:t xml:space="preserve"> </w:t>
      </w:r>
      <w:r w:rsidR="00872FD4" w:rsidRPr="00872FD4">
        <w:rPr>
          <w:rFonts w:ascii="Arial" w:hAnsi="Arial" w:cs="Arial"/>
          <w:sz w:val="24"/>
          <w:szCs w:val="24"/>
        </w:rPr>
        <w:t>Therefore</w:t>
      </w:r>
      <w:r w:rsidR="00D76D62">
        <w:rPr>
          <w:rFonts w:ascii="Arial" w:hAnsi="Arial" w:cs="Arial"/>
          <w:sz w:val="24"/>
          <w:szCs w:val="24"/>
        </w:rPr>
        <w:t>, it is NICCY’s view that</w:t>
      </w:r>
      <w:r w:rsidR="00872FD4" w:rsidRPr="00872FD4">
        <w:rPr>
          <w:rFonts w:ascii="Arial" w:hAnsi="Arial" w:cs="Arial"/>
          <w:sz w:val="24"/>
          <w:szCs w:val="24"/>
        </w:rPr>
        <w:t xml:space="preserve"> the </w:t>
      </w:r>
      <w:r w:rsidRPr="00872FD4">
        <w:rPr>
          <w:rFonts w:ascii="Arial" w:hAnsi="Arial" w:cs="Arial"/>
          <w:sz w:val="24"/>
          <w:szCs w:val="24"/>
        </w:rPr>
        <w:t xml:space="preserve">assertion that stop and search is an effective policing tool that meets a range of objectives is not a plausible one. </w:t>
      </w:r>
      <w:r w:rsidR="00872FD4" w:rsidRPr="00C3335E">
        <w:rPr>
          <w:rFonts w:ascii="Arial" w:eastAsiaTheme="minorEastAsia" w:hAnsi="Arial" w:cs="Arial"/>
          <w:sz w:val="24"/>
          <w:szCs w:val="24"/>
        </w:rPr>
        <w:t>Referencing Article 16</w:t>
      </w:r>
      <w:r w:rsidR="00D76D62">
        <w:rPr>
          <w:rFonts w:ascii="Arial" w:eastAsiaTheme="minorEastAsia" w:hAnsi="Arial" w:cs="Arial"/>
          <w:sz w:val="24"/>
          <w:szCs w:val="24"/>
        </w:rPr>
        <w:t xml:space="preserve"> of the UNCRC</w:t>
      </w:r>
      <w:r w:rsidR="00872FD4" w:rsidRPr="00C3335E">
        <w:rPr>
          <w:rFonts w:ascii="Arial" w:eastAsiaTheme="minorEastAsia" w:hAnsi="Arial" w:cs="Arial"/>
          <w:sz w:val="24"/>
          <w:szCs w:val="24"/>
        </w:rPr>
        <w:t>, the right to privacy</w:t>
      </w:r>
      <w:r w:rsidR="009A1489">
        <w:rPr>
          <w:rFonts w:ascii="Arial" w:eastAsiaTheme="minorEastAsia" w:hAnsi="Arial" w:cs="Arial"/>
          <w:sz w:val="24"/>
          <w:szCs w:val="24"/>
        </w:rPr>
        <w:t>,</w:t>
      </w:r>
      <w:r w:rsidR="00872FD4" w:rsidRPr="00C3335E">
        <w:rPr>
          <w:rFonts w:ascii="Arial" w:eastAsiaTheme="minorEastAsia" w:hAnsi="Arial" w:cs="Arial"/>
          <w:sz w:val="24"/>
          <w:szCs w:val="24"/>
        </w:rPr>
        <w:t xml:space="preserve"> the UN Committee recommended that the UK </w:t>
      </w:r>
      <w:r w:rsidR="00D76D62">
        <w:rPr>
          <w:rFonts w:ascii="Arial" w:eastAsiaTheme="minorEastAsia" w:hAnsi="Arial" w:cs="Arial"/>
          <w:sz w:val="24"/>
          <w:szCs w:val="24"/>
        </w:rPr>
        <w:t>G</w:t>
      </w:r>
      <w:r w:rsidR="00872FD4" w:rsidRPr="00C3335E">
        <w:rPr>
          <w:rFonts w:ascii="Arial" w:eastAsiaTheme="minorEastAsia" w:hAnsi="Arial" w:cs="Arial"/>
          <w:sz w:val="24"/>
          <w:szCs w:val="24"/>
        </w:rPr>
        <w:t xml:space="preserve">overnment </w:t>
      </w:r>
    </w:p>
    <w:p w:rsidR="00D76D62" w:rsidRPr="00C3335E" w:rsidRDefault="00D76D62" w:rsidP="0039197B">
      <w:pPr>
        <w:autoSpaceDE w:val="0"/>
        <w:autoSpaceDN w:val="0"/>
        <w:adjustRightInd w:val="0"/>
        <w:jc w:val="both"/>
        <w:rPr>
          <w:rFonts w:ascii="Arial" w:hAnsi="Arial" w:cs="Arial"/>
        </w:rPr>
      </w:pPr>
    </w:p>
    <w:p w:rsidR="00872FD4" w:rsidRPr="00C3335E" w:rsidRDefault="00872FD4" w:rsidP="0039197B">
      <w:pPr>
        <w:autoSpaceDE w:val="0"/>
        <w:autoSpaceDN w:val="0"/>
        <w:adjustRightInd w:val="0"/>
        <w:ind w:left="397" w:hanging="397"/>
        <w:jc w:val="both"/>
        <w:rPr>
          <w:rFonts w:ascii="Arial" w:eastAsiaTheme="minorEastAsia" w:hAnsi="Arial" w:cs="Arial"/>
          <w:i/>
          <w:sz w:val="24"/>
          <w:szCs w:val="24"/>
        </w:rPr>
      </w:pPr>
      <w:r w:rsidRPr="00C3335E">
        <w:rPr>
          <w:rFonts w:ascii="Arial" w:eastAsiaTheme="minorEastAsia" w:hAnsi="Arial" w:cs="Arial"/>
          <w:i/>
          <w:sz w:val="24"/>
          <w:szCs w:val="24"/>
        </w:rPr>
        <w:t>38.</w:t>
      </w:r>
      <w:r w:rsidRPr="00C3335E">
        <w:rPr>
          <w:rFonts w:ascii="Arial" w:eastAsiaTheme="minorEastAsia" w:hAnsi="Arial" w:cs="Arial"/>
          <w:i/>
          <w:sz w:val="24"/>
          <w:szCs w:val="24"/>
        </w:rPr>
        <w:tab/>
        <w:t xml:space="preserve"> (b) Ensure that the statutory use of the stop-and-search checks is proportionate, taking into consideration the age and maturity of the child, and non-discriminatory; </w:t>
      </w:r>
    </w:p>
    <w:p w:rsidR="00872FD4" w:rsidRPr="003006F1" w:rsidRDefault="00872FD4" w:rsidP="0039197B">
      <w:pPr>
        <w:autoSpaceDE w:val="0"/>
        <w:autoSpaceDN w:val="0"/>
        <w:adjustRightInd w:val="0"/>
        <w:ind w:left="390"/>
        <w:jc w:val="both"/>
        <w:rPr>
          <w:rFonts w:ascii="Arial" w:eastAsiaTheme="minorEastAsia" w:hAnsi="Arial" w:cs="Arial"/>
          <w:sz w:val="24"/>
          <w:szCs w:val="24"/>
        </w:rPr>
      </w:pPr>
      <w:r w:rsidRPr="00C3335E">
        <w:rPr>
          <w:rFonts w:ascii="Arial" w:eastAsiaTheme="minorEastAsia" w:hAnsi="Arial" w:cs="Arial"/>
          <w:i/>
          <w:sz w:val="24"/>
          <w:szCs w:val="24"/>
        </w:rPr>
        <w:t>(c)</w:t>
      </w:r>
      <w:r w:rsidRPr="00C3335E">
        <w:rPr>
          <w:rFonts w:ascii="Arial" w:eastAsiaTheme="minorEastAsia" w:hAnsi="Arial" w:cs="Arial"/>
          <w:i/>
          <w:sz w:val="24"/>
          <w:szCs w:val="24"/>
        </w:rPr>
        <w:tab/>
        <w:t>Regularly collect, analyse and publish data relating to the use of stop-and-search checks on children, disaggregated by age, sex, disability, geographic location, ethnic origin and socioeconomic background</w:t>
      </w:r>
      <w:r w:rsidRPr="003006F1">
        <w:rPr>
          <w:rFonts w:ascii="Arial" w:eastAsiaTheme="minorEastAsia" w:hAnsi="Arial" w:cs="Arial"/>
          <w:sz w:val="24"/>
          <w:szCs w:val="24"/>
        </w:rPr>
        <w:t>.</w:t>
      </w:r>
      <w:r w:rsidRPr="003006F1">
        <w:rPr>
          <w:rStyle w:val="FootnoteReference"/>
          <w:rFonts w:ascii="Arial" w:eastAsiaTheme="minorEastAsia" w:hAnsi="Arial" w:cs="Arial"/>
          <w:sz w:val="24"/>
          <w:szCs w:val="24"/>
        </w:rPr>
        <w:footnoteReference w:id="16"/>
      </w:r>
    </w:p>
    <w:p w:rsidR="00872FD4" w:rsidRPr="00872FD4" w:rsidRDefault="00872FD4" w:rsidP="0039197B">
      <w:pPr>
        <w:pStyle w:val="NICCYBodyText"/>
        <w:spacing w:line="240" w:lineRule="auto"/>
        <w:jc w:val="both"/>
        <w:rPr>
          <w:color w:val="auto"/>
        </w:rPr>
      </w:pPr>
    </w:p>
    <w:p w:rsidR="00872FD4" w:rsidRPr="00872FD4" w:rsidRDefault="00872FD4" w:rsidP="0039197B">
      <w:pPr>
        <w:pStyle w:val="NICCYBodyText"/>
        <w:spacing w:line="240" w:lineRule="auto"/>
        <w:jc w:val="both"/>
        <w:rPr>
          <w:b/>
          <w:color w:val="auto"/>
        </w:rPr>
      </w:pPr>
      <w:r w:rsidRPr="00872FD4">
        <w:rPr>
          <w:b/>
          <w:color w:val="auto"/>
        </w:rPr>
        <w:t xml:space="preserve">NICCY would welcome inclusion in the revised </w:t>
      </w:r>
      <w:r w:rsidR="00D76D62">
        <w:rPr>
          <w:b/>
          <w:color w:val="auto"/>
        </w:rPr>
        <w:t>G</w:t>
      </w:r>
      <w:r w:rsidRPr="00872FD4">
        <w:rPr>
          <w:b/>
          <w:color w:val="auto"/>
        </w:rPr>
        <w:t xml:space="preserve">eneral </w:t>
      </w:r>
      <w:r w:rsidR="00D76D62">
        <w:rPr>
          <w:b/>
          <w:color w:val="auto"/>
        </w:rPr>
        <w:t>C</w:t>
      </w:r>
      <w:r w:rsidRPr="00872FD4">
        <w:rPr>
          <w:b/>
          <w:color w:val="auto"/>
        </w:rPr>
        <w:t xml:space="preserve">omment of specific guidance with regard to how police services protect </w:t>
      </w:r>
      <w:r w:rsidR="00D76D62">
        <w:rPr>
          <w:b/>
          <w:color w:val="auto"/>
        </w:rPr>
        <w:t xml:space="preserve">and respect </w:t>
      </w:r>
      <w:r w:rsidRPr="00872FD4">
        <w:rPr>
          <w:b/>
          <w:color w:val="auto"/>
        </w:rPr>
        <w:t>children’s rights</w:t>
      </w:r>
      <w:r w:rsidR="00C3335E">
        <w:rPr>
          <w:b/>
          <w:color w:val="auto"/>
        </w:rPr>
        <w:t xml:space="preserve"> in all their activities, particularly stop and search</w:t>
      </w:r>
      <w:r w:rsidRPr="00872FD4">
        <w:rPr>
          <w:b/>
          <w:color w:val="auto"/>
        </w:rPr>
        <w:t>.</w:t>
      </w:r>
    </w:p>
    <w:p w:rsidR="00872FD4" w:rsidRPr="009A1489" w:rsidRDefault="00872FD4" w:rsidP="0039197B">
      <w:pPr>
        <w:pStyle w:val="NICCYBodyText"/>
        <w:spacing w:line="240" w:lineRule="auto"/>
        <w:jc w:val="both"/>
        <w:rPr>
          <w:color w:val="00B0F0"/>
        </w:rPr>
      </w:pPr>
    </w:p>
    <w:p w:rsidR="00271ACB" w:rsidRPr="009A1489" w:rsidRDefault="00271ACB" w:rsidP="0039197B">
      <w:pPr>
        <w:pStyle w:val="NICCYBodyText"/>
        <w:spacing w:line="240" w:lineRule="auto"/>
        <w:jc w:val="both"/>
        <w:rPr>
          <w:b/>
          <w:color w:val="00B0F0"/>
        </w:rPr>
      </w:pPr>
      <w:r w:rsidRPr="009A1489">
        <w:rPr>
          <w:b/>
          <w:color w:val="00B0F0"/>
        </w:rPr>
        <w:t>Non-Judicial proceedings</w:t>
      </w:r>
    </w:p>
    <w:p w:rsidR="00C3335E" w:rsidRDefault="00C3335E" w:rsidP="0039197B">
      <w:pPr>
        <w:jc w:val="both"/>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Whilst the use of non-judicial proceedings is welcome there is concern in </w:t>
      </w:r>
      <w:r w:rsidR="003006F1">
        <w:rPr>
          <w:rFonts w:ascii="Arial" w:eastAsiaTheme="minorEastAsia" w:hAnsi="Arial" w:cs="Arial"/>
          <w:color w:val="000000" w:themeColor="text1"/>
          <w:kern w:val="24"/>
          <w:sz w:val="24"/>
          <w:szCs w:val="24"/>
          <w:lang w:eastAsia="en-GB"/>
        </w:rPr>
        <w:t xml:space="preserve">NI </w:t>
      </w:r>
      <w:r w:rsidR="00D76D62">
        <w:rPr>
          <w:rFonts w:ascii="Arial" w:eastAsiaTheme="minorEastAsia" w:hAnsi="Arial" w:cs="Arial"/>
          <w:color w:val="000000" w:themeColor="text1"/>
          <w:kern w:val="24"/>
          <w:sz w:val="24"/>
          <w:szCs w:val="24"/>
          <w:lang w:eastAsia="en-GB"/>
        </w:rPr>
        <w:t xml:space="preserve">that </w:t>
      </w:r>
      <w:r>
        <w:rPr>
          <w:rFonts w:ascii="Arial" w:eastAsiaTheme="minorEastAsia" w:hAnsi="Arial" w:cs="Arial"/>
          <w:color w:val="000000" w:themeColor="text1"/>
          <w:kern w:val="24"/>
          <w:sz w:val="24"/>
          <w:szCs w:val="24"/>
          <w:lang w:eastAsia="en-GB"/>
        </w:rPr>
        <w:t>it is not used in accordance with the criteria outlined in para</w:t>
      </w:r>
      <w:r w:rsidR="00D76D62">
        <w:rPr>
          <w:rFonts w:ascii="Arial" w:eastAsiaTheme="minorEastAsia" w:hAnsi="Arial" w:cs="Arial"/>
          <w:color w:val="000000" w:themeColor="text1"/>
          <w:kern w:val="24"/>
          <w:sz w:val="24"/>
          <w:szCs w:val="24"/>
          <w:lang w:eastAsia="en-GB"/>
        </w:rPr>
        <w:t>graph</w:t>
      </w:r>
      <w:r>
        <w:rPr>
          <w:rFonts w:ascii="Arial" w:eastAsiaTheme="minorEastAsia" w:hAnsi="Arial" w:cs="Arial"/>
          <w:color w:val="000000" w:themeColor="text1"/>
          <w:kern w:val="24"/>
          <w:sz w:val="24"/>
          <w:szCs w:val="24"/>
          <w:lang w:eastAsia="en-GB"/>
        </w:rPr>
        <w:t xml:space="preserve"> 27 of </w:t>
      </w:r>
      <w:r w:rsidR="00D76D62">
        <w:rPr>
          <w:rFonts w:ascii="Arial" w:eastAsiaTheme="minorEastAsia" w:hAnsi="Arial" w:cs="Arial"/>
          <w:color w:val="000000" w:themeColor="text1"/>
          <w:kern w:val="24"/>
          <w:sz w:val="24"/>
          <w:szCs w:val="24"/>
          <w:lang w:eastAsia="en-GB"/>
        </w:rPr>
        <w:t>General Comment 10</w:t>
      </w:r>
      <w:r>
        <w:rPr>
          <w:rFonts w:ascii="Arial" w:eastAsiaTheme="minorEastAsia" w:hAnsi="Arial" w:cs="Arial"/>
          <w:color w:val="000000" w:themeColor="text1"/>
          <w:kern w:val="24"/>
          <w:sz w:val="24"/>
          <w:szCs w:val="24"/>
          <w:lang w:eastAsia="en-GB"/>
        </w:rPr>
        <w:t>, particularly with regard to a proportionate response, recording in criminal records and access to legal advice.</w:t>
      </w:r>
    </w:p>
    <w:p w:rsidR="00C3335E" w:rsidRDefault="00C3335E" w:rsidP="0039197B">
      <w:pPr>
        <w:jc w:val="both"/>
        <w:rPr>
          <w:rFonts w:ascii="Arial" w:eastAsiaTheme="minorEastAsia" w:hAnsi="Arial" w:cs="Arial"/>
          <w:color w:val="000000" w:themeColor="text1"/>
          <w:kern w:val="24"/>
          <w:sz w:val="24"/>
          <w:szCs w:val="24"/>
          <w:lang w:eastAsia="en-GB"/>
        </w:rPr>
      </w:pPr>
    </w:p>
    <w:p w:rsidR="00C3335E" w:rsidRPr="00C3335E" w:rsidRDefault="00C3335E" w:rsidP="0039197B">
      <w:pPr>
        <w:jc w:val="both"/>
        <w:rPr>
          <w:rFonts w:ascii="Arial" w:eastAsiaTheme="minorEastAsia" w:hAnsi="Arial" w:cs="Arial"/>
          <w:b/>
          <w:color w:val="000000" w:themeColor="text1"/>
          <w:kern w:val="24"/>
          <w:sz w:val="24"/>
          <w:szCs w:val="24"/>
          <w:lang w:eastAsia="en-GB"/>
        </w:rPr>
      </w:pPr>
      <w:r w:rsidRPr="00C3335E">
        <w:rPr>
          <w:rFonts w:ascii="Arial" w:eastAsiaTheme="minorEastAsia" w:hAnsi="Arial" w:cs="Arial"/>
          <w:b/>
          <w:color w:val="000000" w:themeColor="text1"/>
          <w:kern w:val="24"/>
          <w:sz w:val="24"/>
          <w:szCs w:val="24"/>
          <w:lang w:eastAsia="en-GB"/>
        </w:rPr>
        <w:t xml:space="preserve">NICCY would urge the </w:t>
      </w:r>
      <w:r w:rsidR="00D76D62">
        <w:rPr>
          <w:rFonts w:ascii="Arial" w:eastAsiaTheme="minorEastAsia" w:hAnsi="Arial" w:cs="Arial"/>
          <w:b/>
          <w:color w:val="000000" w:themeColor="text1"/>
          <w:kern w:val="24"/>
          <w:sz w:val="24"/>
          <w:szCs w:val="24"/>
          <w:lang w:eastAsia="en-GB"/>
        </w:rPr>
        <w:t>C</w:t>
      </w:r>
      <w:r w:rsidRPr="00C3335E">
        <w:rPr>
          <w:rFonts w:ascii="Arial" w:eastAsiaTheme="minorEastAsia" w:hAnsi="Arial" w:cs="Arial"/>
          <w:b/>
          <w:color w:val="000000" w:themeColor="text1"/>
          <w:kern w:val="24"/>
          <w:sz w:val="24"/>
          <w:szCs w:val="24"/>
          <w:lang w:eastAsia="en-GB"/>
        </w:rPr>
        <w:t xml:space="preserve">ommittee to remind state parties of the need to ensure that diversion </w:t>
      </w:r>
      <w:r w:rsidR="00D76D62">
        <w:rPr>
          <w:rFonts w:ascii="Arial" w:eastAsiaTheme="minorEastAsia" w:hAnsi="Arial" w:cs="Arial"/>
          <w:b/>
          <w:color w:val="000000" w:themeColor="text1"/>
          <w:kern w:val="24"/>
          <w:sz w:val="24"/>
          <w:szCs w:val="24"/>
          <w:lang w:eastAsia="en-GB"/>
        </w:rPr>
        <w:t>and all</w:t>
      </w:r>
      <w:r w:rsidR="00D76D62" w:rsidRPr="00C3335E">
        <w:rPr>
          <w:rFonts w:ascii="Arial" w:eastAsiaTheme="minorEastAsia" w:hAnsi="Arial" w:cs="Arial"/>
          <w:b/>
          <w:color w:val="000000" w:themeColor="text1"/>
          <w:kern w:val="24"/>
          <w:sz w:val="24"/>
          <w:szCs w:val="24"/>
          <w:lang w:eastAsia="en-GB"/>
        </w:rPr>
        <w:t xml:space="preserve"> </w:t>
      </w:r>
      <w:r w:rsidRPr="00C3335E">
        <w:rPr>
          <w:rFonts w:ascii="Arial" w:eastAsiaTheme="minorEastAsia" w:hAnsi="Arial" w:cs="Arial"/>
          <w:b/>
          <w:color w:val="000000" w:themeColor="text1"/>
          <w:kern w:val="24"/>
          <w:sz w:val="24"/>
          <w:szCs w:val="24"/>
          <w:lang w:eastAsia="en-GB"/>
        </w:rPr>
        <w:t xml:space="preserve">non-judicial proceedings are undertaken in accordance with </w:t>
      </w:r>
      <w:r w:rsidR="00D76D62">
        <w:rPr>
          <w:rFonts w:ascii="Arial" w:eastAsiaTheme="minorEastAsia" w:hAnsi="Arial" w:cs="Arial"/>
          <w:b/>
          <w:color w:val="000000" w:themeColor="text1"/>
          <w:kern w:val="24"/>
          <w:sz w:val="24"/>
          <w:szCs w:val="24"/>
          <w:lang w:eastAsia="en-GB"/>
        </w:rPr>
        <w:t xml:space="preserve">children’s rights standards </w:t>
      </w:r>
      <w:r w:rsidRPr="00C3335E">
        <w:rPr>
          <w:rFonts w:ascii="Arial" w:eastAsiaTheme="minorEastAsia" w:hAnsi="Arial" w:cs="Arial"/>
          <w:b/>
          <w:color w:val="000000" w:themeColor="text1"/>
          <w:kern w:val="24"/>
          <w:sz w:val="24"/>
          <w:szCs w:val="24"/>
          <w:lang w:eastAsia="en-GB"/>
        </w:rPr>
        <w:t xml:space="preserve">and </w:t>
      </w:r>
      <w:r w:rsidR="00D76D62">
        <w:rPr>
          <w:rFonts w:ascii="Arial" w:eastAsiaTheme="minorEastAsia" w:hAnsi="Arial" w:cs="Arial"/>
          <w:b/>
          <w:color w:val="000000" w:themeColor="text1"/>
          <w:kern w:val="24"/>
          <w:sz w:val="24"/>
          <w:szCs w:val="24"/>
          <w:lang w:eastAsia="en-GB"/>
        </w:rPr>
        <w:t xml:space="preserve">carried out </w:t>
      </w:r>
      <w:r w:rsidRPr="00C3335E">
        <w:rPr>
          <w:rFonts w:ascii="Arial" w:eastAsiaTheme="minorEastAsia" w:hAnsi="Arial" w:cs="Arial"/>
          <w:b/>
          <w:color w:val="000000" w:themeColor="text1"/>
          <w:kern w:val="24"/>
          <w:sz w:val="24"/>
          <w:szCs w:val="24"/>
          <w:lang w:eastAsia="en-GB"/>
        </w:rPr>
        <w:t>by suitabl</w:t>
      </w:r>
      <w:r w:rsidR="00D76D62">
        <w:rPr>
          <w:rFonts w:ascii="Arial" w:eastAsiaTheme="minorEastAsia" w:hAnsi="Arial" w:cs="Arial"/>
          <w:b/>
          <w:color w:val="000000" w:themeColor="text1"/>
          <w:kern w:val="24"/>
          <w:sz w:val="24"/>
          <w:szCs w:val="24"/>
          <w:lang w:eastAsia="en-GB"/>
        </w:rPr>
        <w:t>y</w:t>
      </w:r>
      <w:r w:rsidRPr="00C3335E">
        <w:rPr>
          <w:rFonts w:ascii="Arial" w:eastAsiaTheme="minorEastAsia" w:hAnsi="Arial" w:cs="Arial"/>
          <w:b/>
          <w:color w:val="000000" w:themeColor="text1"/>
          <w:kern w:val="24"/>
          <w:sz w:val="24"/>
          <w:szCs w:val="24"/>
          <w:lang w:eastAsia="en-GB"/>
        </w:rPr>
        <w:t xml:space="preserve"> trained professionals. </w:t>
      </w:r>
    </w:p>
    <w:p w:rsidR="00C3335E" w:rsidRDefault="00C3335E" w:rsidP="0039197B">
      <w:pPr>
        <w:jc w:val="both"/>
        <w:rPr>
          <w:rFonts w:ascii="Arial" w:eastAsiaTheme="minorEastAsia" w:hAnsi="Arial" w:cs="Arial"/>
          <w:color w:val="000000" w:themeColor="text1"/>
          <w:kern w:val="24"/>
          <w:sz w:val="24"/>
          <w:szCs w:val="24"/>
          <w:lang w:eastAsia="en-GB"/>
        </w:rPr>
      </w:pPr>
    </w:p>
    <w:p w:rsidR="00271ACB" w:rsidRPr="009A1489" w:rsidRDefault="00271ACB" w:rsidP="0039197B">
      <w:pPr>
        <w:pStyle w:val="NICCYBodyText"/>
        <w:spacing w:line="240" w:lineRule="auto"/>
        <w:jc w:val="both"/>
        <w:rPr>
          <w:b/>
          <w:color w:val="00B0F0"/>
        </w:rPr>
      </w:pPr>
      <w:r w:rsidRPr="009A1489">
        <w:rPr>
          <w:b/>
          <w:color w:val="00B0F0"/>
        </w:rPr>
        <w:t>Rehabilitation and Reintegration and Outcomes</w:t>
      </w:r>
    </w:p>
    <w:p w:rsidR="00CB4293" w:rsidRPr="00653BA1" w:rsidRDefault="00C3335E" w:rsidP="00653BA1">
      <w:pPr>
        <w:jc w:val="both"/>
        <w:rPr>
          <w:rFonts w:ascii="Arial" w:hAnsi="Arial" w:cs="Arial"/>
          <w:sz w:val="24"/>
          <w:szCs w:val="24"/>
          <w:lang w:eastAsia="en-GB"/>
        </w:rPr>
      </w:pPr>
      <w:r>
        <w:rPr>
          <w:rFonts w:ascii="Arial" w:eastAsiaTheme="minorEastAsia" w:hAnsi="Arial" w:cs="Arial"/>
          <w:color w:val="000000" w:themeColor="text1"/>
          <w:kern w:val="24"/>
          <w:sz w:val="24"/>
          <w:szCs w:val="24"/>
          <w:lang w:eastAsia="en-GB"/>
        </w:rPr>
        <w:t>The p</w:t>
      </w:r>
      <w:r w:rsidR="00872FD4" w:rsidRPr="00872FD4">
        <w:rPr>
          <w:rFonts w:ascii="Arial" w:eastAsiaTheme="minorEastAsia" w:hAnsi="Arial" w:cs="Arial"/>
          <w:color w:val="000000" w:themeColor="text1"/>
          <w:kern w:val="24"/>
          <w:sz w:val="24"/>
          <w:szCs w:val="24"/>
          <w:lang w:eastAsia="en-GB"/>
        </w:rPr>
        <w:t>urpose</w:t>
      </w:r>
      <w:r w:rsidR="00D76D62">
        <w:rPr>
          <w:rFonts w:ascii="Arial" w:eastAsiaTheme="minorEastAsia" w:hAnsi="Arial" w:cs="Arial"/>
          <w:color w:val="000000" w:themeColor="text1"/>
          <w:kern w:val="24"/>
          <w:sz w:val="24"/>
          <w:szCs w:val="24"/>
          <w:lang w:eastAsia="en-GB"/>
        </w:rPr>
        <w:t>s</w:t>
      </w:r>
      <w:r w:rsidR="00872FD4" w:rsidRPr="00872FD4">
        <w:rPr>
          <w:rFonts w:ascii="Arial" w:eastAsiaTheme="minorEastAsia" w:hAnsi="Arial" w:cs="Arial"/>
          <w:color w:val="000000" w:themeColor="text1"/>
          <w:kern w:val="24"/>
          <w:sz w:val="24"/>
          <w:szCs w:val="24"/>
          <w:lang w:eastAsia="en-GB"/>
        </w:rPr>
        <w:t xml:space="preserve"> of any youth justice system </w:t>
      </w:r>
      <w:r w:rsidR="00653BA1">
        <w:rPr>
          <w:rFonts w:ascii="Arial" w:eastAsiaTheme="minorEastAsia" w:hAnsi="Arial" w:cs="Arial"/>
          <w:color w:val="000000" w:themeColor="text1"/>
          <w:kern w:val="24"/>
          <w:sz w:val="24"/>
          <w:szCs w:val="24"/>
          <w:lang w:eastAsia="en-GB"/>
        </w:rPr>
        <w:t>must be</w:t>
      </w:r>
      <w:r w:rsidR="00872FD4" w:rsidRPr="00872FD4">
        <w:rPr>
          <w:rFonts w:ascii="Arial" w:eastAsiaTheme="minorEastAsia" w:hAnsi="Arial" w:cs="Arial"/>
          <w:color w:val="000000" w:themeColor="text1"/>
          <w:kern w:val="24"/>
          <w:sz w:val="24"/>
          <w:szCs w:val="24"/>
          <w:lang w:eastAsia="en-GB"/>
        </w:rPr>
        <w:t xml:space="preserve"> pre</w:t>
      </w:r>
      <w:r w:rsidR="00653BA1">
        <w:rPr>
          <w:rFonts w:ascii="Arial" w:eastAsiaTheme="minorEastAsia" w:hAnsi="Arial" w:cs="Arial"/>
          <w:color w:val="000000" w:themeColor="text1"/>
          <w:kern w:val="24"/>
          <w:sz w:val="24"/>
          <w:szCs w:val="24"/>
          <w:lang w:eastAsia="en-GB"/>
        </w:rPr>
        <w:t xml:space="preserve">vention, early intervention, </w:t>
      </w:r>
      <w:r w:rsidR="00872FD4" w:rsidRPr="00872FD4">
        <w:rPr>
          <w:rFonts w:ascii="Arial" w:eastAsiaTheme="minorEastAsia" w:hAnsi="Arial" w:cs="Arial"/>
          <w:color w:val="000000" w:themeColor="text1"/>
          <w:kern w:val="24"/>
          <w:sz w:val="24"/>
          <w:szCs w:val="24"/>
          <w:lang w:eastAsia="en-GB"/>
        </w:rPr>
        <w:t xml:space="preserve">diversion </w:t>
      </w:r>
      <w:r w:rsidR="00653BA1">
        <w:rPr>
          <w:rFonts w:ascii="Arial" w:eastAsiaTheme="minorEastAsia" w:hAnsi="Arial" w:cs="Arial"/>
          <w:color w:val="000000" w:themeColor="text1"/>
          <w:kern w:val="24"/>
          <w:sz w:val="24"/>
          <w:szCs w:val="24"/>
          <w:lang w:eastAsia="en-GB"/>
        </w:rPr>
        <w:t>and ensur</w:t>
      </w:r>
      <w:r w:rsidR="00596BC2">
        <w:rPr>
          <w:rFonts w:ascii="Arial" w:eastAsiaTheme="minorEastAsia" w:hAnsi="Arial" w:cs="Arial"/>
          <w:color w:val="000000" w:themeColor="text1"/>
          <w:kern w:val="24"/>
          <w:sz w:val="24"/>
          <w:szCs w:val="24"/>
          <w:lang w:eastAsia="en-GB"/>
        </w:rPr>
        <w:t>ing</w:t>
      </w:r>
      <w:r w:rsidR="00653BA1">
        <w:rPr>
          <w:rFonts w:ascii="Arial" w:eastAsiaTheme="minorEastAsia" w:hAnsi="Arial" w:cs="Arial"/>
          <w:color w:val="000000" w:themeColor="text1"/>
          <w:kern w:val="24"/>
          <w:sz w:val="24"/>
          <w:szCs w:val="24"/>
          <w:lang w:eastAsia="en-GB"/>
        </w:rPr>
        <w:t xml:space="preserve"> that children do</w:t>
      </w:r>
      <w:r w:rsidR="00872FD4" w:rsidRPr="00872FD4">
        <w:rPr>
          <w:rFonts w:ascii="Arial" w:eastAsiaTheme="minorEastAsia" w:hAnsi="Arial" w:cs="Arial"/>
          <w:color w:val="000000" w:themeColor="text1"/>
          <w:kern w:val="24"/>
          <w:sz w:val="24"/>
          <w:szCs w:val="24"/>
          <w:lang w:eastAsia="en-GB"/>
        </w:rPr>
        <w:t xml:space="preserve"> not re-offend or are less likely to.</w:t>
      </w:r>
      <w:r w:rsidR="00653BA1">
        <w:rPr>
          <w:rFonts w:ascii="Arial" w:eastAsiaTheme="minorEastAsia" w:hAnsi="Arial" w:cs="Arial"/>
          <w:color w:val="000000" w:themeColor="text1"/>
          <w:kern w:val="24"/>
          <w:sz w:val="24"/>
          <w:szCs w:val="24"/>
          <w:lang w:eastAsia="en-GB"/>
        </w:rPr>
        <w:t xml:space="preserve"> In the</w:t>
      </w:r>
      <w:r w:rsidR="00CB4293" w:rsidRPr="00653BA1">
        <w:rPr>
          <w:rFonts w:ascii="Arial" w:eastAsiaTheme="minorEastAsia" w:hAnsi="Arial" w:cs="Arial"/>
          <w:color w:val="000000" w:themeColor="text1"/>
          <w:kern w:val="24"/>
          <w:sz w:val="24"/>
          <w:szCs w:val="24"/>
          <w:lang w:eastAsia="en-GB"/>
        </w:rPr>
        <w:t xml:space="preserve"> NIAO </w:t>
      </w:r>
      <w:r w:rsidR="00653BA1">
        <w:rPr>
          <w:rFonts w:ascii="Arial" w:eastAsiaTheme="minorEastAsia" w:hAnsi="Arial" w:cs="Arial"/>
          <w:color w:val="000000" w:themeColor="text1"/>
          <w:kern w:val="24"/>
          <w:sz w:val="24"/>
          <w:szCs w:val="24"/>
          <w:lang w:eastAsia="en-GB"/>
        </w:rPr>
        <w:t>found that there is</w:t>
      </w:r>
      <w:r w:rsidR="00CB4293" w:rsidRPr="00653BA1">
        <w:rPr>
          <w:rFonts w:ascii="Arial" w:eastAsiaTheme="minorEastAsia" w:hAnsi="Arial" w:cs="Arial"/>
          <w:color w:val="000000" w:themeColor="text1"/>
          <w:kern w:val="24"/>
          <w:sz w:val="24"/>
          <w:szCs w:val="24"/>
          <w:lang w:eastAsia="en-GB"/>
        </w:rPr>
        <w:t xml:space="preserve"> insufficient evidence with regards to how the Youth Justice supports young people to reduce or cease offending</w:t>
      </w:r>
      <w:r w:rsidR="00CB4293">
        <w:t>.</w:t>
      </w:r>
      <w:r w:rsidR="00596BC2">
        <w:rPr>
          <w:rStyle w:val="FootnoteReference"/>
        </w:rPr>
        <w:footnoteReference w:id="17"/>
      </w:r>
      <w:r w:rsidR="00CB4293">
        <w:t xml:space="preserve"> </w:t>
      </w:r>
    </w:p>
    <w:p w:rsidR="00CB4293" w:rsidRPr="00872FD4" w:rsidRDefault="00CB4293" w:rsidP="0039197B">
      <w:pPr>
        <w:jc w:val="both"/>
        <w:rPr>
          <w:rFonts w:ascii="Arial" w:eastAsiaTheme="minorEastAsia" w:hAnsi="Arial" w:cs="Arial"/>
          <w:color w:val="000000" w:themeColor="text1"/>
          <w:kern w:val="24"/>
          <w:sz w:val="24"/>
          <w:szCs w:val="24"/>
          <w:lang w:eastAsia="en-GB"/>
        </w:rPr>
      </w:pPr>
    </w:p>
    <w:p w:rsidR="00872FD4" w:rsidRPr="00653BA1" w:rsidRDefault="00872FD4" w:rsidP="0039197B">
      <w:pPr>
        <w:jc w:val="both"/>
        <w:rPr>
          <w:rFonts w:ascii="Arial" w:eastAsiaTheme="minorEastAsia" w:hAnsi="Arial" w:cs="Arial"/>
          <w:b/>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Echoing recommendations made in </w:t>
      </w:r>
      <w:r w:rsidR="00596BC2">
        <w:rPr>
          <w:rFonts w:ascii="Arial" w:eastAsiaTheme="minorEastAsia" w:hAnsi="Arial" w:cs="Arial"/>
          <w:color w:val="000000" w:themeColor="text1"/>
          <w:kern w:val="24"/>
          <w:sz w:val="24"/>
          <w:szCs w:val="24"/>
          <w:lang w:eastAsia="en-GB"/>
        </w:rPr>
        <w:t xml:space="preserve">General Comment </w:t>
      </w:r>
      <w:r w:rsidR="00653BA1">
        <w:rPr>
          <w:rFonts w:ascii="Arial" w:eastAsiaTheme="minorEastAsia" w:hAnsi="Arial" w:cs="Arial"/>
          <w:color w:val="000000" w:themeColor="text1"/>
          <w:kern w:val="24"/>
          <w:sz w:val="24"/>
          <w:szCs w:val="24"/>
          <w:lang w:eastAsia="en-GB"/>
        </w:rPr>
        <w:t>5 (particularly para</w:t>
      </w:r>
      <w:r w:rsidR="00596BC2">
        <w:rPr>
          <w:rFonts w:ascii="Arial" w:eastAsiaTheme="minorEastAsia" w:hAnsi="Arial" w:cs="Arial"/>
          <w:color w:val="000000" w:themeColor="text1"/>
          <w:kern w:val="24"/>
          <w:sz w:val="24"/>
          <w:szCs w:val="24"/>
          <w:lang w:eastAsia="en-GB"/>
        </w:rPr>
        <w:t>graph</w:t>
      </w:r>
      <w:r w:rsidR="00653BA1">
        <w:rPr>
          <w:rFonts w:ascii="Arial" w:eastAsiaTheme="minorEastAsia" w:hAnsi="Arial" w:cs="Arial"/>
          <w:color w:val="000000" w:themeColor="text1"/>
          <w:kern w:val="24"/>
          <w:sz w:val="24"/>
          <w:szCs w:val="24"/>
          <w:lang w:eastAsia="en-GB"/>
        </w:rPr>
        <w:t xml:space="preserve">s 45 – 50) </w:t>
      </w:r>
      <w:r w:rsidRPr="00653BA1">
        <w:rPr>
          <w:rFonts w:ascii="Arial" w:eastAsiaTheme="minorEastAsia" w:hAnsi="Arial" w:cs="Arial"/>
          <w:b/>
          <w:color w:val="000000" w:themeColor="text1"/>
          <w:kern w:val="24"/>
          <w:sz w:val="24"/>
          <w:szCs w:val="24"/>
          <w:lang w:eastAsia="en-GB"/>
        </w:rPr>
        <w:t xml:space="preserve">NICCY believes that </w:t>
      </w:r>
      <w:r w:rsidR="00596BC2">
        <w:rPr>
          <w:rFonts w:ascii="Arial" w:eastAsiaTheme="minorEastAsia" w:hAnsi="Arial" w:cs="Arial"/>
          <w:b/>
          <w:color w:val="000000" w:themeColor="text1"/>
          <w:kern w:val="24"/>
          <w:sz w:val="24"/>
          <w:szCs w:val="24"/>
          <w:lang w:eastAsia="en-GB"/>
        </w:rPr>
        <w:t xml:space="preserve">a </w:t>
      </w:r>
      <w:r w:rsidR="005A089D" w:rsidRPr="00653BA1">
        <w:rPr>
          <w:rFonts w:ascii="Arial" w:eastAsiaTheme="minorEastAsia" w:hAnsi="Arial" w:cs="Arial"/>
          <w:b/>
          <w:color w:val="000000" w:themeColor="text1"/>
          <w:kern w:val="24"/>
          <w:sz w:val="24"/>
          <w:szCs w:val="24"/>
          <w:lang w:eastAsia="en-GB"/>
        </w:rPr>
        <w:t xml:space="preserve">revised </w:t>
      </w:r>
      <w:r w:rsidR="00596BC2">
        <w:rPr>
          <w:rFonts w:ascii="Arial" w:eastAsiaTheme="minorEastAsia" w:hAnsi="Arial" w:cs="Arial"/>
          <w:b/>
          <w:color w:val="000000" w:themeColor="text1"/>
          <w:kern w:val="24"/>
          <w:sz w:val="24"/>
          <w:szCs w:val="24"/>
          <w:lang w:eastAsia="en-GB"/>
        </w:rPr>
        <w:t xml:space="preserve">General Comment </w:t>
      </w:r>
      <w:r w:rsidR="009A1489">
        <w:rPr>
          <w:rFonts w:ascii="Arial" w:eastAsiaTheme="minorEastAsia" w:hAnsi="Arial" w:cs="Arial"/>
          <w:b/>
          <w:color w:val="000000" w:themeColor="text1"/>
          <w:kern w:val="24"/>
          <w:sz w:val="24"/>
          <w:szCs w:val="24"/>
          <w:lang w:eastAsia="en-GB"/>
        </w:rPr>
        <w:t>10</w:t>
      </w:r>
      <w:r w:rsidR="005A089D" w:rsidRPr="00653BA1">
        <w:rPr>
          <w:rFonts w:ascii="Arial" w:eastAsiaTheme="minorEastAsia" w:hAnsi="Arial" w:cs="Arial"/>
          <w:b/>
          <w:color w:val="000000" w:themeColor="text1"/>
          <w:kern w:val="24"/>
          <w:sz w:val="24"/>
          <w:szCs w:val="24"/>
          <w:lang w:eastAsia="en-GB"/>
        </w:rPr>
        <w:t xml:space="preserve"> should include clearer recommendations regarding </w:t>
      </w:r>
      <w:r w:rsidRPr="00653BA1">
        <w:rPr>
          <w:rFonts w:ascii="Arial" w:eastAsiaTheme="minorEastAsia" w:hAnsi="Arial" w:cs="Arial"/>
          <w:b/>
          <w:color w:val="000000" w:themeColor="text1"/>
          <w:kern w:val="24"/>
          <w:sz w:val="24"/>
          <w:szCs w:val="24"/>
          <w:lang w:eastAsia="en-GB"/>
        </w:rPr>
        <w:t>data collection and must not only report on activities but also outcomes on key aspects of children’s lives such as stability, education, substance misuse</w:t>
      </w:r>
      <w:r w:rsidR="00596BC2">
        <w:rPr>
          <w:rFonts w:ascii="Arial" w:eastAsiaTheme="minorEastAsia" w:hAnsi="Arial" w:cs="Arial"/>
          <w:b/>
          <w:color w:val="000000" w:themeColor="text1"/>
          <w:kern w:val="24"/>
          <w:sz w:val="24"/>
          <w:szCs w:val="24"/>
          <w:lang w:eastAsia="en-GB"/>
        </w:rPr>
        <w:t>,</w:t>
      </w:r>
      <w:r w:rsidRPr="00653BA1">
        <w:rPr>
          <w:rFonts w:ascii="Arial" w:eastAsiaTheme="minorEastAsia" w:hAnsi="Arial" w:cs="Arial"/>
          <w:b/>
          <w:color w:val="000000" w:themeColor="text1"/>
          <w:kern w:val="24"/>
          <w:sz w:val="24"/>
          <w:szCs w:val="24"/>
          <w:lang w:eastAsia="en-GB"/>
        </w:rPr>
        <w:t xml:space="preserve"> accommodation </w:t>
      </w:r>
      <w:r w:rsidR="00596BC2">
        <w:rPr>
          <w:rFonts w:ascii="Arial" w:eastAsiaTheme="minorEastAsia" w:hAnsi="Arial" w:cs="Arial"/>
          <w:b/>
          <w:color w:val="000000" w:themeColor="text1"/>
          <w:kern w:val="24"/>
          <w:sz w:val="24"/>
          <w:szCs w:val="24"/>
          <w:lang w:eastAsia="en-GB"/>
        </w:rPr>
        <w:t>as well as</w:t>
      </w:r>
      <w:r w:rsidR="005A089D" w:rsidRPr="00653BA1">
        <w:rPr>
          <w:rFonts w:ascii="Arial" w:eastAsiaTheme="minorEastAsia" w:hAnsi="Arial" w:cs="Arial"/>
          <w:b/>
          <w:color w:val="000000" w:themeColor="text1"/>
          <w:kern w:val="24"/>
          <w:sz w:val="24"/>
          <w:szCs w:val="24"/>
          <w:lang w:eastAsia="en-GB"/>
        </w:rPr>
        <w:t xml:space="preserve"> re-offending.</w:t>
      </w:r>
    </w:p>
    <w:p w:rsidR="00872FD4" w:rsidRDefault="00872FD4" w:rsidP="0039197B">
      <w:pPr>
        <w:jc w:val="both"/>
        <w:rPr>
          <w:rFonts w:ascii="Arial" w:eastAsiaTheme="minorEastAsia" w:hAnsi="Arial" w:cs="Arial"/>
          <w:color w:val="000000" w:themeColor="text1"/>
          <w:kern w:val="24"/>
          <w:sz w:val="24"/>
          <w:szCs w:val="24"/>
          <w:lang w:eastAsia="en-GB"/>
        </w:rPr>
      </w:pPr>
    </w:p>
    <w:p w:rsidR="00271ACB" w:rsidRPr="009A1489" w:rsidRDefault="00271ACB" w:rsidP="0039197B">
      <w:pPr>
        <w:pStyle w:val="NICCYBodyText"/>
        <w:spacing w:line="240" w:lineRule="auto"/>
        <w:jc w:val="both"/>
        <w:rPr>
          <w:b/>
          <w:color w:val="00B0F0"/>
        </w:rPr>
      </w:pPr>
      <w:r w:rsidRPr="009A1489">
        <w:rPr>
          <w:b/>
          <w:color w:val="00B0F0"/>
        </w:rPr>
        <w:t xml:space="preserve">Youth Justice Strategy </w:t>
      </w:r>
    </w:p>
    <w:p w:rsidR="00271ACB" w:rsidRPr="00872FD4" w:rsidRDefault="0048333F" w:rsidP="0039197B">
      <w:pPr>
        <w:pStyle w:val="NICCYBodyText"/>
        <w:spacing w:line="240" w:lineRule="auto"/>
        <w:jc w:val="both"/>
        <w:rPr>
          <w:color w:val="auto"/>
        </w:rPr>
      </w:pPr>
      <w:r>
        <w:rPr>
          <w:color w:val="auto"/>
        </w:rPr>
        <w:t>There is clear evidence that children</w:t>
      </w:r>
      <w:r w:rsidR="008D1499">
        <w:rPr>
          <w:color w:val="auto"/>
        </w:rPr>
        <w:t xml:space="preserve"> </w:t>
      </w:r>
      <w:r w:rsidR="00596BC2">
        <w:rPr>
          <w:color w:val="auto"/>
        </w:rPr>
        <w:t>in conflict with the law</w:t>
      </w:r>
      <w:r>
        <w:rPr>
          <w:color w:val="auto"/>
        </w:rPr>
        <w:t xml:space="preserve"> are often </w:t>
      </w:r>
      <w:r w:rsidR="00596BC2">
        <w:rPr>
          <w:color w:val="auto"/>
        </w:rPr>
        <w:t>extremely</w:t>
      </w:r>
      <w:r>
        <w:rPr>
          <w:color w:val="auto"/>
        </w:rPr>
        <w:t xml:space="preserve"> vulnerable and have </w:t>
      </w:r>
      <w:r w:rsidR="00C3335E">
        <w:rPr>
          <w:color w:val="auto"/>
        </w:rPr>
        <w:t>experienced</w:t>
      </w:r>
      <w:r w:rsidR="008D1499">
        <w:rPr>
          <w:color w:val="auto"/>
        </w:rPr>
        <w:t xml:space="preserve"> a range of adversities</w:t>
      </w:r>
      <w:r w:rsidR="00596BC2">
        <w:rPr>
          <w:color w:val="auto"/>
        </w:rPr>
        <w:t>. It is NICCY’s view therefore that</w:t>
      </w:r>
      <w:r w:rsidR="008D1499">
        <w:rPr>
          <w:color w:val="auto"/>
        </w:rPr>
        <w:t xml:space="preserve"> the needs</w:t>
      </w:r>
      <w:r w:rsidR="00596BC2">
        <w:rPr>
          <w:color w:val="auto"/>
        </w:rPr>
        <w:t xml:space="preserve"> of children in contact with the youth justice system</w:t>
      </w:r>
      <w:r w:rsidR="008D1499">
        <w:rPr>
          <w:color w:val="auto"/>
        </w:rPr>
        <w:t xml:space="preserve"> can only be addressed through a broad, holistic and </w:t>
      </w:r>
      <w:r w:rsidR="00596BC2">
        <w:rPr>
          <w:color w:val="auto"/>
        </w:rPr>
        <w:t xml:space="preserve">children’s </w:t>
      </w:r>
      <w:r w:rsidR="008D1499">
        <w:rPr>
          <w:color w:val="auto"/>
        </w:rPr>
        <w:t>rights compliant Children and Young People’s Strategy.</w:t>
      </w:r>
      <w:r w:rsidR="00653BA1">
        <w:rPr>
          <w:color w:val="auto"/>
        </w:rPr>
        <w:t xml:space="preserve"> </w:t>
      </w:r>
      <w:r w:rsidR="008D1499">
        <w:rPr>
          <w:color w:val="auto"/>
        </w:rPr>
        <w:t xml:space="preserve"> Such a strategy </w:t>
      </w:r>
      <w:r w:rsidR="00596BC2">
        <w:rPr>
          <w:color w:val="auto"/>
        </w:rPr>
        <w:t xml:space="preserve">should </w:t>
      </w:r>
      <w:r w:rsidR="008D1499">
        <w:rPr>
          <w:color w:val="auto"/>
        </w:rPr>
        <w:t xml:space="preserve">include specific action plans to address </w:t>
      </w:r>
      <w:r w:rsidR="00596BC2">
        <w:rPr>
          <w:color w:val="auto"/>
        </w:rPr>
        <w:t xml:space="preserve">all </w:t>
      </w:r>
      <w:r w:rsidR="008D1499">
        <w:rPr>
          <w:color w:val="auto"/>
        </w:rPr>
        <w:t>issues</w:t>
      </w:r>
      <w:r w:rsidR="00596BC2">
        <w:rPr>
          <w:color w:val="auto"/>
        </w:rPr>
        <w:t xml:space="preserve"> impacting on children’s lives,</w:t>
      </w:r>
      <w:r w:rsidR="008D1499">
        <w:rPr>
          <w:color w:val="auto"/>
        </w:rPr>
        <w:t xml:space="preserve"> including youth justice.  </w:t>
      </w:r>
    </w:p>
    <w:p w:rsidR="002217BE" w:rsidRDefault="002217BE" w:rsidP="0039197B">
      <w:pPr>
        <w:jc w:val="both"/>
        <w:rPr>
          <w:rFonts w:ascii="Arial" w:hAnsi="Arial" w:cs="Arial"/>
          <w:sz w:val="24"/>
          <w:szCs w:val="24"/>
        </w:rPr>
      </w:pPr>
    </w:p>
    <w:p w:rsidR="008D1499" w:rsidRDefault="008D1499" w:rsidP="0039197B">
      <w:pPr>
        <w:jc w:val="both"/>
        <w:rPr>
          <w:rFonts w:ascii="Arial" w:hAnsi="Arial" w:cs="Arial"/>
          <w:sz w:val="24"/>
          <w:szCs w:val="24"/>
        </w:rPr>
      </w:pPr>
      <w:r>
        <w:rPr>
          <w:rFonts w:ascii="Arial" w:hAnsi="Arial" w:cs="Arial"/>
          <w:sz w:val="24"/>
          <w:szCs w:val="24"/>
        </w:rPr>
        <w:t>Therefor</w:t>
      </w:r>
      <w:r w:rsidR="00CB4293">
        <w:rPr>
          <w:rFonts w:ascii="Arial" w:hAnsi="Arial" w:cs="Arial"/>
          <w:sz w:val="24"/>
          <w:szCs w:val="24"/>
        </w:rPr>
        <w:t>e</w:t>
      </w:r>
      <w:r>
        <w:rPr>
          <w:rFonts w:ascii="Arial" w:hAnsi="Arial" w:cs="Arial"/>
          <w:sz w:val="24"/>
          <w:szCs w:val="24"/>
        </w:rPr>
        <w:t xml:space="preserve"> the </w:t>
      </w:r>
      <w:r w:rsidR="003006F1">
        <w:rPr>
          <w:rFonts w:ascii="Arial" w:hAnsi="Arial" w:cs="Arial"/>
          <w:b/>
          <w:sz w:val="24"/>
          <w:szCs w:val="24"/>
        </w:rPr>
        <w:t>NI</w:t>
      </w:r>
      <w:r w:rsidR="00596BC2" w:rsidRPr="00CB4293">
        <w:rPr>
          <w:rFonts w:ascii="Arial" w:hAnsi="Arial" w:cs="Arial"/>
          <w:b/>
          <w:sz w:val="24"/>
          <w:szCs w:val="24"/>
        </w:rPr>
        <w:t xml:space="preserve"> </w:t>
      </w:r>
      <w:r w:rsidRPr="00CB4293">
        <w:rPr>
          <w:rFonts w:ascii="Arial" w:hAnsi="Arial" w:cs="Arial"/>
          <w:b/>
          <w:sz w:val="24"/>
          <w:szCs w:val="24"/>
        </w:rPr>
        <w:t xml:space="preserve">Commissioner for Children and Young People asks the </w:t>
      </w:r>
      <w:r w:rsidR="00596BC2">
        <w:rPr>
          <w:rFonts w:ascii="Arial" w:hAnsi="Arial" w:cs="Arial"/>
          <w:b/>
          <w:sz w:val="24"/>
          <w:szCs w:val="24"/>
        </w:rPr>
        <w:t>C</w:t>
      </w:r>
      <w:r w:rsidRPr="00CB4293">
        <w:rPr>
          <w:rFonts w:ascii="Arial" w:hAnsi="Arial" w:cs="Arial"/>
          <w:b/>
          <w:sz w:val="24"/>
          <w:szCs w:val="24"/>
        </w:rPr>
        <w:t>ommittee to remind state parties of the need for a strategy for all children rather than separate strategies for children living in different situations.</w:t>
      </w:r>
      <w:r>
        <w:rPr>
          <w:rFonts w:ascii="Arial" w:hAnsi="Arial" w:cs="Arial"/>
          <w:sz w:val="24"/>
          <w:szCs w:val="24"/>
        </w:rPr>
        <w:t xml:space="preserve"> </w:t>
      </w:r>
    </w:p>
    <w:p w:rsidR="009A1489" w:rsidRDefault="009A1489" w:rsidP="0039197B">
      <w:pPr>
        <w:jc w:val="both"/>
        <w:rPr>
          <w:rFonts w:ascii="Arial" w:hAnsi="Arial" w:cs="Arial"/>
          <w:sz w:val="24"/>
          <w:szCs w:val="24"/>
        </w:rPr>
      </w:pPr>
    </w:p>
    <w:p w:rsidR="009A1489" w:rsidRPr="009A1489" w:rsidRDefault="009A1489" w:rsidP="0039197B">
      <w:pPr>
        <w:jc w:val="both"/>
        <w:rPr>
          <w:rFonts w:ascii="Arial" w:hAnsi="Arial" w:cs="Arial"/>
          <w:b/>
          <w:color w:val="FF0000"/>
          <w:sz w:val="24"/>
          <w:szCs w:val="24"/>
        </w:rPr>
      </w:pPr>
      <w:r w:rsidRPr="009A1489">
        <w:rPr>
          <w:rFonts w:ascii="Arial" w:hAnsi="Arial" w:cs="Arial"/>
          <w:b/>
          <w:color w:val="FF0000"/>
          <w:sz w:val="24"/>
          <w:szCs w:val="24"/>
        </w:rPr>
        <w:t>Conclusion</w:t>
      </w:r>
    </w:p>
    <w:p w:rsidR="009A1489" w:rsidRDefault="009A1489" w:rsidP="0039197B">
      <w:pPr>
        <w:jc w:val="both"/>
        <w:rPr>
          <w:rFonts w:ascii="Arial" w:hAnsi="Arial" w:cs="Arial"/>
          <w:sz w:val="24"/>
          <w:szCs w:val="24"/>
        </w:rPr>
      </w:pPr>
      <w:r>
        <w:rPr>
          <w:rFonts w:ascii="Arial" w:hAnsi="Arial" w:cs="Arial"/>
          <w:sz w:val="24"/>
          <w:szCs w:val="24"/>
        </w:rPr>
        <w:t xml:space="preserve">The NI Commissioner for Children and Young People welcomes the decision of the UN Committee on the Rights of the Child to revise General Comment 10 </w:t>
      </w:r>
      <w:r w:rsidR="00A1211B">
        <w:rPr>
          <w:rFonts w:ascii="Arial" w:hAnsi="Arial" w:cs="Arial"/>
          <w:sz w:val="24"/>
          <w:szCs w:val="24"/>
        </w:rPr>
        <w:t xml:space="preserve">and is pleased to have provided the above observations for the </w:t>
      </w:r>
      <w:r w:rsidR="00596BC2">
        <w:rPr>
          <w:rFonts w:ascii="Arial" w:hAnsi="Arial" w:cs="Arial"/>
          <w:sz w:val="24"/>
          <w:szCs w:val="24"/>
        </w:rPr>
        <w:t>C</w:t>
      </w:r>
      <w:r w:rsidR="00A1211B">
        <w:rPr>
          <w:rFonts w:ascii="Arial" w:hAnsi="Arial" w:cs="Arial"/>
          <w:sz w:val="24"/>
          <w:szCs w:val="24"/>
        </w:rPr>
        <w:t>ommittee’s consideration.  NICCY looks forward to engaging with further work undertaken in this area.</w:t>
      </w:r>
    </w:p>
    <w:p w:rsidR="00A1211B" w:rsidRPr="00E71E05" w:rsidRDefault="00E71E05" w:rsidP="0039197B">
      <w:pPr>
        <w:jc w:val="both"/>
        <w:rPr>
          <w:rFonts w:ascii="Arial" w:hAnsi="Arial" w:cs="Arial"/>
          <w:b/>
          <w:sz w:val="24"/>
          <w:szCs w:val="24"/>
        </w:rPr>
      </w:pPr>
      <w:r w:rsidRPr="00E71E05">
        <w:rPr>
          <w:rFonts w:ascii="Arial" w:hAnsi="Arial" w:cs="Arial"/>
          <w:b/>
          <w:sz w:val="24"/>
          <w:szCs w:val="24"/>
        </w:rPr>
        <w:t xml:space="preserve">NI Commissioner for </w:t>
      </w:r>
      <w:r>
        <w:rPr>
          <w:rFonts w:ascii="Arial" w:hAnsi="Arial" w:cs="Arial"/>
          <w:b/>
          <w:sz w:val="24"/>
          <w:szCs w:val="24"/>
        </w:rPr>
        <w:t xml:space="preserve">Children and Young People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E71E05">
        <w:rPr>
          <w:rFonts w:ascii="Arial" w:hAnsi="Arial" w:cs="Arial"/>
          <w:b/>
          <w:sz w:val="24"/>
          <w:szCs w:val="24"/>
        </w:rPr>
        <w:tab/>
      </w:r>
      <w:r w:rsidRPr="00E71E05">
        <w:rPr>
          <w:rFonts w:ascii="Arial" w:hAnsi="Arial" w:cs="Arial"/>
          <w:b/>
          <w:sz w:val="24"/>
          <w:szCs w:val="24"/>
        </w:rPr>
        <w:tab/>
      </w:r>
      <w:r w:rsidRPr="00E71E05">
        <w:rPr>
          <w:rFonts w:ascii="Arial" w:hAnsi="Arial" w:cs="Arial"/>
          <w:b/>
          <w:sz w:val="24"/>
          <w:szCs w:val="24"/>
        </w:rPr>
        <w:tab/>
        <w:t xml:space="preserve">January 2019 </w:t>
      </w:r>
    </w:p>
    <w:sectPr w:rsidR="00A1211B" w:rsidRPr="00E71E05" w:rsidSect="00957AB7">
      <w:headerReference w:type="default" r:id="rId8"/>
      <w:footerReference w:type="even" r:id="rId9"/>
      <w:footerReference w:type="default" r:id="rId10"/>
      <w:pgSz w:w="11900" w:h="16840"/>
      <w:pgMar w:top="1838" w:right="1134" w:bottom="1702" w:left="1134"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E64" w:rsidRDefault="00DD3E64" w:rsidP="00280C3B">
      <w:r>
        <w:separator/>
      </w:r>
    </w:p>
  </w:endnote>
  <w:endnote w:type="continuationSeparator" w:id="0">
    <w:p w:rsidR="00DD3E64" w:rsidRDefault="00DD3E64"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Futura Book">
    <w:altName w:val="Courier New"/>
    <w:panose1 w:val="000B05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C81" w:rsidRDefault="002E6699" w:rsidP="006013F5">
    <w:pPr>
      <w:pStyle w:val="Footer"/>
      <w:framePr w:wrap="around" w:vAnchor="text" w:hAnchor="margin" w:xAlign="right" w:y="1"/>
      <w:rPr>
        <w:rStyle w:val="PageNumber"/>
      </w:rPr>
    </w:pPr>
    <w:r>
      <w:rPr>
        <w:rStyle w:val="PageNumber"/>
      </w:rPr>
      <w:fldChar w:fldCharType="begin"/>
    </w:r>
    <w:r w:rsidR="000C6C81">
      <w:rPr>
        <w:rStyle w:val="PageNumber"/>
      </w:rPr>
      <w:instrText xml:space="preserve">PAGE  </w:instrText>
    </w:r>
    <w:r>
      <w:rPr>
        <w:rStyle w:val="PageNumber"/>
      </w:rPr>
      <w:fldChar w:fldCharType="end"/>
    </w:r>
  </w:p>
  <w:p w:rsidR="000C6C81" w:rsidRDefault="000C6C81"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C81" w:rsidRPr="008C32B9" w:rsidRDefault="002E6699"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0C6C81"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993188">
      <w:rPr>
        <w:rStyle w:val="PageNumber"/>
        <w:rFonts w:ascii="Arial" w:hAnsi="Arial" w:cs="Arial"/>
        <w:noProof/>
        <w:color w:val="414042"/>
        <w:sz w:val="16"/>
        <w:szCs w:val="16"/>
      </w:rPr>
      <w:t>1</w:t>
    </w:r>
    <w:r w:rsidRPr="008C32B9">
      <w:rPr>
        <w:rStyle w:val="PageNumber"/>
        <w:rFonts w:ascii="Arial" w:hAnsi="Arial" w:cs="Arial"/>
        <w:color w:val="414042"/>
        <w:sz w:val="16"/>
        <w:szCs w:val="16"/>
      </w:rPr>
      <w:fldChar w:fldCharType="end"/>
    </w:r>
  </w:p>
  <w:p w:rsidR="000C6C81" w:rsidRPr="008C32B9" w:rsidRDefault="000C6C81"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271ACB">
      <w:rPr>
        <w:rFonts w:ascii="Arial" w:hAnsi="Arial" w:cs="Arial"/>
        <w:noProof/>
        <w:color w:val="414042"/>
        <w:sz w:val="16"/>
        <w:szCs w:val="16"/>
        <w:lang w:val="en-GB" w:eastAsia="en-GB"/>
      </w:rPr>
      <mc:AlternateContent>
        <mc:Choice Requires="wpg">
          <w:drawing>
            <wp:anchor distT="0" distB="0" distL="114300" distR="114300" simplePos="0" relativeHeight="251663360" behindDoc="0" locked="0" layoutInCell="1" allowOverlap="1">
              <wp:simplePos x="0" y="0"/>
              <wp:positionH relativeFrom="column">
                <wp:posOffset>-913765</wp:posOffset>
              </wp:positionH>
              <wp:positionV relativeFrom="paragraph">
                <wp:posOffset>-341630</wp:posOffset>
              </wp:positionV>
              <wp:extent cx="7559675" cy="69215"/>
              <wp:effectExtent l="635" t="1270" r="2540" b="0"/>
              <wp:wrapTight wrapText="bothSides">
                <wp:wrapPolygon edited="0">
                  <wp:start x="-27" y="0"/>
                  <wp:lineTo x="-27" y="18429"/>
                  <wp:lineTo x="21600" y="18429"/>
                  <wp:lineTo x="21600" y="0"/>
                  <wp:lineTo x="-27" y="0"/>
                </wp:wrapPolygon>
              </wp:wrapTight>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69215"/>
                        <a:chOff x="0" y="0"/>
                        <a:chExt cx="85480" cy="1367"/>
                      </a:xfrm>
                    </wpg:grpSpPr>
                    <wps:wsp>
                      <wps:cNvPr id="3" name="Rectangle 11"/>
                      <wps:cNvSpPr>
                        <a:spLocks noChangeArrowheads="1"/>
                      </wps:cNvSpPr>
                      <wps:spPr bwMode="auto">
                        <a:xfrm>
                          <a:off x="0" y="0"/>
                          <a:ext cx="17096" cy="1367"/>
                        </a:xfrm>
                        <a:prstGeom prst="rect">
                          <a:avLst/>
                        </a:prstGeom>
                        <a:solidFill>
                          <a:srgbClr val="23A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C81" w:rsidRDefault="000C6C81" w:rsidP="00C749C1"/>
                        </w:txbxContent>
                      </wps:txbx>
                      <wps:bodyPr rot="0" vert="horz" wrap="square" lIns="91440" tIns="45720" rIns="91440" bIns="45720" anchor="ctr" anchorCtr="0" upright="1">
                        <a:noAutofit/>
                      </wps:bodyPr>
                    </wps:wsp>
                    <wps:wsp>
                      <wps:cNvPr id="4" name="Rectangle 12"/>
                      <wps:cNvSpPr>
                        <a:spLocks noChangeArrowheads="1"/>
                      </wps:cNvSpPr>
                      <wps:spPr bwMode="auto">
                        <a:xfrm>
                          <a:off x="17096" y="0"/>
                          <a:ext cx="17096" cy="1367"/>
                        </a:xfrm>
                        <a:prstGeom prst="rect">
                          <a:avLst/>
                        </a:prstGeom>
                        <a:solidFill>
                          <a:srgbClr val="EC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C81" w:rsidRDefault="000C6C81" w:rsidP="00C749C1"/>
                        </w:txbxContent>
                      </wps:txbx>
                      <wps:bodyPr rot="0" vert="horz" wrap="square" lIns="91440" tIns="45720" rIns="91440" bIns="45720" anchor="ctr" anchorCtr="0" upright="1">
                        <a:noAutofit/>
                      </wps:bodyPr>
                    </wps:wsp>
                    <wps:wsp>
                      <wps:cNvPr id="5" name="Rectangle 13"/>
                      <wps:cNvSpPr>
                        <a:spLocks noChangeArrowheads="1"/>
                      </wps:cNvSpPr>
                      <wps:spPr bwMode="auto">
                        <a:xfrm>
                          <a:off x="34192" y="0"/>
                          <a:ext cx="17096" cy="1367"/>
                        </a:xfrm>
                        <a:prstGeom prst="rect">
                          <a:avLst/>
                        </a:prstGeom>
                        <a:solidFill>
                          <a:srgbClr val="F57E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C81" w:rsidRDefault="000C6C81" w:rsidP="00C749C1"/>
                        </w:txbxContent>
                      </wps:txbx>
                      <wps:bodyPr rot="0" vert="horz" wrap="square" lIns="91440" tIns="45720" rIns="91440" bIns="45720" anchor="ctr" anchorCtr="0" upright="1">
                        <a:noAutofit/>
                      </wps:bodyPr>
                    </wps:wsp>
                    <wps:wsp>
                      <wps:cNvPr id="6" name="Rectangle 14"/>
                      <wps:cNvSpPr>
                        <a:spLocks noChangeArrowheads="1"/>
                      </wps:cNvSpPr>
                      <wps:spPr bwMode="auto">
                        <a:xfrm>
                          <a:off x="51288" y="0"/>
                          <a:ext cx="17096" cy="1367"/>
                        </a:xfrm>
                        <a:prstGeom prst="rect">
                          <a:avLst/>
                        </a:prstGeom>
                        <a:solidFill>
                          <a:srgbClr val="72BF4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C81" w:rsidRDefault="000C6C81" w:rsidP="00C749C1"/>
                        </w:txbxContent>
                      </wps:txbx>
                      <wps:bodyPr rot="0" vert="horz" wrap="square" lIns="91440" tIns="45720" rIns="91440" bIns="45720" anchor="ctr" anchorCtr="0" upright="1">
                        <a:noAutofit/>
                      </wps:bodyPr>
                    </wps:wsp>
                    <wps:wsp>
                      <wps:cNvPr id="7" name="Rectangle 15"/>
                      <wps:cNvSpPr>
                        <a:spLocks noChangeArrowheads="1"/>
                      </wps:cNvSpPr>
                      <wps:spPr bwMode="auto">
                        <a:xfrm>
                          <a:off x="68384" y="0"/>
                          <a:ext cx="17096" cy="1367"/>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C81" w:rsidRDefault="000C6C81" w:rsidP="00C749C1"/>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71.95pt;margin-top:-26.9pt;width:595.25pt;height:5.45pt;z-index:251663360"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" fillcolor="#23a4de" stroked="f">
                <v:textbox>
                  <w:txbxContent>
                    <w:p w:rsidR="000C6C81" w:rsidRDefault="000C6C81" w:rsidP="00C749C1"/>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" fillcolor="#ec008c" stroked="f">
                <v:textbox>
                  <w:txbxContent>
                    <w:p w:rsidR="000C6C81" w:rsidRDefault="000C6C81" w:rsidP="00C749C1"/>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" fillcolor="#f57e20" stroked="f">
                <v:textbox>
                  <w:txbxContent>
                    <w:p w:rsidR="000C6C81" w:rsidRDefault="000C6C81" w:rsidP="00C749C1"/>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" fillcolor="#72bf44" stroked="f">
                <v:textbox>
                  <w:txbxContent>
                    <w:p w:rsidR="000C6C81" w:rsidRDefault="000C6C81" w:rsidP="00C749C1"/>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" fillcolor="#ed1c24" stroked="f">
                <v:textbox>
                  <w:txbxContent>
                    <w:p w:rsidR="000C6C81" w:rsidRDefault="000C6C81" w:rsidP="00C749C1"/>
                  </w:txbxContent>
                </v:textbox>
              </v:rect>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E64" w:rsidRDefault="00DD3E64" w:rsidP="00280C3B">
      <w:r>
        <w:separator/>
      </w:r>
    </w:p>
  </w:footnote>
  <w:footnote w:type="continuationSeparator" w:id="0">
    <w:p w:rsidR="00DD3E64" w:rsidRDefault="00DD3E64" w:rsidP="00280C3B">
      <w:r>
        <w:continuationSeparator/>
      </w:r>
    </w:p>
  </w:footnote>
  <w:footnote w:id="1">
    <w:p w:rsidR="00271ACB" w:rsidRPr="0039197B" w:rsidRDefault="00271ACB" w:rsidP="00271ACB">
      <w:pPr>
        <w:pStyle w:val="FootnoteText"/>
        <w:rPr>
          <w:rFonts w:ascii="Arial" w:hAnsi="Arial" w:cs="Arial"/>
          <w:vertAlign w:val="superscript"/>
        </w:rPr>
      </w:pPr>
      <w:r w:rsidRPr="0039197B">
        <w:rPr>
          <w:rStyle w:val="FootnoteReference"/>
          <w:rFonts w:ascii="Arial" w:hAnsi="Arial" w:cs="Arial"/>
        </w:rPr>
        <w:footnoteRef/>
      </w:r>
      <w:r w:rsidR="0039197B">
        <w:rPr>
          <w:rFonts w:ascii="Arial" w:hAnsi="Arial" w:cs="Arial"/>
          <w:vertAlign w:val="superscript"/>
        </w:rPr>
        <w:t xml:space="preserve"> </w:t>
      </w:r>
      <w:r w:rsidRPr="0039197B">
        <w:rPr>
          <w:rFonts w:ascii="Arial" w:hAnsi="Arial" w:cs="Arial"/>
          <w:vertAlign w:val="superscript"/>
        </w:rPr>
        <w:t>A Review of the Youth Justice System, Department of Justice, 2011</w:t>
      </w:r>
    </w:p>
  </w:footnote>
  <w:footnote w:id="2">
    <w:p w:rsidR="002E2A4D" w:rsidRPr="0039197B" w:rsidRDefault="002E2A4D">
      <w:pPr>
        <w:pStyle w:val="FootnoteText"/>
        <w:rPr>
          <w:rFonts w:ascii="Arial" w:hAnsi="Arial" w:cs="Arial"/>
          <w:vertAlign w:val="superscript"/>
          <w:lang w:val="en-GB"/>
        </w:rPr>
      </w:pPr>
      <w:r w:rsidRPr="0039197B">
        <w:rPr>
          <w:rStyle w:val="FootnoteReference"/>
          <w:rFonts w:ascii="Arial" w:hAnsi="Arial" w:cs="Arial"/>
        </w:rPr>
        <w:footnoteRef/>
      </w:r>
      <w:r w:rsidRPr="0039197B">
        <w:rPr>
          <w:rFonts w:ascii="Arial" w:hAnsi="Arial" w:cs="Arial"/>
          <w:vertAlign w:val="superscript"/>
        </w:rPr>
        <w:t xml:space="preserve"> </w:t>
      </w:r>
      <w:r w:rsidR="00080E86">
        <w:rPr>
          <w:rFonts w:ascii="Arial" w:hAnsi="Arial" w:cs="Arial"/>
          <w:vertAlign w:val="superscript"/>
        </w:rPr>
        <w:t xml:space="preserve">Monitoring of </w:t>
      </w:r>
      <w:r w:rsidR="00080E86">
        <w:rPr>
          <w:rFonts w:ascii="Arial" w:hAnsi="Arial" w:cs="Arial"/>
          <w:vertAlign w:val="superscript"/>
          <w:lang w:val="en-GB"/>
        </w:rPr>
        <w:t xml:space="preserve">Progress on Implementation of the JYR recommendations, </w:t>
      </w:r>
      <w:r w:rsidRPr="0039197B">
        <w:rPr>
          <w:rFonts w:ascii="Arial" w:hAnsi="Arial" w:cs="Arial"/>
          <w:vertAlign w:val="superscript"/>
          <w:lang w:val="en-GB"/>
        </w:rPr>
        <w:t>CJI</w:t>
      </w:r>
      <w:r w:rsidR="00080E86">
        <w:rPr>
          <w:rFonts w:ascii="Arial" w:hAnsi="Arial" w:cs="Arial"/>
          <w:vertAlign w:val="superscript"/>
          <w:lang w:val="en-GB"/>
        </w:rPr>
        <w:t xml:space="preserve">NI, Dec 2015 </w:t>
      </w:r>
      <w:r w:rsidRPr="0039197B">
        <w:rPr>
          <w:rFonts w:ascii="Arial" w:hAnsi="Arial" w:cs="Arial"/>
          <w:vertAlign w:val="superscript"/>
          <w:lang w:val="en-GB"/>
        </w:rPr>
        <w:t xml:space="preserve"> </w:t>
      </w:r>
    </w:p>
  </w:footnote>
  <w:footnote w:id="3">
    <w:p w:rsidR="009759E5" w:rsidRDefault="009759E5">
      <w:pPr>
        <w:pStyle w:val="FootnoteText"/>
      </w:pPr>
      <w:r>
        <w:rPr>
          <w:rStyle w:val="FootnoteReference"/>
        </w:rPr>
        <w:footnoteRef/>
      </w:r>
      <w:r>
        <w:t xml:space="preserve"> </w:t>
      </w:r>
      <w:r w:rsidR="00957AB7" w:rsidRPr="00957AB7">
        <w:rPr>
          <w:rFonts w:ascii="Arial" w:hAnsi="Arial" w:cs="Arial"/>
          <w:vertAlign w:val="superscript"/>
          <w:lang w:val="en-GB"/>
        </w:rPr>
        <w:t xml:space="preserve">Managing Children who Offend, NIAO, </w:t>
      </w:r>
      <w:r w:rsidRPr="00957AB7">
        <w:rPr>
          <w:rFonts w:ascii="Arial" w:hAnsi="Arial" w:cs="Arial"/>
          <w:vertAlign w:val="superscript"/>
          <w:lang w:val="en-GB"/>
        </w:rPr>
        <w:t>06 July 2017</w:t>
      </w:r>
    </w:p>
  </w:footnote>
  <w:footnote w:id="4">
    <w:p w:rsidR="00271ACB" w:rsidRPr="00080E86" w:rsidRDefault="00271ACB" w:rsidP="00E36206">
      <w:pPr>
        <w:pStyle w:val="FootnoteText"/>
        <w:rPr>
          <w:rStyle w:val="FootnoteReference"/>
          <w:rFonts w:ascii="Arial" w:hAnsi="Arial" w:cs="Arial"/>
        </w:rPr>
      </w:pPr>
      <w:r w:rsidRPr="00E36206">
        <w:rPr>
          <w:rStyle w:val="FootnoteReference"/>
          <w:rFonts w:ascii="Arial" w:hAnsi="Arial" w:cs="Arial"/>
        </w:rPr>
        <w:footnoteRef/>
      </w:r>
      <w:r w:rsidRPr="00E36206">
        <w:rPr>
          <w:rStyle w:val="FootnoteReference"/>
          <w:rFonts w:ascii="Arial" w:hAnsi="Arial" w:cs="Arial"/>
        </w:rPr>
        <w:t xml:space="preserve"> </w:t>
      </w:r>
      <w:r w:rsidRPr="00080E86">
        <w:rPr>
          <w:rStyle w:val="FootnoteReference"/>
          <w:rFonts w:ascii="Arial" w:hAnsi="Arial" w:cs="Arial"/>
        </w:rPr>
        <w:t>Managing Children Who Offend, NIAO, July 2017</w:t>
      </w:r>
    </w:p>
  </w:footnote>
  <w:footnote w:id="5">
    <w:p w:rsidR="002E2A4D" w:rsidRPr="00080E86" w:rsidRDefault="002E2A4D" w:rsidP="00E36206">
      <w:pPr>
        <w:pStyle w:val="FootnoteText"/>
        <w:rPr>
          <w:rStyle w:val="FootnoteReference"/>
          <w:rFonts w:ascii="Arial" w:hAnsi="Arial" w:cs="Arial"/>
        </w:rPr>
      </w:pPr>
      <w:r w:rsidRPr="00080E86">
        <w:rPr>
          <w:rStyle w:val="FootnoteReference"/>
          <w:rFonts w:ascii="Arial" w:hAnsi="Arial" w:cs="Arial"/>
        </w:rPr>
        <w:footnoteRef/>
      </w:r>
      <w:r w:rsidRPr="00080E86">
        <w:rPr>
          <w:rStyle w:val="FootnoteReference"/>
          <w:rFonts w:ascii="Arial" w:hAnsi="Arial" w:cs="Arial"/>
        </w:rPr>
        <w:t xml:space="preserve"> </w:t>
      </w:r>
      <w:r w:rsidR="00080E86" w:rsidRPr="00080E86">
        <w:rPr>
          <w:rStyle w:val="FootnoteReference"/>
          <w:rFonts w:ascii="Arial" w:hAnsi="Arial" w:cs="Arial"/>
        </w:rPr>
        <w:t>Criminal Justice Review NI, March 2000</w:t>
      </w:r>
    </w:p>
  </w:footnote>
  <w:footnote w:id="6">
    <w:p w:rsidR="00486A99" w:rsidRPr="00080E86" w:rsidRDefault="00486A99" w:rsidP="00E36206">
      <w:pPr>
        <w:pStyle w:val="FootnoteText"/>
        <w:rPr>
          <w:rStyle w:val="FootnoteReference"/>
          <w:rFonts w:ascii="Arial" w:hAnsi="Arial" w:cs="Arial"/>
        </w:rPr>
      </w:pPr>
      <w:r w:rsidRPr="00080E86">
        <w:rPr>
          <w:rStyle w:val="FootnoteReference"/>
          <w:rFonts w:ascii="Arial" w:hAnsi="Arial" w:cs="Arial"/>
        </w:rPr>
        <w:footnoteRef/>
      </w:r>
      <w:r w:rsidRPr="00080E86">
        <w:rPr>
          <w:rStyle w:val="FootnoteReference"/>
          <w:rFonts w:ascii="Arial" w:hAnsi="Arial" w:cs="Arial"/>
        </w:rPr>
        <w:t xml:space="preserve"> Rec 29, A Review of the Youth Justice System, Department of Justice, 2011</w:t>
      </w:r>
    </w:p>
  </w:footnote>
  <w:footnote w:id="7">
    <w:p w:rsidR="002E2A4D" w:rsidRPr="00080E86" w:rsidRDefault="002E2A4D" w:rsidP="00E36206">
      <w:pPr>
        <w:pStyle w:val="FootnoteText"/>
        <w:rPr>
          <w:rStyle w:val="FootnoteReference"/>
          <w:rFonts w:ascii="Arial" w:hAnsi="Arial" w:cs="Arial"/>
        </w:rPr>
      </w:pPr>
      <w:r w:rsidRPr="00080E86">
        <w:rPr>
          <w:rStyle w:val="FootnoteReference"/>
          <w:rFonts w:ascii="Arial" w:hAnsi="Arial" w:cs="Arial"/>
        </w:rPr>
        <w:footnoteRef/>
      </w:r>
      <w:r w:rsidRPr="00080E86">
        <w:rPr>
          <w:rStyle w:val="FootnoteReference"/>
          <w:rFonts w:ascii="Arial" w:hAnsi="Arial" w:cs="Arial"/>
        </w:rPr>
        <w:t xml:space="preserve"> </w:t>
      </w:r>
      <w:r w:rsidR="00080E86" w:rsidRPr="00080E86">
        <w:rPr>
          <w:rStyle w:val="FootnoteReference"/>
          <w:rFonts w:ascii="Arial" w:hAnsi="Arial" w:cs="Arial"/>
        </w:rPr>
        <w:t xml:space="preserve">Draft Recommendation </w:t>
      </w:r>
      <w:hyperlink r:id="rId1" w:history="1">
        <w:r w:rsidR="00080E86" w:rsidRPr="00080E86">
          <w:rPr>
            <w:rStyle w:val="FootnoteReference"/>
            <w:rFonts w:ascii="Arial" w:hAnsi="Arial" w:cs="Arial"/>
          </w:rPr>
          <w:t>Rec (2003)</w:t>
        </w:r>
      </w:hyperlink>
      <w:r w:rsidR="00080E86" w:rsidRPr="00080E86">
        <w:rPr>
          <w:rStyle w:val="FootnoteReference"/>
          <w:rFonts w:ascii="Arial" w:hAnsi="Arial" w:cs="Arial"/>
        </w:rPr>
        <w:t xml:space="preserve"> COE, 52nd plenary session, COE,  June 2003</w:t>
      </w:r>
    </w:p>
  </w:footnote>
  <w:footnote w:id="8">
    <w:p w:rsidR="009249B7" w:rsidRPr="00957AB7" w:rsidRDefault="009249B7" w:rsidP="0039197B">
      <w:pPr>
        <w:pStyle w:val="FootnoteText"/>
        <w:rPr>
          <w:rStyle w:val="FootnoteReference"/>
        </w:rPr>
      </w:pPr>
      <w:r w:rsidRPr="0039197B">
        <w:rPr>
          <w:rStyle w:val="FootnoteReference"/>
          <w:rFonts w:ascii="Arial" w:hAnsi="Arial" w:cs="Arial"/>
        </w:rPr>
        <w:footnoteRef/>
      </w:r>
      <w:r w:rsidRPr="0039197B">
        <w:rPr>
          <w:rFonts w:ascii="Arial" w:hAnsi="Arial" w:cs="Arial"/>
          <w:vertAlign w:val="superscript"/>
        </w:rPr>
        <w:t xml:space="preserve"> </w:t>
      </w:r>
      <w:r w:rsidRPr="00957AB7">
        <w:rPr>
          <w:rStyle w:val="FootnoteReference"/>
        </w:rPr>
        <w:t xml:space="preserve">YJA Annual Workload Statistics </w:t>
      </w:r>
      <w:r w:rsidR="00E36206" w:rsidRPr="00957AB7">
        <w:rPr>
          <w:rStyle w:val="FootnoteReference"/>
        </w:rPr>
        <w:t>2017/18, Statistical bulletin 29/2018, DoJ, Oct 2018</w:t>
      </w:r>
    </w:p>
  </w:footnote>
  <w:footnote w:id="9">
    <w:p w:rsidR="00C53011" w:rsidRPr="00957AB7" w:rsidRDefault="00C53011" w:rsidP="00C53011">
      <w:pPr>
        <w:pStyle w:val="FootnoteText"/>
        <w:rPr>
          <w:rStyle w:val="FootnoteReference"/>
        </w:rPr>
      </w:pPr>
      <w:r w:rsidRPr="00957AB7">
        <w:rPr>
          <w:rStyle w:val="FootnoteReference"/>
          <w:rFonts w:ascii="Arial" w:hAnsi="Arial" w:cs="Arial"/>
        </w:rPr>
        <w:footnoteRef/>
      </w:r>
      <w:r w:rsidRPr="00957AB7">
        <w:rPr>
          <w:rStyle w:val="FootnoteReference"/>
        </w:rPr>
        <w:t xml:space="preserve"> Article 39, Police and Criminal Evidence (Northern Ireland) Order 1989. </w:t>
      </w:r>
    </w:p>
  </w:footnote>
  <w:footnote w:id="10">
    <w:p w:rsidR="00A47D63" w:rsidRPr="00957AB7" w:rsidRDefault="00A47D63" w:rsidP="0039197B">
      <w:pPr>
        <w:pStyle w:val="FootnoteText"/>
        <w:rPr>
          <w:rStyle w:val="FootnoteReference"/>
        </w:rPr>
      </w:pPr>
      <w:r w:rsidRPr="00957AB7">
        <w:rPr>
          <w:rStyle w:val="FootnoteReference"/>
          <w:rFonts w:ascii="Arial" w:hAnsi="Arial" w:cs="Arial"/>
        </w:rPr>
        <w:footnoteRef/>
      </w:r>
      <w:r w:rsidRPr="00957AB7">
        <w:rPr>
          <w:rStyle w:val="FootnoteReference"/>
        </w:rPr>
        <w:t xml:space="preserve"> </w:t>
      </w:r>
      <w:r w:rsidR="007665A5" w:rsidRPr="00957AB7">
        <w:rPr>
          <w:rStyle w:val="FootnoteReference"/>
        </w:rPr>
        <w:t>Ibid 7</w:t>
      </w:r>
    </w:p>
  </w:footnote>
  <w:footnote w:id="11">
    <w:p w:rsidR="00271ACB" w:rsidRPr="007665A5" w:rsidRDefault="00271ACB" w:rsidP="00271ACB">
      <w:pPr>
        <w:pStyle w:val="FootnoteText"/>
        <w:rPr>
          <w:rStyle w:val="FootnoteReference"/>
          <w:rFonts w:ascii="Arial" w:hAnsi="Arial" w:cs="Arial"/>
          <w:sz w:val="20"/>
          <w:szCs w:val="20"/>
        </w:rPr>
      </w:pPr>
      <w:r w:rsidRPr="0039197B">
        <w:rPr>
          <w:rStyle w:val="FootnoteReference"/>
          <w:rFonts w:ascii="Arial" w:hAnsi="Arial" w:cs="Arial"/>
          <w:sz w:val="20"/>
          <w:szCs w:val="20"/>
        </w:rPr>
        <w:footnoteRef/>
      </w:r>
      <w:r w:rsidRPr="0039197B">
        <w:rPr>
          <w:rStyle w:val="FootnoteReference"/>
          <w:rFonts w:ascii="Arial" w:hAnsi="Arial" w:cs="Arial"/>
          <w:sz w:val="20"/>
          <w:szCs w:val="20"/>
        </w:rPr>
        <w:t xml:space="preserve"> </w:t>
      </w:r>
      <w:r w:rsidRPr="007665A5">
        <w:rPr>
          <w:rStyle w:val="FootnoteReference"/>
          <w:rFonts w:ascii="Arial" w:hAnsi="Arial" w:cs="Arial"/>
          <w:sz w:val="20"/>
          <w:szCs w:val="20"/>
        </w:rPr>
        <w:t>A Review of the Youth Justice System, Department of Justice, 2011</w:t>
      </w:r>
    </w:p>
  </w:footnote>
  <w:footnote w:id="12">
    <w:p w:rsidR="00271ACB" w:rsidRPr="007665A5" w:rsidRDefault="00271ACB" w:rsidP="00271ACB">
      <w:pPr>
        <w:pStyle w:val="FootnoteText"/>
        <w:rPr>
          <w:rStyle w:val="FootnoteReference"/>
          <w:rFonts w:ascii="Arial" w:hAnsi="Arial" w:cs="Arial"/>
          <w:sz w:val="20"/>
          <w:szCs w:val="20"/>
        </w:rPr>
      </w:pPr>
      <w:r w:rsidRPr="007665A5">
        <w:rPr>
          <w:rStyle w:val="FootnoteReference"/>
          <w:rFonts w:ascii="Arial" w:hAnsi="Arial" w:cs="Arial"/>
          <w:sz w:val="20"/>
          <w:szCs w:val="20"/>
        </w:rPr>
        <w:footnoteRef/>
      </w:r>
      <w:r w:rsidRPr="007665A5">
        <w:rPr>
          <w:rStyle w:val="FootnoteReference"/>
          <w:rFonts w:ascii="Arial" w:hAnsi="Arial" w:cs="Arial"/>
          <w:sz w:val="20"/>
          <w:szCs w:val="20"/>
        </w:rPr>
        <w:t xml:space="preserve"> https://www.legislation.gov.uk/nia</w:t>
      </w:r>
    </w:p>
  </w:footnote>
  <w:footnote w:id="13">
    <w:p w:rsidR="00A47D63" w:rsidRPr="007665A5" w:rsidRDefault="00A47D63" w:rsidP="007665A5">
      <w:pPr>
        <w:pStyle w:val="Default"/>
        <w:rPr>
          <w:rStyle w:val="FootnoteReference"/>
          <w:sz w:val="20"/>
          <w:szCs w:val="20"/>
        </w:rPr>
      </w:pPr>
      <w:r w:rsidRPr="007665A5">
        <w:rPr>
          <w:rStyle w:val="FootnoteReference"/>
          <w:sz w:val="20"/>
          <w:szCs w:val="20"/>
        </w:rPr>
        <w:footnoteRef/>
      </w:r>
      <w:r w:rsidRPr="007665A5">
        <w:rPr>
          <w:rStyle w:val="FootnoteReference"/>
          <w:sz w:val="20"/>
          <w:szCs w:val="20"/>
        </w:rPr>
        <w:t xml:space="preserve"> </w:t>
      </w:r>
      <w:r w:rsidR="007665A5" w:rsidRPr="007665A5">
        <w:rPr>
          <w:bCs/>
          <w:sz w:val="20"/>
          <w:szCs w:val="20"/>
          <w:vertAlign w:val="superscript"/>
        </w:rPr>
        <w:t xml:space="preserve">Case Processing Time for Criminal Cases dealt with at Courts in NI 2017/18,Bulletin 28/2018, Sept 18 </w:t>
      </w:r>
    </w:p>
  </w:footnote>
  <w:footnote w:id="14">
    <w:p w:rsidR="00271ACB" w:rsidRPr="002F1803" w:rsidRDefault="00271ACB" w:rsidP="00271ACB">
      <w:pPr>
        <w:pStyle w:val="FootnoteText"/>
        <w:rPr>
          <w:rFonts w:ascii="Arial" w:hAnsi="Arial" w:cs="Arial"/>
          <w:sz w:val="20"/>
          <w:szCs w:val="20"/>
          <w:lang w:val="en-GB"/>
        </w:rPr>
      </w:pPr>
      <w:r w:rsidRPr="007665A5">
        <w:rPr>
          <w:rStyle w:val="FootnoteReference"/>
          <w:rFonts w:ascii="Arial" w:hAnsi="Arial" w:cs="Arial"/>
          <w:sz w:val="20"/>
          <w:szCs w:val="20"/>
        </w:rPr>
        <w:footnoteRef/>
      </w:r>
      <w:r w:rsidRPr="007665A5">
        <w:rPr>
          <w:rFonts w:ascii="Arial" w:hAnsi="Arial" w:cs="Arial"/>
          <w:sz w:val="20"/>
          <w:szCs w:val="20"/>
          <w:vertAlign w:val="superscript"/>
        </w:rPr>
        <w:t xml:space="preserve"> http://www.thedetail.tv/articles/psni-urged-to-reconsider-use-of-stop-and-search-on-children</w:t>
      </w:r>
    </w:p>
  </w:footnote>
  <w:footnote w:id="15">
    <w:p w:rsidR="00C3335E" w:rsidRPr="00C3335E" w:rsidRDefault="00C3335E">
      <w:pPr>
        <w:pStyle w:val="FootnoteText"/>
        <w:rPr>
          <w:rStyle w:val="FootnoteReference"/>
          <w:rFonts w:ascii="Arial" w:hAnsi="Arial" w:cs="Arial"/>
          <w:sz w:val="20"/>
          <w:szCs w:val="20"/>
        </w:rPr>
      </w:pPr>
      <w:r>
        <w:rPr>
          <w:rStyle w:val="FootnoteReference"/>
        </w:rPr>
        <w:footnoteRef/>
      </w:r>
      <w:r>
        <w:t xml:space="preserve"> </w:t>
      </w:r>
      <w:r w:rsidRPr="00C3335E">
        <w:rPr>
          <w:rStyle w:val="FootnoteReference"/>
          <w:rFonts w:ascii="Arial" w:hAnsi="Arial" w:cs="Arial"/>
          <w:sz w:val="20"/>
          <w:szCs w:val="20"/>
        </w:rPr>
        <w:t>Stop and</w:t>
      </w:r>
      <w:r w:rsidR="00957AB7">
        <w:rPr>
          <w:rStyle w:val="FootnoteReference"/>
          <w:rFonts w:ascii="Arial" w:hAnsi="Arial" w:cs="Arial"/>
          <w:sz w:val="20"/>
          <w:szCs w:val="20"/>
        </w:rPr>
        <w:t xml:space="preserve"> search stats, 2-17/18, PSNI, May</w:t>
      </w:r>
      <w:r w:rsidRPr="00C3335E">
        <w:rPr>
          <w:rStyle w:val="FootnoteReference"/>
          <w:rFonts w:ascii="Arial" w:hAnsi="Arial" w:cs="Arial"/>
          <w:sz w:val="20"/>
          <w:szCs w:val="20"/>
        </w:rPr>
        <w:t xml:space="preserve"> 2018 </w:t>
      </w:r>
    </w:p>
  </w:footnote>
  <w:footnote w:id="16">
    <w:p w:rsidR="00872FD4" w:rsidRPr="00957AB7" w:rsidRDefault="00872FD4" w:rsidP="00872FD4">
      <w:pPr>
        <w:pStyle w:val="FootnoteText"/>
        <w:rPr>
          <w:rFonts w:ascii="Arial" w:hAnsi="Arial" w:cs="Arial"/>
          <w:sz w:val="20"/>
          <w:szCs w:val="20"/>
          <w:vertAlign w:val="superscript"/>
          <w:lang w:val="en-GB"/>
        </w:rPr>
      </w:pPr>
      <w:r w:rsidRPr="002F1803">
        <w:rPr>
          <w:rStyle w:val="FootnoteReference"/>
          <w:rFonts w:ascii="Arial" w:hAnsi="Arial" w:cs="Arial"/>
          <w:sz w:val="20"/>
          <w:szCs w:val="20"/>
        </w:rPr>
        <w:footnoteRef/>
      </w:r>
      <w:r w:rsidRPr="002F1803">
        <w:rPr>
          <w:rFonts w:ascii="Arial" w:hAnsi="Arial" w:cs="Arial"/>
          <w:sz w:val="20"/>
          <w:szCs w:val="20"/>
        </w:rPr>
        <w:t xml:space="preserve"> </w:t>
      </w:r>
      <w:r w:rsidR="00653BA1" w:rsidRPr="00957AB7">
        <w:rPr>
          <w:rFonts w:ascii="Arial" w:hAnsi="Arial" w:cs="Arial"/>
          <w:sz w:val="20"/>
          <w:szCs w:val="20"/>
          <w:vertAlign w:val="superscript"/>
        </w:rPr>
        <w:t xml:space="preserve">CO on the 5th Periodic report of the UK, UN Committee on the Rights of the Child, July 2016 </w:t>
      </w:r>
    </w:p>
  </w:footnote>
  <w:footnote w:id="17">
    <w:p w:rsidR="00596BC2" w:rsidRPr="00957AB7" w:rsidRDefault="00596BC2">
      <w:pPr>
        <w:pStyle w:val="FootnoteText"/>
        <w:rPr>
          <w:vertAlign w:val="superscript"/>
        </w:rPr>
      </w:pPr>
      <w:r w:rsidRPr="00957AB7">
        <w:rPr>
          <w:rStyle w:val="FootnoteReference"/>
        </w:rPr>
        <w:footnoteRef/>
      </w:r>
      <w:r w:rsidRPr="00957AB7">
        <w:rPr>
          <w:vertAlign w:val="superscript"/>
        </w:rPr>
        <w:t xml:space="preserve"> </w:t>
      </w:r>
      <w:r w:rsidR="00957AB7" w:rsidRPr="00957AB7">
        <w:rPr>
          <w:vertAlign w:val="superscript"/>
        </w:rPr>
        <w:t xml:space="preserve">Ibid 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6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998"/>
      <w:gridCol w:w="4865"/>
    </w:tblGrid>
    <w:tr w:rsidR="000C6C81" w:rsidTr="002548D7">
      <w:trPr>
        <w:trHeight w:val="1429"/>
      </w:trPr>
      <w:tc>
        <w:tcPr>
          <w:tcW w:w="4998" w:type="dxa"/>
          <w:shd w:val="clear" w:color="auto" w:fill="auto"/>
        </w:tcPr>
        <w:p w:rsidR="000C6C81" w:rsidRPr="000C6C81" w:rsidRDefault="000C6C81" w:rsidP="000C6C81">
          <w:pPr>
            <w:pStyle w:val="NICCYHeading"/>
            <w:rPr>
              <w:rFonts w:ascii="Futura Book" w:hAnsi="Futura Book"/>
            </w:rPr>
          </w:pPr>
        </w:p>
      </w:tc>
      <w:tc>
        <w:tcPr>
          <w:tcW w:w="4865" w:type="dxa"/>
          <w:shd w:val="clear" w:color="auto" w:fill="auto"/>
        </w:tcPr>
        <w:p w:rsidR="000C6C81" w:rsidRDefault="000C6C81" w:rsidP="000D52AB">
          <w:pPr>
            <w:pStyle w:val="CompanyName"/>
            <w:rPr>
              <w:rFonts w:ascii="Futura Book" w:hAnsi="Futura Book" w:cs="Arial"/>
              <w:lang w:val="en-GB"/>
            </w:rPr>
          </w:pPr>
          <w:r>
            <w:rPr>
              <w:rFonts w:ascii="Futura Book" w:hAnsi="Futura Book" w:cs="Arial"/>
              <w:noProof/>
              <w:lang w:val="en-GB" w:eastAsia="en-GB"/>
            </w:rPr>
            <w:drawing>
              <wp:anchor distT="0" distB="0" distL="114300" distR="114300" simplePos="0" relativeHeight="251661312" behindDoc="0" locked="0" layoutInCell="1" allowOverlap="1">
                <wp:simplePos x="0" y="0"/>
                <wp:positionH relativeFrom="column">
                  <wp:posOffset>1403985</wp:posOffset>
                </wp:positionH>
                <wp:positionV relativeFrom="paragraph">
                  <wp:posOffset>90805</wp:posOffset>
                </wp:positionV>
                <wp:extent cx="1536700" cy="635000"/>
                <wp:effectExtent l="19050" t="0" r="6350" b="0"/>
                <wp:wrapTight wrapText="bothSides">
                  <wp:wrapPolygon edited="0">
                    <wp:start x="-268" y="648"/>
                    <wp:lineTo x="-268" y="20736"/>
                    <wp:lineTo x="20083" y="20736"/>
                    <wp:lineTo x="20083" y="11016"/>
                    <wp:lineTo x="21689" y="1296"/>
                    <wp:lineTo x="21689" y="648"/>
                    <wp:lineTo x="-268" y="648"/>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1536700" cy="635000"/>
                        </a:xfrm>
                        <a:prstGeom prst="rect">
                          <a:avLst/>
                        </a:prstGeom>
                      </pic:spPr>
                    </pic:pic>
                  </a:graphicData>
                </a:graphic>
              </wp:anchor>
            </w:drawing>
          </w:r>
        </w:p>
      </w:tc>
    </w:tr>
  </w:tbl>
  <w:p w:rsidR="000C6C81" w:rsidRDefault="000C6C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7A3F"/>
    <w:multiLevelType w:val="hybridMultilevel"/>
    <w:tmpl w:val="0B4240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3F4A21"/>
    <w:multiLevelType w:val="hybridMultilevel"/>
    <w:tmpl w:val="0C7C2C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D6444"/>
    <w:multiLevelType w:val="hybridMultilevel"/>
    <w:tmpl w:val="801C5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00430"/>
    <w:multiLevelType w:val="hybridMultilevel"/>
    <w:tmpl w:val="C1D6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649FA"/>
    <w:multiLevelType w:val="hybridMultilevel"/>
    <w:tmpl w:val="6DF27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D3452D"/>
    <w:multiLevelType w:val="hybridMultilevel"/>
    <w:tmpl w:val="1264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91093"/>
    <w:multiLevelType w:val="hybridMultilevel"/>
    <w:tmpl w:val="2F52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31B7D"/>
    <w:multiLevelType w:val="hybridMultilevel"/>
    <w:tmpl w:val="DCFEAFA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8604F"/>
    <w:multiLevelType w:val="multilevel"/>
    <w:tmpl w:val="0C5ED346"/>
    <w:lvl w:ilvl="0">
      <w:start w:val="7"/>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7D13B88"/>
    <w:multiLevelType w:val="hybridMultilevel"/>
    <w:tmpl w:val="0E4CCB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87E1855"/>
    <w:multiLevelType w:val="hybridMultilevel"/>
    <w:tmpl w:val="77F2F8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F190A27"/>
    <w:multiLevelType w:val="hybridMultilevel"/>
    <w:tmpl w:val="57E0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C756BC"/>
    <w:multiLevelType w:val="hybridMultilevel"/>
    <w:tmpl w:val="4EBE38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5762ABE"/>
    <w:multiLevelType w:val="hybridMultilevel"/>
    <w:tmpl w:val="CFD6E468"/>
    <w:lvl w:ilvl="0" w:tplc="2766F064">
      <w:start w:val="20"/>
      <w:numFmt w:val="decimal"/>
      <w:lvlText w:val="%1."/>
      <w:lvlJc w:val="left"/>
      <w:pPr>
        <w:tabs>
          <w:tab w:val="num" w:pos="720"/>
        </w:tabs>
        <w:ind w:left="720" w:hanging="360"/>
      </w:pPr>
    </w:lvl>
    <w:lvl w:ilvl="1" w:tplc="D8D892E8">
      <w:start w:val="1"/>
      <w:numFmt w:val="decimal"/>
      <w:lvlText w:val="%2."/>
      <w:lvlJc w:val="left"/>
      <w:pPr>
        <w:tabs>
          <w:tab w:val="num" w:pos="1440"/>
        </w:tabs>
        <w:ind w:left="1440" w:hanging="360"/>
      </w:pPr>
    </w:lvl>
    <w:lvl w:ilvl="2" w:tplc="422C005E">
      <w:start w:val="1"/>
      <w:numFmt w:val="decimal"/>
      <w:lvlText w:val="%3."/>
      <w:lvlJc w:val="left"/>
      <w:pPr>
        <w:tabs>
          <w:tab w:val="num" w:pos="2160"/>
        </w:tabs>
        <w:ind w:left="2160" w:hanging="360"/>
      </w:pPr>
    </w:lvl>
    <w:lvl w:ilvl="3" w:tplc="951CD82C">
      <w:start w:val="1"/>
      <w:numFmt w:val="decimal"/>
      <w:lvlText w:val="%4."/>
      <w:lvlJc w:val="left"/>
      <w:pPr>
        <w:tabs>
          <w:tab w:val="num" w:pos="2880"/>
        </w:tabs>
        <w:ind w:left="2880" w:hanging="360"/>
      </w:pPr>
    </w:lvl>
    <w:lvl w:ilvl="4" w:tplc="B5C01952">
      <w:start w:val="1"/>
      <w:numFmt w:val="decimal"/>
      <w:lvlText w:val="%5."/>
      <w:lvlJc w:val="left"/>
      <w:pPr>
        <w:tabs>
          <w:tab w:val="num" w:pos="3600"/>
        </w:tabs>
        <w:ind w:left="3600" w:hanging="360"/>
      </w:pPr>
    </w:lvl>
    <w:lvl w:ilvl="5" w:tplc="D88ADF72">
      <w:start w:val="1"/>
      <w:numFmt w:val="decimal"/>
      <w:lvlText w:val="%6."/>
      <w:lvlJc w:val="left"/>
      <w:pPr>
        <w:tabs>
          <w:tab w:val="num" w:pos="4320"/>
        </w:tabs>
        <w:ind w:left="4320" w:hanging="360"/>
      </w:pPr>
    </w:lvl>
    <w:lvl w:ilvl="6" w:tplc="B95A50C6">
      <w:start w:val="1"/>
      <w:numFmt w:val="decimal"/>
      <w:lvlText w:val="%7."/>
      <w:lvlJc w:val="left"/>
      <w:pPr>
        <w:tabs>
          <w:tab w:val="num" w:pos="5040"/>
        </w:tabs>
        <w:ind w:left="5040" w:hanging="360"/>
      </w:pPr>
    </w:lvl>
    <w:lvl w:ilvl="7" w:tplc="3FF2A2E6">
      <w:start w:val="1"/>
      <w:numFmt w:val="decimal"/>
      <w:lvlText w:val="%8."/>
      <w:lvlJc w:val="left"/>
      <w:pPr>
        <w:tabs>
          <w:tab w:val="num" w:pos="5760"/>
        </w:tabs>
        <w:ind w:left="5760" w:hanging="360"/>
      </w:pPr>
    </w:lvl>
    <w:lvl w:ilvl="8" w:tplc="FFAAE378">
      <w:start w:val="1"/>
      <w:numFmt w:val="decimal"/>
      <w:lvlText w:val="%9."/>
      <w:lvlJc w:val="left"/>
      <w:pPr>
        <w:tabs>
          <w:tab w:val="num" w:pos="6480"/>
        </w:tabs>
        <w:ind w:left="6480" w:hanging="360"/>
      </w:pPr>
    </w:lvl>
  </w:abstractNum>
  <w:abstractNum w:abstractNumId="16" w15:restartNumberingAfterBreak="0">
    <w:nsid w:val="37004296"/>
    <w:multiLevelType w:val="hybridMultilevel"/>
    <w:tmpl w:val="783C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7A39EA"/>
    <w:multiLevelType w:val="hybridMultilevel"/>
    <w:tmpl w:val="F5BE3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7038E0"/>
    <w:multiLevelType w:val="hybridMultilevel"/>
    <w:tmpl w:val="38463A38"/>
    <w:lvl w:ilvl="0" w:tplc="08090001">
      <w:start w:val="1"/>
      <w:numFmt w:val="bullet"/>
      <w:lvlText w:val=""/>
      <w:lvlJc w:val="left"/>
      <w:pPr>
        <w:ind w:left="731" w:hanging="360"/>
      </w:pPr>
      <w:rPr>
        <w:rFonts w:ascii="Symbol" w:hAnsi="Symbol" w:hint="default"/>
      </w:rPr>
    </w:lvl>
    <w:lvl w:ilvl="1" w:tplc="08090001">
      <w:start w:val="1"/>
      <w:numFmt w:val="bullet"/>
      <w:lvlText w:val=""/>
      <w:lvlJc w:val="left"/>
      <w:pPr>
        <w:ind w:left="1451" w:hanging="360"/>
      </w:pPr>
      <w:rPr>
        <w:rFonts w:ascii="Symbol" w:hAnsi="Symbol"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9" w15:restartNumberingAfterBreak="0">
    <w:nsid w:val="402A3BDA"/>
    <w:multiLevelType w:val="hybridMultilevel"/>
    <w:tmpl w:val="DF509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77440A"/>
    <w:multiLevelType w:val="hybridMultilevel"/>
    <w:tmpl w:val="B692A72C"/>
    <w:lvl w:ilvl="0" w:tplc="08090001">
      <w:start w:val="1"/>
      <w:numFmt w:val="bullet"/>
      <w:lvlText w:val=""/>
      <w:lvlJc w:val="left"/>
      <w:pPr>
        <w:tabs>
          <w:tab w:val="num" w:pos="720"/>
        </w:tabs>
        <w:ind w:left="720" w:hanging="360"/>
      </w:pPr>
      <w:rPr>
        <w:rFonts w:ascii="Symbol" w:hAnsi="Symbol" w:hint="default"/>
      </w:rPr>
    </w:lvl>
    <w:lvl w:ilvl="1" w:tplc="0809000D">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2608CC"/>
    <w:multiLevelType w:val="hybridMultilevel"/>
    <w:tmpl w:val="DE4E0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F9760A"/>
    <w:multiLevelType w:val="hybridMultilevel"/>
    <w:tmpl w:val="627461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455456E"/>
    <w:multiLevelType w:val="hybridMultilevel"/>
    <w:tmpl w:val="806E7A20"/>
    <w:lvl w:ilvl="0" w:tplc="08090001">
      <w:start w:val="1"/>
      <w:numFmt w:val="bullet"/>
      <w:lvlText w:val=""/>
      <w:lvlJc w:val="left"/>
      <w:pPr>
        <w:tabs>
          <w:tab w:val="num" w:pos="720"/>
        </w:tabs>
        <w:ind w:left="720" w:hanging="360"/>
      </w:pPr>
      <w:rPr>
        <w:rFonts w:ascii="Symbol" w:hAnsi="Symbol" w:hint="default"/>
      </w:rPr>
    </w:lvl>
    <w:lvl w:ilvl="1" w:tplc="0809000D">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406EE6"/>
    <w:multiLevelType w:val="hybridMultilevel"/>
    <w:tmpl w:val="BFA80902"/>
    <w:lvl w:ilvl="0" w:tplc="FF4CD3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026C80"/>
    <w:multiLevelType w:val="hybridMultilevel"/>
    <w:tmpl w:val="71FEC0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B80CE2"/>
    <w:multiLevelType w:val="hybridMultilevel"/>
    <w:tmpl w:val="CD62B6C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E8A401A"/>
    <w:multiLevelType w:val="multilevel"/>
    <w:tmpl w:val="ABDEE188"/>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820692"/>
    <w:multiLevelType w:val="hybridMultilevel"/>
    <w:tmpl w:val="9C96B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0A57AC"/>
    <w:multiLevelType w:val="hybridMultilevel"/>
    <w:tmpl w:val="3F92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FA5331"/>
    <w:multiLevelType w:val="hybridMultilevel"/>
    <w:tmpl w:val="87621B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592170D"/>
    <w:multiLevelType w:val="hybridMultilevel"/>
    <w:tmpl w:val="187A6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AF5C0F"/>
    <w:multiLevelType w:val="multilevel"/>
    <w:tmpl w:val="0809001D"/>
    <w:lvl w:ilvl="0">
      <w:start w:val="1"/>
      <w:numFmt w:val="decimal"/>
      <w:pStyle w:val="List3"/>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576C19C4"/>
    <w:multiLevelType w:val="hybridMultilevel"/>
    <w:tmpl w:val="2E8AB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66441A"/>
    <w:multiLevelType w:val="hybridMultilevel"/>
    <w:tmpl w:val="BFF83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7B2188"/>
    <w:multiLevelType w:val="hybridMultilevel"/>
    <w:tmpl w:val="13B4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903715"/>
    <w:multiLevelType w:val="hybridMultilevel"/>
    <w:tmpl w:val="99943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6A64D25"/>
    <w:multiLevelType w:val="hybridMultilevel"/>
    <w:tmpl w:val="950434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8056807"/>
    <w:multiLevelType w:val="hybridMultilevel"/>
    <w:tmpl w:val="1B329954"/>
    <w:lvl w:ilvl="0" w:tplc="08090001">
      <w:start w:val="1"/>
      <w:numFmt w:val="bullet"/>
      <w:lvlText w:val=""/>
      <w:lvlJc w:val="left"/>
      <w:pPr>
        <w:tabs>
          <w:tab w:val="num" w:pos="720"/>
        </w:tabs>
        <w:ind w:left="720" w:hanging="360"/>
      </w:pPr>
      <w:rPr>
        <w:rFonts w:ascii="Symbol" w:hAnsi="Symbol" w:hint="default"/>
      </w:rPr>
    </w:lvl>
    <w:lvl w:ilvl="1" w:tplc="0809000D">
      <w:start w:val="1"/>
      <w:numFmt w:val="bullet"/>
      <w:lvlText w:val=""/>
      <w:lvlJc w:val="left"/>
      <w:pPr>
        <w:tabs>
          <w:tab w:val="num" w:pos="1440"/>
        </w:tabs>
        <w:ind w:left="1440" w:hanging="360"/>
      </w:pPr>
      <w:rPr>
        <w:rFonts w:ascii="Wingdings" w:hAnsi="Wingdings"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E37ED5"/>
    <w:multiLevelType w:val="hybridMultilevel"/>
    <w:tmpl w:val="1312E1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B655D06"/>
    <w:multiLevelType w:val="hybridMultilevel"/>
    <w:tmpl w:val="09EABB7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3" w15:restartNumberingAfterBreak="0">
    <w:nsid w:val="6CCB68D6"/>
    <w:multiLevelType w:val="hybridMultilevel"/>
    <w:tmpl w:val="62EC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625BB9"/>
    <w:multiLevelType w:val="hybridMultilevel"/>
    <w:tmpl w:val="3A5EA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1822E5"/>
    <w:multiLevelType w:val="hybridMultilevel"/>
    <w:tmpl w:val="B8C27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11756B"/>
    <w:multiLevelType w:val="hybridMultilevel"/>
    <w:tmpl w:val="D10C5F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7" w15:restartNumberingAfterBreak="0">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D73258"/>
    <w:multiLevelType w:val="hybridMultilevel"/>
    <w:tmpl w:val="470ABB0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47"/>
  </w:num>
  <w:num w:numId="2">
    <w:abstractNumId w:val="2"/>
  </w:num>
  <w:num w:numId="3">
    <w:abstractNumId w:val="9"/>
  </w:num>
  <w:num w:numId="4">
    <w:abstractNumId w:val="31"/>
  </w:num>
  <w:num w:numId="5">
    <w:abstractNumId w:val="22"/>
  </w:num>
  <w:num w:numId="6">
    <w:abstractNumId w:val="35"/>
  </w:num>
  <w:num w:numId="7">
    <w:abstractNumId w:val="24"/>
  </w:num>
  <w:num w:numId="8">
    <w:abstractNumId w:val="20"/>
  </w:num>
  <w:num w:numId="9">
    <w:abstractNumId w:val="40"/>
  </w:num>
  <w:num w:numId="10">
    <w:abstractNumId w:val="25"/>
  </w:num>
  <w:num w:numId="11">
    <w:abstractNumId w:val="8"/>
  </w:num>
  <w:num w:numId="12">
    <w:abstractNumId w:val="21"/>
  </w:num>
  <w:num w:numId="13">
    <w:abstractNumId w:val="19"/>
  </w:num>
  <w:num w:numId="14">
    <w:abstractNumId w:val="1"/>
  </w:num>
  <w:num w:numId="15">
    <w:abstractNumId w:val="13"/>
  </w:num>
  <w:num w:numId="16">
    <w:abstractNumId w:val="29"/>
  </w:num>
  <w:num w:numId="17">
    <w:abstractNumId w:val="36"/>
  </w:num>
  <w:num w:numId="18">
    <w:abstractNumId w:val="17"/>
  </w:num>
  <w:num w:numId="19">
    <w:abstractNumId w:val="44"/>
  </w:num>
  <w:num w:numId="20">
    <w:abstractNumId w:val="48"/>
  </w:num>
  <w:num w:numId="21">
    <w:abstractNumId w:val="42"/>
  </w:num>
  <w:num w:numId="22">
    <w:abstractNumId w:val="3"/>
  </w:num>
  <w:num w:numId="23">
    <w:abstractNumId w:val="43"/>
  </w:num>
  <w:num w:numId="24">
    <w:abstractNumId w:val="4"/>
  </w:num>
  <w:num w:numId="25">
    <w:abstractNumId w:val="30"/>
  </w:num>
  <w:num w:numId="26">
    <w:abstractNumId w:val="39"/>
  </w:num>
  <w:num w:numId="27">
    <w:abstractNumId w:val="14"/>
  </w:num>
  <w:num w:numId="28">
    <w:abstractNumId w:val="0"/>
  </w:num>
  <w:num w:numId="29">
    <w:abstractNumId w:val="41"/>
  </w:num>
  <w:num w:numId="30">
    <w:abstractNumId w:val="27"/>
  </w:num>
  <w:num w:numId="31">
    <w:abstractNumId w:val="11"/>
  </w:num>
  <w:num w:numId="32">
    <w:abstractNumId w:val="32"/>
  </w:num>
  <w:num w:numId="33">
    <w:abstractNumId w:val="26"/>
  </w:num>
  <w:num w:numId="34">
    <w:abstractNumId w:val="7"/>
  </w:num>
  <w:num w:numId="35">
    <w:abstractNumId w:val="37"/>
  </w:num>
  <w:num w:numId="36">
    <w:abstractNumId w:val="16"/>
  </w:num>
  <w:num w:numId="37">
    <w:abstractNumId w:val="6"/>
  </w:num>
  <w:num w:numId="38">
    <w:abstractNumId w:val="34"/>
    <w:lvlOverride w:ilvl="0">
      <w:lvl w:ilvl="0">
        <w:start w:val="1"/>
        <w:numFmt w:val="decimal"/>
        <w:pStyle w:val="List3"/>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9">
    <w:abstractNumId w:val="18"/>
  </w:num>
  <w:num w:numId="40">
    <w:abstractNumId w:val="28"/>
  </w:num>
  <w:num w:numId="41">
    <w:abstractNumId w:val="10"/>
  </w:num>
  <w:num w:numId="42">
    <w:abstractNumId w:val="45"/>
  </w:num>
  <w:num w:numId="43">
    <w:abstractNumId w:val="33"/>
  </w:num>
  <w:num w:numId="44">
    <w:abstractNumId w:val="5"/>
  </w:num>
  <w:num w:numId="45">
    <w:abstractNumId w:val="12"/>
  </w:num>
  <w:num w:numId="46">
    <w:abstractNumId w:val="46"/>
  </w:num>
  <w:num w:numId="47">
    <w:abstractNumId w:val="1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397"/>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30"/>
    <w:rsid w:val="00036CFC"/>
    <w:rsid w:val="00046B8C"/>
    <w:rsid w:val="00080E86"/>
    <w:rsid w:val="000C3AD9"/>
    <w:rsid w:val="000C6C81"/>
    <w:rsid w:val="000D52AB"/>
    <w:rsid w:val="00181897"/>
    <w:rsid w:val="0018447B"/>
    <w:rsid w:val="001936E2"/>
    <w:rsid w:val="00194555"/>
    <w:rsid w:val="001C64C5"/>
    <w:rsid w:val="001D40FE"/>
    <w:rsid w:val="002178D7"/>
    <w:rsid w:val="002217BE"/>
    <w:rsid w:val="00241A07"/>
    <w:rsid w:val="00245870"/>
    <w:rsid w:val="002548D7"/>
    <w:rsid w:val="00271ACB"/>
    <w:rsid w:val="002729D6"/>
    <w:rsid w:val="00280C3B"/>
    <w:rsid w:val="002E2A4D"/>
    <w:rsid w:val="002E6699"/>
    <w:rsid w:val="002F04EE"/>
    <w:rsid w:val="002F1803"/>
    <w:rsid w:val="003006F1"/>
    <w:rsid w:val="0035265E"/>
    <w:rsid w:val="0039197B"/>
    <w:rsid w:val="003F5501"/>
    <w:rsid w:val="00432B30"/>
    <w:rsid w:val="004417CD"/>
    <w:rsid w:val="00451456"/>
    <w:rsid w:val="0048333F"/>
    <w:rsid w:val="00486A99"/>
    <w:rsid w:val="004C026E"/>
    <w:rsid w:val="004D3B27"/>
    <w:rsid w:val="0050043B"/>
    <w:rsid w:val="00523E05"/>
    <w:rsid w:val="00564A69"/>
    <w:rsid w:val="00577AB9"/>
    <w:rsid w:val="00596BC2"/>
    <w:rsid w:val="00597B67"/>
    <w:rsid w:val="005A089D"/>
    <w:rsid w:val="005A1D81"/>
    <w:rsid w:val="005C425F"/>
    <w:rsid w:val="005E1541"/>
    <w:rsid w:val="006013F5"/>
    <w:rsid w:val="0060612C"/>
    <w:rsid w:val="00622363"/>
    <w:rsid w:val="00630FB1"/>
    <w:rsid w:val="00633EF4"/>
    <w:rsid w:val="00653BA1"/>
    <w:rsid w:val="006C2566"/>
    <w:rsid w:val="007125F3"/>
    <w:rsid w:val="00727D62"/>
    <w:rsid w:val="00760F47"/>
    <w:rsid w:val="007665A5"/>
    <w:rsid w:val="00791E93"/>
    <w:rsid w:val="00795FEB"/>
    <w:rsid w:val="007A5E2D"/>
    <w:rsid w:val="007A7A03"/>
    <w:rsid w:val="007D2B9E"/>
    <w:rsid w:val="00831BDB"/>
    <w:rsid w:val="00872FD4"/>
    <w:rsid w:val="00873EBD"/>
    <w:rsid w:val="008A31A5"/>
    <w:rsid w:val="008A32FE"/>
    <w:rsid w:val="008C32B9"/>
    <w:rsid w:val="008D1499"/>
    <w:rsid w:val="008D39A0"/>
    <w:rsid w:val="008E3945"/>
    <w:rsid w:val="008E7318"/>
    <w:rsid w:val="009108C4"/>
    <w:rsid w:val="009249B7"/>
    <w:rsid w:val="00924A33"/>
    <w:rsid w:val="009405BC"/>
    <w:rsid w:val="00957AB7"/>
    <w:rsid w:val="00962CFC"/>
    <w:rsid w:val="0096422C"/>
    <w:rsid w:val="009675A2"/>
    <w:rsid w:val="009759E5"/>
    <w:rsid w:val="00982039"/>
    <w:rsid w:val="00993188"/>
    <w:rsid w:val="009A1489"/>
    <w:rsid w:val="009A5DED"/>
    <w:rsid w:val="009C394B"/>
    <w:rsid w:val="009E095A"/>
    <w:rsid w:val="009E6D40"/>
    <w:rsid w:val="009F2391"/>
    <w:rsid w:val="00A03AF5"/>
    <w:rsid w:val="00A1211B"/>
    <w:rsid w:val="00A13398"/>
    <w:rsid w:val="00A171FF"/>
    <w:rsid w:val="00A475FF"/>
    <w:rsid w:val="00A47D63"/>
    <w:rsid w:val="00A53D00"/>
    <w:rsid w:val="00A87A72"/>
    <w:rsid w:val="00AB1016"/>
    <w:rsid w:val="00AB5744"/>
    <w:rsid w:val="00AC6036"/>
    <w:rsid w:val="00AD43C8"/>
    <w:rsid w:val="00B75E8B"/>
    <w:rsid w:val="00B94FA4"/>
    <w:rsid w:val="00BB603F"/>
    <w:rsid w:val="00BE0052"/>
    <w:rsid w:val="00C048A1"/>
    <w:rsid w:val="00C06BD6"/>
    <w:rsid w:val="00C3335E"/>
    <w:rsid w:val="00C34709"/>
    <w:rsid w:val="00C53011"/>
    <w:rsid w:val="00C701FE"/>
    <w:rsid w:val="00C749C1"/>
    <w:rsid w:val="00C75DEC"/>
    <w:rsid w:val="00CB4293"/>
    <w:rsid w:val="00CF1990"/>
    <w:rsid w:val="00CF62E6"/>
    <w:rsid w:val="00D60DE1"/>
    <w:rsid w:val="00D76D62"/>
    <w:rsid w:val="00D81956"/>
    <w:rsid w:val="00D86546"/>
    <w:rsid w:val="00D94E0A"/>
    <w:rsid w:val="00DB7E5C"/>
    <w:rsid w:val="00DD3E64"/>
    <w:rsid w:val="00DF20BC"/>
    <w:rsid w:val="00E03CDC"/>
    <w:rsid w:val="00E36206"/>
    <w:rsid w:val="00E5005A"/>
    <w:rsid w:val="00E71E05"/>
    <w:rsid w:val="00E760EA"/>
    <w:rsid w:val="00E852FA"/>
    <w:rsid w:val="00EA55B7"/>
    <w:rsid w:val="00EE4627"/>
    <w:rsid w:val="00EE662A"/>
    <w:rsid w:val="00EE7908"/>
    <w:rsid w:val="00EF62E4"/>
    <w:rsid w:val="00EF62E7"/>
    <w:rsid w:val="00F16BDD"/>
    <w:rsid w:val="00F21C3D"/>
    <w:rsid w:val="00F248DE"/>
    <w:rsid w:val="00F249B1"/>
    <w:rsid w:val="00F76E12"/>
    <w:rsid w:val="00FC3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D67B19"/>
  <w15:docId w15:val="{CDDE24AA-2EE3-4041-B198-70119A87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rsid w:val="000C6C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1C64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C64C5"/>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aliases w:val="Char,5_G,Footnote Text Char Char,Footnote Text Char1 Char Char,Footnote Text Char Char Char Char,Footnote Text Char1 Char Char1 Char Char,Footnote Text Char Char Char Char1 Char Char,ft Char Char Char Char Char Char,Footnote Text Cha, Char"/>
    <w:basedOn w:val="Normal"/>
    <w:link w:val="FootnoteTextChar"/>
    <w:unhideWhenUsed/>
    <w:qFormat/>
    <w:rsid w:val="00280C3B"/>
    <w:rPr>
      <w:rFonts w:asciiTheme="minorHAnsi" w:eastAsiaTheme="minorEastAsia" w:hAnsiTheme="minorHAnsi" w:cstheme="minorBidi"/>
      <w:sz w:val="24"/>
      <w:szCs w:val="24"/>
      <w:lang w:val="en-US"/>
    </w:rPr>
  </w:style>
  <w:style w:type="character" w:customStyle="1" w:styleId="FootnoteTextChar">
    <w:name w:val="Footnote Text Char"/>
    <w:aliases w:val="Char Char,5_G Char,Footnote Text Char Char Char,Footnote Text Char1 Char Char Char,Footnote Text Char Char Char Char Char,Footnote Text Char1 Char Char1 Char Char Char,Footnote Text Char Char Char Char1 Char Char Char, Char Char"/>
    <w:basedOn w:val="DefaultParagraphFont"/>
    <w:link w:val="FootnoteText"/>
    <w:rsid w:val="00280C3B"/>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basedOn w:val="DefaultParagraphFont"/>
    <w:link w:val="Char2"/>
    <w:unhideWhenUsed/>
    <w:qFormat/>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E852FA"/>
    <w:rPr>
      <w:rFonts w:ascii="Arial" w:hAnsi="Arial" w:cs="Arial"/>
      <w:color w:val="414042"/>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E852FA"/>
    <w:rPr>
      <w:rFonts w:ascii="MinionPro-Regular" w:hAnsi="MinionPro-Regular" w:cs="MinionPro-Regular"/>
      <w:color w:val="000000"/>
      <w:lang w:val="en-GB"/>
    </w:rPr>
  </w:style>
  <w:style w:type="paragraph" w:customStyle="1" w:styleId="NICCYSubline">
    <w:name w:val="NICCY Subline"/>
    <w:basedOn w:val="BasicParagraph"/>
    <w:link w:val="NICCYSublineChar"/>
    <w:qFormat/>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lang w:val="en-GB"/>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SublineChar">
    <w:name w:val="NICCY Subline Char"/>
    <w:basedOn w:val="BasicParagraphChar"/>
    <w:link w:val="NICCYSubline"/>
    <w:rsid w:val="00E852FA"/>
    <w:rPr>
      <w:rFonts w:ascii="Arial" w:hAnsi="Arial" w:cs="Arial"/>
      <w:b/>
      <w:color w:val="23A4DE"/>
      <w:lang w:val="en-GB"/>
    </w:rPr>
  </w:style>
  <w:style w:type="character" w:customStyle="1" w:styleId="NICCYHeadingChar">
    <w:name w:val="NICCY Heading Char"/>
    <w:basedOn w:val="BasicParagraphChar"/>
    <w:link w:val="NICCYHeading"/>
    <w:rsid w:val="00E852FA"/>
    <w:rPr>
      <w:rFonts w:ascii="Arial" w:hAnsi="Arial" w:cs="Arial"/>
      <w:b/>
      <w:color w:val="23A4DE"/>
      <w:sz w:val="36"/>
      <w:szCs w:val="36"/>
      <w:lang w:val="en-GB"/>
    </w:rPr>
  </w:style>
  <w:style w:type="paragraph" w:customStyle="1" w:styleId="NICCYSubLine0">
    <w:name w:val="NICCY Sub Line"/>
    <w:basedOn w:val="BasicParagraph"/>
    <w:link w:val="NICCYSubLineChar0"/>
    <w:qFormat/>
    <w:rsid w:val="0035265E"/>
    <w:rPr>
      <w:rFonts w:ascii="Arial" w:hAnsi="Arial" w:cs="Arial"/>
      <w:b/>
      <w:color w:val="72BF44"/>
    </w:rPr>
  </w:style>
  <w:style w:type="character" w:customStyle="1" w:styleId="NICCYSubLineChar0">
    <w:name w:val="NICCY Sub Line Char"/>
    <w:basedOn w:val="BasicParagraphChar"/>
    <w:link w:val="NICCYSubLine0"/>
    <w:rsid w:val="0035265E"/>
    <w:rPr>
      <w:rFonts w:ascii="Arial" w:hAnsi="Arial" w:cs="Arial"/>
      <w:b/>
      <w:color w:val="72BF44"/>
      <w:lang w:val="en-GB"/>
    </w:rPr>
  </w:style>
  <w:style w:type="character" w:customStyle="1" w:styleId="Heading1Char">
    <w:name w:val="Heading 1 Char"/>
    <w:basedOn w:val="DefaultParagraphFont"/>
    <w:link w:val="Heading1"/>
    <w:uiPriority w:val="9"/>
    <w:rsid w:val="000C6C81"/>
    <w:rPr>
      <w:rFonts w:asciiTheme="majorHAnsi" w:eastAsiaTheme="majorEastAsia" w:hAnsiTheme="majorHAnsi" w:cstheme="majorBidi"/>
      <w:b/>
      <w:bCs/>
      <w:color w:val="365F91" w:themeColor="accent1" w:themeShade="BF"/>
      <w:sz w:val="28"/>
      <w:szCs w:val="28"/>
      <w:lang w:val="en-GB"/>
    </w:rPr>
  </w:style>
  <w:style w:type="paragraph" w:styleId="BodyText3">
    <w:name w:val="Body Text 3"/>
    <w:basedOn w:val="Normal"/>
    <w:link w:val="BodyText3Char"/>
    <w:uiPriority w:val="99"/>
    <w:semiHidden/>
    <w:unhideWhenUsed/>
    <w:rsid w:val="000C6C81"/>
    <w:pPr>
      <w:spacing w:after="120"/>
    </w:pPr>
    <w:rPr>
      <w:sz w:val="16"/>
      <w:szCs w:val="16"/>
    </w:rPr>
  </w:style>
  <w:style w:type="character" w:customStyle="1" w:styleId="BodyText3Char">
    <w:name w:val="Body Text 3 Char"/>
    <w:basedOn w:val="DefaultParagraphFont"/>
    <w:link w:val="BodyText3"/>
    <w:uiPriority w:val="99"/>
    <w:semiHidden/>
    <w:rsid w:val="000C6C81"/>
    <w:rPr>
      <w:rFonts w:ascii="Times New Roman" w:eastAsia="Times New Roman" w:hAnsi="Times New Roman" w:cs="Times New Roman"/>
      <w:sz w:val="16"/>
      <w:szCs w:val="16"/>
      <w:lang w:val="en-GB"/>
    </w:rPr>
  </w:style>
  <w:style w:type="paragraph" w:styleId="BodyText2">
    <w:name w:val="Body Text 2"/>
    <w:basedOn w:val="Normal"/>
    <w:link w:val="BodyText2Char"/>
    <w:uiPriority w:val="99"/>
    <w:rsid w:val="000C6C81"/>
    <w:pPr>
      <w:spacing w:after="120" w:line="480" w:lineRule="auto"/>
    </w:pPr>
    <w:rPr>
      <w:sz w:val="24"/>
      <w:szCs w:val="24"/>
    </w:rPr>
  </w:style>
  <w:style w:type="character" w:customStyle="1" w:styleId="BodyText2Char">
    <w:name w:val="Body Text 2 Char"/>
    <w:basedOn w:val="DefaultParagraphFont"/>
    <w:link w:val="BodyText2"/>
    <w:uiPriority w:val="99"/>
    <w:rsid w:val="000C6C81"/>
    <w:rPr>
      <w:rFonts w:ascii="Times New Roman" w:eastAsia="Times New Roman" w:hAnsi="Times New Roman" w:cs="Times New Roman"/>
      <w:lang w:val="en-GB"/>
    </w:rPr>
  </w:style>
  <w:style w:type="character" w:customStyle="1" w:styleId="Heading2Char">
    <w:name w:val="Heading 2 Char"/>
    <w:basedOn w:val="DefaultParagraphFont"/>
    <w:link w:val="Heading2"/>
    <w:uiPriority w:val="9"/>
    <w:semiHidden/>
    <w:rsid w:val="001C64C5"/>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1C64C5"/>
    <w:rPr>
      <w:rFonts w:asciiTheme="majorHAnsi" w:eastAsiaTheme="majorEastAsia" w:hAnsiTheme="majorHAnsi" w:cstheme="majorBidi"/>
      <w:b/>
      <w:bCs/>
      <w:color w:val="4F81BD" w:themeColor="accent1"/>
      <w:sz w:val="20"/>
      <w:szCs w:val="20"/>
      <w:lang w:val="en-GB"/>
    </w:rPr>
  </w:style>
  <w:style w:type="paragraph" w:styleId="List3">
    <w:name w:val="List 3"/>
    <w:basedOn w:val="Normal"/>
    <w:rsid w:val="001C64C5"/>
    <w:pPr>
      <w:numPr>
        <w:numId w:val="38"/>
      </w:numPr>
    </w:pPr>
    <w:rPr>
      <w:rFonts w:ascii="Arial" w:hAnsi="Arial"/>
      <w:sz w:val="24"/>
    </w:rPr>
  </w:style>
  <w:style w:type="paragraph" w:styleId="NormalWeb">
    <w:name w:val="Normal (Web)"/>
    <w:basedOn w:val="Normal"/>
    <w:uiPriority w:val="99"/>
    <w:unhideWhenUsed/>
    <w:rsid w:val="00F21C3D"/>
    <w:rPr>
      <w:rFonts w:eastAsiaTheme="minorHAnsi"/>
      <w:sz w:val="24"/>
      <w:szCs w:val="24"/>
      <w:lang w:eastAsia="en-GB"/>
    </w:rPr>
  </w:style>
  <w:style w:type="paragraph" w:customStyle="1" w:styleId="Char2">
    <w:name w:val="Char2"/>
    <w:basedOn w:val="Normal"/>
    <w:link w:val="FootnoteReference"/>
    <w:rsid w:val="00271ACB"/>
    <w:pPr>
      <w:spacing w:after="160" w:line="240" w:lineRule="exact"/>
      <w:jc w:val="both"/>
    </w:pPr>
    <w:rPr>
      <w:rFonts w:asciiTheme="minorHAnsi" w:eastAsiaTheme="minorEastAsia" w:hAnsiTheme="minorHAnsi" w:cstheme="minorBidi"/>
      <w:sz w:val="24"/>
      <w:szCs w:val="24"/>
      <w:vertAlign w:val="superscript"/>
      <w:lang w:val="en-US"/>
    </w:rPr>
  </w:style>
  <w:style w:type="character" w:customStyle="1" w:styleId="SingleTxtGChar">
    <w:name w:val="_ Single Txt_G Char"/>
    <w:link w:val="SingleTxtG"/>
    <w:locked/>
    <w:rsid w:val="00271ACB"/>
    <w:rPr>
      <w:rFonts w:ascii="Times New Roman" w:eastAsia="Times New Roman" w:hAnsi="Times New Roman" w:cs="Times New Roman"/>
      <w:sz w:val="20"/>
      <w:szCs w:val="20"/>
    </w:rPr>
  </w:style>
  <w:style w:type="paragraph" w:customStyle="1" w:styleId="SingleTxtG">
    <w:name w:val="_ Single Txt_G"/>
    <w:basedOn w:val="Normal"/>
    <w:link w:val="SingleTxtGChar"/>
    <w:qFormat/>
    <w:rsid w:val="00271ACB"/>
    <w:pPr>
      <w:suppressAutoHyphens/>
      <w:spacing w:after="120" w:line="240" w:lineRule="atLeast"/>
      <w:ind w:left="1134" w:right="1134"/>
      <w:jc w:val="both"/>
    </w:pPr>
    <w:rPr>
      <w:lang w:val="en-US"/>
    </w:rPr>
  </w:style>
  <w:style w:type="character" w:customStyle="1" w:styleId="legds">
    <w:name w:val="legds"/>
    <w:basedOn w:val="DefaultParagraphFont"/>
    <w:rsid w:val="00271ACB"/>
  </w:style>
  <w:style w:type="paragraph" w:customStyle="1" w:styleId="Default">
    <w:name w:val="Default"/>
    <w:rsid w:val="007665A5"/>
    <w:pPr>
      <w:autoSpaceDE w:val="0"/>
      <w:autoSpaceDN w:val="0"/>
      <w:adjustRightInd w:val="0"/>
    </w:pPr>
    <w:rPr>
      <w:rFonts w:ascii="Arial"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854860">
      <w:bodyDiv w:val="1"/>
      <w:marLeft w:val="0"/>
      <w:marRight w:val="0"/>
      <w:marTop w:val="0"/>
      <w:marBottom w:val="0"/>
      <w:divBdr>
        <w:top w:val="none" w:sz="0" w:space="0" w:color="auto"/>
        <w:left w:val="none" w:sz="0" w:space="0" w:color="auto"/>
        <w:bottom w:val="none" w:sz="0" w:space="0" w:color="auto"/>
        <w:right w:val="none" w:sz="0" w:space="0" w:color="auto"/>
      </w:divBdr>
    </w:div>
    <w:div w:id="1220745146">
      <w:bodyDiv w:val="1"/>
      <w:marLeft w:val="0"/>
      <w:marRight w:val="0"/>
      <w:marTop w:val="0"/>
      <w:marBottom w:val="0"/>
      <w:divBdr>
        <w:top w:val="none" w:sz="0" w:space="0" w:color="auto"/>
        <w:left w:val="none" w:sz="0" w:space="0" w:color="auto"/>
        <w:bottom w:val="none" w:sz="0" w:space="0" w:color="auto"/>
        <w:right w:val="none" w:sz="0" w:space="0" w:color="auto"/>
      </w:divBdr>
      <w:divsChild>
        <w:div w:id="1623730571">
          <w:marLeft w:val="0"/>
          <w:marRight w:val="0"/>
          <w:marTop w:val="0"/>
          <w:marBottom w:val="0"/>
          <w:divBdr>
            <w:top w:val="single" w:sz="6" w:space="6" w:color="D6D6D6"/>
            <w:left w:val="single" w:sz="6" w:space="18" w:color="D6D6D6"/>
            <w:bottom w:val="single" w:sz="6" w:space="6" w:color="D6D6D6"/>
            <w:right w:val="single" w:sz="6" w:space="18" w:color="D6D6D6"/>
          </w:divBdr>
          <w:divsChild>
            <w:div w:id="7283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Reference=Rec(20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2B0F6-CEC1-4DFD-9C23-721A6933F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2068</Words>
  <Characters>11790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 Scott</dc:creator>
  <cp:lastModifiedBy>Andrew McGall</cp:lastModifiedBy>
  <cp:revision>2</cp:revision>
  <cp:lastPrinted>2017-09-29T07:53:00Z</cp:lastPrinted>
  <dcterms:created xsi:type="dcterms:W3CDTF">2019-01-09T10:21:00Z</dcterms:created>
  <dcterms:modified xsi:type="dcterms:W3CDTF">2019-01-09T10:21:00Z</dcterms:modified>
</cp:coreProperties>
</file>