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4129B" w14:textId="77777777" w:rsidR="00E51AF9" w:rsidRDefault="00E51AF9" w:rsidP="00906389">
      <w:pPr>
        <w:pStyle w:val="NICCYHeading"/>
        <w:rPr>
          <w:color w:val="FF0000"/>
          <w:u w:color="FF0000"/>
        </w:rPr>
      </w:pPr>
      <w:r>
        <w:rPr>
          <w:color w:val="FF0000"/>
          <w:u w:color="FF0000"/>
        </w:rPr>
        <w:t xml:space="preserve">Review of the law on Child Sexual Exploitation </w:t>
      </w:r>
    </w:p>
    <w:p w14:paraId="097A723E" w14:textId="5D69CDE8" w:rsidR="00E51AF9" w:rsidRDefault="000D47D5" w:rsidP="00906389">
      <w:pPr>
        <w:pStyle w:val="NICCYSubline"/>
        <w:rPr>
          <w:color w:val="FF0000"/>
          <w:u w:color="FF0000"/>
        </w:rPr>
      </w:pPr>
      <w:r>
        <w:rPr>
          <w:color w:val="FF0000"/>
          <w:u w:color="FF0000"/>
        </w:rPr>
        <w:t>12</w:t>
      </w:r>
      <w:r w:rsidR="00E51AF9">
        <w:rPr>
          <w:color w:val="FF0000"/>
          <w:u w:color="FF0000"/>
        </w:rPr>
        <w:t xml:space="preserve"> April 2019 </w:t>
      </w:r>
    </w:p>
    <w:p w14:paraId="397D7543" w14:textId="77777777" w:rsidR="00E51AF9" w:rsidRDefault="00E51AF9" w:rsidP="00906389">
      <w:pPr>
        <w:pStyle w:val="NICCYSubline"/>
        <w:rPr>
          <w:color w:val="FF0000"/>
          <w:u w:color="FF0000"/>
        </w:rPr>
      </w:pPr>
    </w:p>
    <w:p w14:paraId="1D0862C9" w14:textId="77777777" w:rsidR="00E51AF9" w:rsidRPr="00AA25CA" w:rsidRDefault="00E51AF9" w:rsidP="00906389">
      <w:pPr>
        <w:pStyle w:val="NICCYSubline"/>
        <w:rPr>
          <w:i/>
          <w:color w:val="FF0000"/>
          <w:u w:color="FF0000"/>
        </w:rPr>
      </w:pPr>
      <w:r w:rsidRPr="00AA25CA">
        <w:rPr>
          <w:b w:val="0"/>
          <w:i/>
          <w:color w:val="414042"/>
          <w:u w:color="414042"/>
        </w:rPr>
        <w:t>“Children have suffered adult violence unseen and unheard for centuries. Now that the scale and impact of all forms of violence against children is becoming better known they cannot be kept waiting any longer for the protection to which they have an unqualified right</w:t>
      </w:r>
      <w:r>
        <w:rPr>
          <w:b w:val="0"/>
          <w:i/>
          <w:color w:val="414042"/>
          <w:u w:color="414042"/>
        </w:rPr>
        <w:t>.</w:t>
      </w:r>
      <w:r w:rsidRPr="00AA25CA">
        <w:rPr>
          <w:b w:val="0"/>
          <w:i/>
          <w:color w:val="414042"/>
          <w:u w:color="414042"/>
        </w:rPr>
        <w:t>” (2006 UN Study on Violence against Children)</w:t>
      </w:r>
    </w:p>
    <w:p w14:paraId="65C26B85" w14:textId="77777777" w:rsidR="00E51AF9" w:rsidRDefault="00E51AF9" w:rsidP="00906389">
      <w:pPr>
        <w:pStyle w:val="NICCYSubline"/>
        <w:rPr>
          <w:color w:val="FF0000"/>
          <w:u w:color="FF0000"/>
        </w:rPr>
      </w:pPr>
    </w:p>
    <w:p w14:paraId="6EA3B77D" w14:textId="77777777" w:rsidR="00E51AF9" w:rsidRDefault="00E51AF9" w:rsidP="00906389">
      <w:pPr>
        <w:pStyle w:val="NICCYSubline"/>
        <w:rPr>
          <w:color w:val="FF0000"/>
          <w:u w:color="FF0000"/>
        </w:rPr>
      </w:pPr>
      <w:r>
        <w:rPr>
          <w:color w:val="FF0000"/>
          <w:u w:color="FF0000"/>
        </w:rPr>
        <w:t>Introduction</w:t>
      </w:r>
    </w:p>
    <w:p w14:paraId="19C31F03" w14:textId="77777777" w:rsidR="00E51AF9" w:rsidRDefault="00E51AF9" w:rsidP="00493E9C">
      <w:pPr>
        <w:pStyle w:val="NICCYBodyText"/>
        <w:rPr>
          <w:color w:val="404040"/>
        </w:rPr>
      </w:pPr>
      <w:r w:rsidRPr="00F8339A">
        <w:t xml:space="preserve">The Commissioner for Children and Young People (NICCY) </w:t>
      </w:r>
      <w:proofErr w:type="gramStart"/>
      <w:r w:rsidRPr="00F8339A">
        <w:t>was created</w:t>
      </w:r>
      <w:proofErr w:type="gramEnd"/>
      <w:r w:rsidRPr="00F8339A">
        <w:t xml:space="preserve"> in accordance with ‘The Commissioner for Children and Young People (</w:t>
      </w:r>
      <w:smartTag w:uri="urn:schemas-microsoft-com:office:smarttags" w:element="country-region">
        <w:r w:rsidRPr="00F8339A">
          <w:t>Northern Ireland</w:t>
        </w:r>
      </w:smartTag>
      <w:r w:rsidRPr="00F8339A">
        <w:t xml:space="preserve">) Order’ (2003) to safeguard and promote the rights and best interests of children and young people in </w:t>
      </w:r>
      <w:smartTag w:uri="urn:schemas-microsoft-com:office:smarttags" w:element="country-region">
        <w:smartTag w:uri="urn:schemas-microsoft-com:office:smarttags" w:element="place">
          <w:r w:rsidRPr="00F8339A">
            <w:t>Northern Ireland</w:t>
          </w:r>
        </w:smartTag>
      </w:smartTag>
      <w:r w:rsidRPr="00F8339A">
        <w:t xml:space="preserve">. Under Articles 7(2) and (3) of this legislation, NICCY has a mandate to keep under review the adequacy and effectiveness of law, practice and services relating to the rights and best interests of children and young people by relevant authorities. </w:t>
      </w:r>
      <w:r w:rsidRPr="00F8339A">
        <w:rPr>
          <w:color w:val="494949"/>
          <w:shd w:val="clear" w:color="auto" w:fill="FFFFFF"/>
        </w:rPr>
        <w:t>Under Article 7(4), NICCY has a statutory duty to advise any relevant authority on matters concerning the rights or best interests of children and young persons</w:t>
      </w:r>
      <w:r>
        <w:rPr>
          <w:color w:val="494949"/>
          <w:shd w:val="clear" w:color="auto" w:fill="FFFFFF"/>
        </w:rPr>
        <w:t>.</w:t>
      </w:r>
      <w:r w:rsidRPr="00D1017F">
        <w:rPr>
          <w:color w:val="404040"/>
        </w:rPr>
        <w:t xml:space="preserve"> </w:t>
      </w:r>
    </w:p>
    <w:p w14:paraId="6D897F71" w14:textId="77777777" w:rsidR="00E51AF9" w:rsidRDefault="00E51AF9" w:rsidP="00493E9C">
      <w:pPr>
        <w:pStyle w:val="NICCYBodyText"/>
        <w:rPr>
          <w:color w:val="404040"/>
        </w:rPr>
      </w:pPr>
    </w:p>
    <w:p w14:paraId="4EEB0B95" w14:textId="77777777" w:rsidR="00E51AF9" w:rsidRDefault="00E51AF9" w:rsidP="00493E9C">
      <w:pPr>
        <w:pStyle w:val="NICCYBodyText"/>
      </w:pPr>
      <w:r w:rsidRPr="00F8339A">
        <w:t xml:space="preserve">The Commissioner’s remit includes children and young people from birth up to 18 years, or 21 years, if the young person is disabled or </w:t>
      </w:r>
      <w:r>
        <w:t xml:space="preserve">is </w:t>
      </w:r>
      <w:r w:rsidRPr="00F8339A">
        <w:t xml:space="preserve">care </w:t>
      </w:r>
      <w:r>
        <w:t>experienced</w:t>
      </w:r>
      <w:r w:rsidRPr="00F8339A">
        <w:t xml:space="preserve">. In carrying out her functions, the Commissioner’s paramount consideration </w:t>
      </w:r>
      <w:r w:rsidRPr="00F8339A">
        <w:rPr>
          <w:rStyle w:val="legds"/>
          <w:rFonts w:cs="Arial"/>
          <w:color w:val="404142"/>
        </w:rPr>
        <w:t xml:space="preserve">is the rights of the child or young person, having particular regard to their wishes and feelings. In exercising her functions, the Commissioner has regard to all relevant provisions of </w:t>
      </w:r>
      <w:r w:rsidRPr="00F8339A">
        <w:t xml:space="preserve">the United Nations Convention on the Rights of the Child (UNCRC). </w:t>
      </w:r>
    </w:p>
    <w:p w14:paraId="2A2844F2" w14:textId="77777777" w:rsidR="00E51AF9" w:rsidRDefault="00E51AF9" w:rsidP="00493E9C">
      <w:pPr>
        <w:pStyle w:val="NICCYBodyText"/>
      </w:pPr>
    </w:p>
    <w:p w14:paraId="65E9CE61" w14:textId="77777777" w:rsidR="00E51AF9" w:rsidRDefault="00E51AF9" w:rsidP="00493E9C">
      <w:pPr>
        <w:pStyle w:val="NICCYBodyText"/>
      </w:pPr>
      <w:r>
        <w:t>NICCY welcomes the opportunity to provide advice to the Department of Justice (</w:t>
      </w:r>
      <w:proofErr w:type="spellStart"/>
      <w:r>
        <w:t>DoJ</w:t>
      </w:r>
      <w:proofErr w:type="spellEnd"/>
      <w:r>
        <w:t>) on the Review of the law in relation to Child Sexual Exploitation (CSE). The Commissioner has expressed concern on a number of occasions about the delay in the Department progressing the elements of this consultation which address the conclusions of the 2014 Independent Inquiry into CSE in Northern Ireland (</w:t>
      </w:r>
      <w:r w:rsidR="001D1040">
        <w:t xml:space="preserve">Inquiry </w:t>
      </w:r>
      <w:r>
        <w:t xml:space="preserve">key recommendation 14). However, given the relevance of the work of </w:t>
      </w:r>
      <w:r w:rsidR="001D1040">
        <w:t xml:space="preserve">Sir John Gillen’s </w:t>
      </w:r>
      <w:r>
        <w:t xml:space="preserve">Review into law and procedures in cases of serious sexual offences it is surprising that the consultation process has not been planned in a way which </w:t>
      </w:r>
      <w:r w:rsidR="001D1040">
        <w:t xml:space="preserve">ensures </w:t>
      </w:r>
      <w:r>
        <w:t xml:space="preserve">it </w:t>
      </w:r>
      <w:r w:rsidR="001D1040">
        <w:t>can t</w:t>
      </w:r>
      <w:r>
        <w:t xml:space="preserve">ake account of the now completed Review and relevant recommendations. </w:t>
      </w:r>
      <w:r w:rsidR="00987FE7">
        <w:t>NICCY is d</w:t>
      </w:r>
      <w:r>
        <w:t>isappoint</w:t>
      </w:r>
      <w:r w:rsidR="00987FE7">
        <w:t>ed</w:t>
      </w:r>
      <w:r>
        <w:t xml:space="preserve"> that opportunities to fully reflect the findings of </w:t>
      </w:r>
      <w:r w:rsidR="001D1040">
        <w:t>the Review</w:t>
      </w:r>
      <w:r>
        <w:t xml:space="preserve">, alongside Inquiry </w:t>
      </w:r>
      <w:r>
        <w:lastRenderedPageBreak/>
        <w:t xml:space="preserve">recommendations, have not been realised. </w:t>
      </w:r>
    </w:p>
    <w:p w14:paraId="559F509B" w14:textId="77777777" w:rsidR="00E51AF9" w:rsidRDefault="00E51AF9" w:rsidP="00493E9C">
      <w:pPr>
        <w:pStyle w:val="NICCYBodyText"/>
      </w:pPr>
    </w:p>
    <w:p w14:paraId="5BE41D54" w14:textId="4D3DDD57" w:rsidR="00E51AF9" w:rsidRDefault="00E51AF9" w:rsidP="00D6426A">
      <w:pPr>
        <w:pStyle w:val="NICCYSubline"/>
        <w:autoSpaceDE/>
        <w:autoSpaceDN/>
        <w:adjustRightInd/>
        <w:spacing w:line="240" w:lineRule="auto"/>
        <w:textAlignment w:val="auto"/>
        <w:rPr>
          <w:b w:val="0"/>
          <w:color w:val="414042"/>
          <w:u w:color="414042"/>
        </w:rPr>
      </w:pPr>
      <w:r>
        <w:rPr>
          <w:b w:val="0"/>
          <w:color w:val="414042"/>
          <w:u w:color="414042"/>
        </w:rPr>
        <w:t>We note that this response is not comprehensive and address</w:t>
      </w:r>
      <w:r w:rsidR="00C259B0">
        <w:rPr>
          <w:b w:val="0"/>
          <w:color w:val="414042"/>
          <w:u w:color="414042"/>
        </w:rPr>
        <w:t>es</w:t>
      </w:r>
      <w:r>
        <w:rPr>
          <w:b w:val="0"/>
          <w:color w:val="414042"/>
          <w:u w:color="414042"/>
        </w:rPr>
        <w:t xml:space="preserve"> the </w:t>
      </w:r>
      <w:proofErr w:type="gramStart"/>
      <w:r>
        <w:rPr>
          <w:b w:val="0"/>
          <w:color w:val="414042"/>
          <w:u w:color="414042"/>
        </w:rPr>
        <w:t>proposals which</w:t>
      </w:r>
      <w:proofErr w:type="gramEnd"/>
      <w:r>
        <w:rPr>
          <w:b w:val="0"/>
          <w:color w:val="414042"/>
          <w:u w:color="414042"/>
        </w:rPr>
        <w:t xml:space="preserve"> are most relevant to the Commissioner’s work.</w:t>
      </w:r>
    </w:p>
    <w:p w14:paraId="5946033E" w14:textId="77777777" w:rsidR="00E51AF9" w:rsidRDefault="00E51AF9" w:rsidP="00D6426A">
      <w:pPr>
        <w:pStyle w:val="NICCYSubline"/>
        <w:autoSpaceDE/>
        <w:autoSpaceDN/>
        <w:adjustRightInd/>
        <w:spacing w:line="240" w:lineRule="auto"/>
        <w:textAlignment w:val="auto"/>
        <w:rPr>
          <w:b w:val="0"/>
          <w:color w:val="414042"/>
          <w:u w:color="414042"/>
        </w:rPr>
      </w:pPr>
    </w:p>
    <w:p w14:paraId="6DF758A8" w14:textId="77777777" w:rsidR="00E51AF9" w:rsidRPr="001020BB" w:rsidRDefault="00E51AF9" w:rsidP="007B24D5">
      <w:pPr>
        <w:pStyle w:val="NICCYSubline"/>
        <w:autoSpaceDE/>
        <w:autoSpaceDN/>
        <w:adjustRightInd/>
        <w:textAlignment w:val="auto"/>
        <w:rPr>
          <w:color w:val="FF0000"/>
          <w:u w:color="414042"/>
        </w:rPr>
      </w:pPr>
      <w:r>
        <w:rPr>
          <w:color w:val="FF0000"/>
          <w:u w:color="414042"/>
        </w:rPr>
        <w:t>Children’s R</w:t>
      </w:r>
      <w:r w:rsidRPr="001020BB">
        <w:rPr>
          <w:color w:val="FF0000"/>
          <w:u w:color="414042"/>
        </w:rPr>
        <w:t>ights</w:t>
      </w:r>
    </w:p>
    <w:p w14:paraId="45111DE4" w14:textId="058B41B3" w:rsidR="00E51AF9" w:rsidRDefault="00C259B0" w:rsidP="007B24D5">
      <w:pPr>
        <w:pStyle w:val="NICCYSubline"/>
        <w:autoSpaceDE/>
        <w:autoSpaceDN/>
        <w:adjustRightInd/>
        <w:textAlignment w:val="auto"/>
        <w:rPr>
          <w:b w:val="0"/>
          <w:color w:val="404241"/>
          <w:u w:color="404241"/>
        </w:rPr>
      </w:pPr>
      <w:proofErr w:type="gramStart"/>
      <w:r>
        <w:rPr>
          <w:b w:val="0"/>
          <w:color w:val="404241"/>
          <w:u w:color="404241"/>
        </w:rPr>
        <w:t>I</w:t>
      </w:r>
      <w:r w:rsidR="00E51AF9">
        <w:rPr>
          <w:b w:val="0"/>
          <w:color w:val="404241"/>
          <w:u w:color="404241"/>
        </w:rPr>
        <w:t>n 2016 following examination of the UK and devolved governments, the UN Committee on the Rights of the Child stated that in Northern Ireland the recommendations of the 2014 Independent Inquiry into Child Sexual Exploitation (CSE) must be implemented and that across the UK the capacity of law enforcement bodies and the judiciary to detect and prosecute sexual abuse and exploitation cases and to grant effective remedies to victims should be strengthened.</w:t>
      </w:r>
      <w:proofErr w:type="gramEnd"/>
      <w:r w:rsidR="00E51AF9">
        <w:rPr>
          <w:b w:val="0"/>
          <w:color w:val="404241"/>
          <w:u w:color="404241"/>
        </w:rPr>
        <w:t xml:space="preserve"> The Committee also recommended that </w:t>
      </w:r>
      <w:proofErr w:type="gramStart"/>
      <w:r w:rsidR="00E51AF9">
        <w:rPr>
          <w:b w:val="0"/>
          <w:color w:val="404241"/>
          <w:u w:color="404241"/>
        </w:rPr>
        <w:t>video recorded</w:t>
      </w:r>
      <w:proofErr w:type="gramEnd"/>
      <w:r w:rsidR="00E51AF9">
        <w:rPr>
          <w:b w:val="0"/>
          <w:color w:val="404241"/>
          <w:u w:color="404241"/>
        </w:rPr>
        <w:t xml:space="preserve"> interviews with child victims and witnesses be used in court as evidence rather than children attending in person and being subject to cross-examination.</w:t>
      </w:r>
      <w:r w:rsidR="00E51AF9">
        <w:rPr>
          <w:b w:val="0"/>
          <w:color w:val="404241"/>
          <w:u w:color="404241"/>
          <w:vertAlign w:val="superscript"/>
        </w:rPr>
        <w:footnoteReference w:id="1"/>
      </w:r>
      <w:r w:rsidR="00E51AF9">
        <w:rPr>
          <w:b w:val="0"/>
          <w:color w:val="404241"/>
          <w:u w:color="404241"/>
        </w:rPr>
        <w:t xml:space="preserve"> On this last point, the Department will be aware that in NICCY’s </w:t>
      </w:r>
      <w:r w:rsidR="001D1040">
        <w:rPr>
          <w:b w:val="0"/>
          <w:color w:val="404241"/>
          <w:u w:color="404241"/>
        </w:rPr>
        <w:t xml:space="preserve">submission </w:t>
      </w:r>
      <w:r w:rsidR="00E51AF9">
        <w:rPr>
          <w:b w:val="0"/>
          <w:color w:val="404241"/>
          <w:u w:color="404241"/>
        </w:rPr>
        <w:t>to Sir John Gillen’s Review we recommend</w:t>
      </w:r>
      <w:r w:rsidR="001D1040">
        <w:rPr>
          <w:b w:val="0"/>
          <w:color w:val="404241"/>
          <w:u w:color="404241"/>
        </w:rPr>
        <w:t>ed</w:t>
      </w:r>
      <w:r w:rsidR="00E51AF9">
        <w:rPr>
          <w:b w:val="0"/>
          <w:color w:val="404241"/>
          <w:u w:color="404241"/>
        </w:rPr>
        <w:t xml:space="preserve"> that Northern Ireland take forward the </w:t>
      </w:r>
      <w:proofErr w:type="spellStart"/>
      <w:r w:rsidR="00E51AF9">
        <w:rPr>
          <w:b w:val="0"/>
          <w:color w:val="404241"/>
          <w:u w:color="404241"/>
        </w:rPr>
        <w:t>Barnahus</w:t>
      </w:r>
      <w:proofErr w:type="spellEnd"/>
      <w:r w:rsidR="00E51AF9">
        <w:rPr>
          <w:b w:val="0"/>
          <w:color w:val="404241"/>
          <w:u w:color="404241"/>
        </w:rPr>
        <w:t xml:space="preserve"> model of child centred justice for child victims of sexual violence and abuse.</w:t>
      </w:r>
      <w:r>
        <w:rPr>
          <w:rStyle w:val="FootnoteReference"/>
          <w:b w:val="0"/>
          <w:color w:val="404241"/>
          <w:u w:color="404241"/>
        </w:rPr>
        <w:footnoteReference w:id="2"/>
      </w:r>
      <w:r>
        <w:rPr>
          <w:b w:val="0"/>
          <w:color w:val="404241"/>
          <w:u w:color="404241"/>
        </w:rPr>
        <w:t xml:space="preserve"> </w:t>
      </w:r>
      <w:r w:rsidR="00E51AF9">
        <w:rPr>
          <w:b w:val="0"/>
          <w:color w:val="404241"/>
          <w:u w:color="404241"/>
        </w:rPr>
        <w:t xml:space="preserve">This approach, which </w:t>
      </w:r>
      <w:proofErr w:type="gramStart"/>
      <w:r w:rsidR="00E51AF9">
        <w:rPr>
          <w:b w:val="0"/>
          <w:color w:val="404241"/>
          <w:u w:color="404241"/>
        </w:rPr>
        <w:t>is promoted</w:t>
      </w:r>
      <w:proofErr w:type="gramEnd"/>
      <w:r w:rsidR="00E51AF9">
        <w:rPr>
          <w:b w:val="0"/>
          <w:color w:val="404241"/>
          <w:u w:color="404241"/>
        </w:rPr>
        <w:t xml:space="preserve"> by the Council of Europe, ensures that child victims can give their best evidence and meet the requirements of cross-examination through pre-recorded testimony led by a forensic interviewer and undertaken with minimal delay. </w:t>
      </w:r>
    </w:p>
    <w:p w14:paraId="3CB48D38" w14:textId="77777777" w:rsidR="00E51AF9" w:rsidRDefault="00E51AF9" w:rsidP="007B24D5">
      <w:pPr>
        <w:pStyle w:val="NICCYSubline"/>
        <w:autoSpaceDE/>
        <w:autoSpaceDN/>
        <w:adjustRightInd/>
        <w:textAlignment w:val="auto"/>
        <w:rPr>
          <w:b w:val="0"/>
          <w:color w:val="404241"/>
          <w:u w:color="404241"/>
        </w:rPr>
      </w:pPr>
    </w:p>
    <w:p w14:paraId="759A6B91" w14:textId="03F84711" w:rsidR="00E51AF9" w:rsidRDefault="00E51AF9" w:rsidP="00693139">
      <w:pPr>
        <w:pStyle w:val="NICCYSubline"/>
        <w:autoSpaceDE/>
        <w:autoSpaceDN/>
        <w:adjustRightInd/>
        <w:textAlignment w:val="auto"/>
        <w:rPr>
          <w:b w:val="0"/>
          <w:color w:val="404241"/>
          <w:u w:color="404241"/>
        </w:rPr>
      </w:pPr>
      <w:r>
        <w:rPr>
          <w:b w:val="0"/>
          <w:color w:val="404241"/>
          <w:u w:color="404241"/>
        </w:rPr>
        <w:t xml:space="preserve">NICCY notes that the </w:t>
      </w:r>
      <w:r w:rsidR="001D1040">
        <w:rPr>
          <w:b w:val="0"/>
          <w:color w:val="404241"/>
          <w:u w:color="404241"/>
        </w:rPr>
        <w:t xml:space="preserve">UN </w:t>
      </w:r>
      <w:r>
        <w:rPr>
          <w:b w:val="0"/>
          <w:color w:val="404241"/>
          <w:u w:color="404241"/>
        </w:rPr>
        <w:t>Committee Concluding Observation call</w:t>
      </w:r>
      <w:r w:rsidR="001D1040">
        <w:rPr>
          <w:b w:val="0"/>
          <w:color w:val="404241"/>
          <w:u w:color="404241"/>
        </w:rPr>
        <w:t xml:space="preserve">ing </w:t>
      </w:r>
      <w:r>
        <w:rPr>
          <w:b w:val="0"/>
          <w:color w:val="404241"/>
          <w:u w:color="404241"/>
        </w:rPr>
        <w:t>for implementation of the Independent Inquiry’s recommendations include</w:t>
      </w:r>
      <w:r w:rsidR="001D1040">
        <w:rPr>
          <w:b w:val="0"/>
          <w:color w:val="404241"/>
          <w:u w:color="404241"/>
        </w:rPr>
        <w:t xml:space="preserve">s key recommendation 14 </w:t>
      </w:r>
      <w:r>
        <w:rPr>
          <w:b w:val="0"/>
          <w:color w:val="404241"/>
          <w:u w:color="404241"/>
        </w:rPr>
        <w:t>which relate</w:t>
      </w:r>
      <w:r w:rsidR="001D1040">
        <w:rPr>
          <w:b w:val="0"/>
          <w:color w:val="404241"/>
          <w:u w:color="404241"/>
        </w:rPr>
        <w:t>s</w:t>
      </w:r>
      <w:r>
        <w:rPr>
          <w:b w:val="0"/>
          <w:color w:val="404241"/>
          <w:u w:color="404241"/>
        </w:rPr>
        <w:t xml:space="preserve"> to strengthening the law in order to better protect children and young people from sexual abuse and exploitation and more effectively disrupt, pursue and prosecute those who seek to harm them. The Department will be </w:t>
      </w:r>
      <w:r w:rsidR="001D1040">
        <w:rPr>
          <w:b w:val="0"/>
          <w:color w:val="404241"/>
          <w:u w:color="404241"/>
        </w:rPr>
        <w:t xml:space="preserve">familiar with </w:t>
      </w:r>
      <w:r>
        <w:rPr>
          <w:b w:val="0"/>
          <w:color w:val="404241"/>
          <w:u w:color="404241"/>
        </w:rPr>
        <w:t xml:space="preserve">NICCY’s 2018 Review of Government CSE Progress Reports which highlighted a wide range of concerns about </w:t>
      </w:r>
      <w:r w:rsidR="001D1040">
        <w:rPr>
          <w:b w:val="0"/>
          <w:color w:val="404241"/>
          <w:u w:color="404241"/>
        </w:rPr>
        <w:t xml:space="preserve">the </w:t>
      </w:r>
      <w:r>
        <w:rPr>
          <w:b w:val="0"/>
          <w:color w:val="404241"/>
          <w:u w:color="404241"/>
        </w:rPr>
        <w:t>lack of evidence that the implementation process to take forward the Inquiry’s recommendations ha</w:t>
      </w:r>
      <w:r w:rsidR="00C259B0">
        <w:rPr>
          <w:b w:val="0"/>
          <w:color w:val="404241"/>
          <w:u w:color="404241"/>
        </w:rPr>
        <w:t>d</w:t>
      </w:r>
      <w:r>
        <w:rPr>
          <w:b w:val="0"/>
          <w:color w:val="404241"/>
          <w:u w:color="404241"/>
        </w:rPr>
        <w:t xml:space="preserve"> resulted in improved outcomes for children or </w:t>
      </w:r>
      <w:r w:rsidR="001D1040">
        <w:rPr>
          <w:b w:val="0"/>
          <w:color w:val="404241"/>
          <w:u w:color="404241"/>
        </w:rPr>
        <w:t xml:space="preserve">the </w:t>
      </w:r>
      <w:r>
        <w:rPr>
          <w:b w:val="0"/>
          <w:color w:val="404241"/>
          <w:u w:color="404241"/>
        </w:rPr>
        <w:t>more effective pursuit of perpetrators.</w:t>
      </w:r>
      <w:r w:rsidR="00902E59">
        <w:rPr>
          <w:rStyle w:val="FootnoteReference"/>
          <w:b w:val="0"/>
          <w:color w:val="404241"/>
          <w:u w:color="404241"/>
        </w:rPr>
        <w:footnoteReference w:id="3"/>
      </w:r>
      <w:r>
        <w:rPr>
          <w:b w:val="0"/>
          <w:color w:val="404241"/>
          <w:u w:color="404241"/>
        </w:rPr>
        <w:t xml:space="preserve"> </w:t>
      </w:r>
    </w:p>
    <w:p w14:paraId="401D8BCB" w14:textId="77777777" w:rsidR="00E51AF9" w:rsidRDefault="00E51AF9" w:rsidP="007B24D5">
      <w:pPr>
        <w:pStyle w:val="NICCYSubline"/>
        <w:autoSpaceDE/>
        <w:autoSpaceDN/>
        <w:adjustRightInd/>
        <w:textAlignment w:val="auto"/>
        <w:rPr>
          <w:b w:val="0"/>
          <w:color w:val="404241"/>
          <w:u w:color="404241"/>
        </w:rPr>
      </w:pPr>
    </w:p>
    <w:p w14:paraId="4888B6CC" w14:textId="42860EB0" w:rsidR="00E51AF9" w:rsidRPr="00773B22" w:rsidRDefault="00E51AF9" w:rsidP="003A1A50">
      <w:pPr>
        <w:pStyle w:val="NICCYSubline"/>
        <w:rPr>
          <w:b w:val="0"/>
          <w:color w:val="404040"/>
          <w:u w:color="FF0000"/>
        </w:rPr>
      </w:pPr>
      <w:proofErr w:type="gramStart"/>
      <w:r>
        <w:rPr>
          <w:b w:val="0"/>
          <w:color w:val="404241"/>
          <w:u w:color="404241"/>
        </w:rPr>
        <w:t xml:space="preserve">In addition to the </w:t>
      </w:r>
      <w:r w:rsidR="00C259B0">
        <w:rPr>
          <w:b w:val="0"/>
          <w:color w:val="404241"/>
          <w:u w:color="404241"/>
        </w:rPr>
        <w:t xml:space="preserve">UN </w:t>
      </w:r>
      <w:r>
        <w:rPr>
          <w:b w:val="0"/>
          <w:color w:val="404241"/>
          <w:u w:color="404241"/>
        </w:rPr>
        <w:t xml:space="preserve">Committee’s 2016 Concluding Observations, we draw attention to the Committee’s 2014 examination of the UK and devolved governments in their compliance with the Optional Protocol on the sale of children, child prostitution and child pornography which highlighted that the Sexual Offences (Northern Ireland) Order 2008 did not provide </w:t>
      </w:r>
      <w:r w:rsidR="00BA2DF2">
        <w:rPr>
          <w:b w:val="0"/>
          <w:color w:val="404241"/>
          <w:u w:color="404241"/>
        </w:rPr>
        <w:t xml:space="preserve">adequate </w:t>
      </w:r>
      <w:r>
        <w:rPr>
          <w:b w:val="0"/>
          <w:color w:val="404241"/>
          <w:u w:color="404241"/>
        </w:rPr>
        <w:t>levels of protection for all children up to the age of 18 years against all sexual offences.</w:t>
      </w:r>
      <w:proofErr w:type="gramEnd"/>
      <w:r>
        <w:rPr>
          <w:b w:val="0"/>
          <w:color w:val="404241"/>
          <w:u w:color="404241"/>
        </w:rPr>
        <w:t xml:space="preserve"> The Committee has recommended that this be rectified on a number of occasions</w:t>
      </w:r>
      <w:r>
        <w:rPr>
          <w:rStyle w:val="FootnoteReference"/>
          <w:b w:val="0"/>
          <w:color w:val="404040"/>
          <w:u w:color="FF0000"/>
        </w:rPr>
        <w:footnoteReference w:id="4"/>
      </w:r>
      <w:r>
        <w:rPr>
          <w:b w:val="0"/>
          <w:color w:val="404040"/>
          <w:u w:color="FF0000"/>
        </w:rPr>
        <w:t xml:space="preserve"> and we note that the Independent Inquiry’s recommendations reflected and reiterated these concerns.  </w:t>
      </w:r>
    </w:p>
    <w:p w14:paraId="3FD997F6" w14:textId="77777777" w:rsidR="00E51AF9" w:rsidRDefault="00E51AF9" w:rsidP="007B24D5">
      <w:pPr>
        <w:pStyle w:val="NICCYSubline"/>
        <w:autoSpaceDE/>
        <w:autoSpaceDN/>
        <w:adjustRightInd/>
        <w:textAlignment w:val="auto"/>
        <w:rPr>
          <w:b w:val="0"/>
          <w:color w:val="404241"/>
          <w:u w:color="404241"/>
        </w:rPr>
      </w:pPr>
    </w:p>
    <w:p w14:paraId="19A788C5" w14:textId="75C9D8E0" w:rsidR="00E51AF9" w:rsidRDefault="00E51AF9" w:rsidP="007B24D5">
      <w:pPr>
        <w:pStyle w:val="NICCYSubline"/>
        <w:autoSpaceDE/>
        <w:autoSpaceDN/>
        <w:adjustRightInd/>
        <w:textAlignment w:val="auto"/>
        <w:rPr>
          <w:b w:val="0"/>
          <w:color w:val="404241"/>
          <w:u w:color="404241"/>
        </w:rPr>
      </w:pPr>
      <w:proofErr w:type="gramStart"/>
      <w:r>
        <w:rPr>
          <w:b w:val="0"/>
          <w:color w:val="404241"/>
          <w:u w:color="404241"/>
        </w:rPr>
        <w:t>Following the UK Government’s ratification of the Council of Europe Convention on the Protection of Children against Sexual Exploitation and Sexual Abuse (the Lanzarote Convention) in June 2018</w:t>
      </w:r>
      <w:r w:rsidR="00BA2DF2">
        <w:rPr>
          <w:b w:val="0"/>
          <w:color w:val="404241"/>
          <w:u w:color="404241"/>
        </w:rPr>
        <w:t>,</w:t>
      </w:r>
      <w:r>
        <w:rPr>
          <w:b w:val="0"/>
          <w:color w:val="404241"/>
          <w:u w:color="404241"/>
        </w:rPr>
        <w:t xml:space="preserve"> we </w:t>
      </w:r>
      <w:r w:rsidR="00C259B0">
        <w:rPr>
          <w:b w:val="0"/>
          <w:color w:val="404241"/>
          <w:u w:color="404241"/>
        </w:rPr>
        <w:t xml:space="preserve">highlight </w:t>
      </w:r>
      <w:r>
        <w:rPr>
          <w:b w:val="0"/>
          <w:color w:val="404241"/>
          <w:u w:color="404241"/>
        </w:rPr>
        <w:t>the requirement placed on Government to ensure that domestic legislation and procedures reflect the obligations of the Convention including Article 3 which states that provisions and protections apply to all persons under the age of 18 years.</w:t>
      </w:r>
      <w:r w:rsidR="00902E59">
        <w:rPr>
          <w:rStyle w:val="FootnoteReference"/>
          <w:b w:val="0"/>
          <w:color w:val="404241"/>
          <w:u w:color="404241"/>
        </w:rPr>
        <w:footnoteReference w:id="5"/>
      </w:r>
      <w:proofErr w:type="gramEnd"/>
      <w:r>
        <w:rPr>
          <w:b w:val="0"/>
          <w:color w:val="404241"/>
          <w:u w:color="404241"/>
        </w:rPr>
        <w:t xml:space="preserve"> NICCY fully expects the Department to incorporate these obligations in proposals for legislative reform and does not share the view of </w:t>
      </w:r>
      <w:proofErr w:type="spellStart"/>
      <w:r>
        <w:rPr>
          <w:b w:val="0"/>
          <w:color w:val="404241"/>
          <w:u w:color="404241"/>
        </w:rPr>
        <w:t>DoJ</w:t>
      </w:r>
      <w:proofErr w:type="spellEnd"/>
      <w:r>
        <w:rPr>
          <w:b w:val="0"/>
          <w:color w:val="404241"/>
          <w:u w:color="404241"/>
        </w:rPr>
        <w:t xml:space="preserve"> set out in section 11 of the document that current arrangements are acceptable or are in line with child rights obligations.</w:t>
      </w:r>
    </w:p>
    <w:p w14:paraId="4B369D38" w14:textId="77777777" w:rsidR="00E51AF9" w:rsidRDefault="00E51AF9" w:rsidP="007B24D5">
      <w:pPr>
        <w:pStyle w:val="NICCYSubline"/>
        <w:autoSpaceDE/>
        <w:autoSpaceDN/>
        <w:adjustRightInd/>
        <w:textAlignment w:val="auto"/>
        <w:rPr>
          <w:b w:val="0"/>
          <w:color w:val="404241"/>
          <w:u w:color="404241"/>
        </w:rPr>
      </w:pPr>
    </w:p>
    <w:p w14:paraId="093A5B44" w14:textId="6579BAF1" w:rsidR="00987FE7" w:rsidRDefault="00C259B0" w:rsidP="007B24D5">
      <w:pPr>
        <w:pStyle w:val="NICCYSubline"/>
        <w:autoSpaceDE/>
        <w:autoSpaceDN/>
        <w:adjustRightInd/>
        <w:textAlignment w:val="auto"/>
        <w:rPr>
          <w:b w:val="0"/>
          <w:color w:val="404241"/>
          <w:u w:color="404241"/>
        </w:rPr>
      </w:pPr>
      <w:r>
        <w:rPr>
          <w:b w:val="0"/>
          <w:color w:val="404241"/>
          <w:u w:color="404241"/>
        </w:rPr>
        <w:t>T</w:t>
      </w:r>
      <w:r w:rsidR="00E51AF9">
        <w:rPr>
          <w:b w:val="0"/>
          <w:color w:val="404241"/>
          <w:u w:color="404241"/>
        </w:rPr>
        <w:t xml:space="preserve">he </w:t>
      </w:r>
      <w:r w:rsidR="00BA2DF2">
        <w:rPr>
          <w:b w:val="0"/>
          <w:color w:val="404241"/>
          <w:u w:color="404241"/>
        </w:rPr>
        <w:t xml:space="preserve">UN </w:t>
      </w:r>
      <w:r w:rsidR="00E51AF9">
        <w:rPr>
          <w:b w:val="0"/>
          <w:color w:val="404241"/>
          <w:u w:color="404241"/>
        </w:rPr>
        <w:t>Committee on the Rights of the Child is instructive in reminding governments that all children age</w:t>
      </w:r>
      <w:r w:rsidR="00BA2DF2">
        <w:rPr>
          <w:b w:val="0"/>
          <w:color w:val="404241"/>
          <w:u w:color="404241"/>
        </w:rPr>
        <w:t>d</w:t>
      </w:r>
      <w:r w:rsidR="00E51AF9">
        <w:rPr>
          <w:b w:val="0"/>
          <w:color w:val="404241"/>
          <w:u w:color="404241"/>
        </w:rPr>
        <w:t xml:space="preserve"> 0-18 years </w:t>
      </w:r>
      <w:proofErr w:type="gramStart"/>
      <w:r w:rsidR="00E51AF9">
        <w:rPr>
          <w:b w:val="0"/>
          <w:color w:val="404241"/>
          <w:u w:color="404241"/>
        </w:rPr>
        <w:t>are considered</w:t>
      </w:r>
      <w:proofErr w:type="gramEnd"/>
      <w:r w:rsidR="00E51AF9">
        <w:rPr>
          <w:b w:val="0"/>
          <w:color w:val="404241"/>
          <w:u w:color="404241"/>
        </w:rPr>
        <w:t xml:space="preserve"> vulnerable until completing their neural, psychological, social and physical growth and development</w:t>
      </w:r>
      <w:r w:rsidR="00BA2DF2">
        <w:rPr>
          <w:b w:val="0"/>
          <w:color w:val="404241"/>
          <w:u w:color="404241"/>
        </w:rPr>
        <w:t>.</w:t>
      </w:r>
      <w:r w:rsidR="00902E59">
        <w:rPr>
          <w:rStyle w:val="FootnoteReference"/>
          <w:b w:val="0"/>
          <w:color w:val="404241"/>
          <w:u w:color="404241"/>
        </w:rPr>
        <w:footnoteReference w:id="6"/>
      </w:r>
      <w:r w:rsidR="00E51AF9">
        <w:rPr>
          <w:b w:val="0"/>
          <w:color w:val="404241"/>
          <w:u w:color="404241"/>
        </w:rPr>
        <w:t xml:space="preserve"> </w:t>
      </w:r>
      <w:r w:rsidR="00BA2DF2">
        <w:rPr>
          <w:b w:val="0"/>
          <w:color w:val="404241"/>
          <w:u w:color="404241"/>
        </w:rPr>
        <w:t>A</w:t>
      </w:r>
      <w:r w:rsidR="00E51AF9">
        <w:rPr>
          <w:b w:val="0"/>
          <w:color w:val="404241"/>
          <w:u w:color="404241"/>
        </w:rPr>
        <w:t xml:space="preserve">cross a number of General Comments </w:t>
      </w:r>
      <w:r w:rsidR="00BA2DF2">
        <w:rPr>
          <w:b w:val="0"/>
          <w:color w:val="404241"/>
          <w:u w:color="404241"/>
        </w:rPr>
        <w:t>(</w:t>
      </w:r>
      <w:r w:rsidR="00E51AF9">
        <w:rPr>
          <w:b w:val="0"/>
          <w:color w:val="404241"/>
          <w:u w:color="404241"/>
        </w:rPr>
        <w:t>which provide authoritative guidance on the implementation duties p</w:t>
      </w:r>
      <w:r w:rsidR="00BA2DF2">
        <w:rPr>
          <w:b w:val="0"/>
          <w:color w:val="404241"/>
          <w:u w:color="404241"/>
        </w:rPr>
        <w:t>laced on Convention signatories)</w:t>
      </w:r>
      <w:r w:rsidR="00E51AF9">
        <w:rPr>
          <w:b w:val="0"/>
          <w:color w:val="404241"/>
          <w:u w:color="404241"/>
        </w:rPr>
        <w:t xml:space="preserve"> they highlight the requirement that</w:t>
      </w:r>
      <w:r w:rsidR="00BA2DF2">
        <w:rPr>
          <w:b w:val="0"/>
          <w:color w:val="404241"/>
          <w:u w:color="404241"/>
        </w:rPr>
        <w:t>,</w:t>
      </w:r>
      <w:r w:rsidR="00E51AF9">
        <w:rPr>
          <w:b w:val="0"/>
          <w:color w:val="404241"/>
          <w:u w:color="404241"/>
        </w:rPr>
        <w:t xml:space="preserve"> while respecting children’s developing autonomy</w:t>
      </w:r>
      <w:r w:rsidR="00BA2DF2">
        <w:rPr>
          <w:b w:val="0"/>
          <w:color w:val="404241"/>
          <w:u w:color="404241"/>
        </w:rPr>
        <w:t>, young people under 18</w:t>
      </w:r>
      <w:r w:rsidR="00E51AF9">
        <w:rPr>
          <w:b w:val="0"/>
          <w:color w:val="404241"/>
          <w:u w:color="404241"/>
        </w:rPr>
        <w:t xml:space="preserve"> must be afforded robust safeguards. </w:t>
      </w:r>
      <w:r w:rsidR="00E51AF9" w:rsidRPr="00012056">
        <w:rPr>
          <w:b w:val="0"/>
          <w:color w:val="404241"/>
          <w:u w:color="404241"/>
        </w:rPr>
        <w:t xml:space="preserve">For example, in General Comment 20 on the rights of the child during adolescence, the Committee </w:t>
      </w:r>
      <w:r w:rsidR="004177C2" w:rsidRPr="00012056">
        <w:rPr>
          <w:b w:val="0"/>
          <w:color w:val="404241"/>
          <w:u w:color="404241"/>
        </w:rPr>
        <w:t xml:space="preserve">emphasises that as children have increasing agency that their </w:t>
      </w:r>
      <w:r w:rsidR="00E51AF9" w:rsidRPr="00012056">
        <w:rPr>
          <w:b w:val="0"/>
          <w:color w:val="404241"/>
          <w:u w:color="404241"/>
        </w:rPr>
        <w:t xml:space="preserve">“right to exercise </w:t>
      </w:r>
      <w:r w:rsidR="00E51AF9" w:rsidRPr="00012056">
        <w:rPr>
          <w:b w:val="0"/>
          <w:color w:val="404241"/>
          <w:u w:color="404241"/>
        </w:rPr>
        <w:lastRenderedPageBreak/>
        <w:t xml:space="preserve">increasing levels of responsibilities does not obviate the State’s obligation to guarantee protection” to </w:t>
      </w:r>
      <w:r w:rsidR="004177C2" w:rsidRPr="00012056">
        <w:rPr>
          <w:b w:val="0"/>
          <w:color w:val="404241"/>
          <w:u w:color="404241"/>
        </w:rPr>
        <w:t xml:space="preserve">them </w:t>
      </w:r>
      <w:r w:rsidR="00E51AF9" w:rsidRPr="00012056">
        <w:rPr>
          <w:b w:val="0"/>
          <w:color w:val="404241"/>
          <w:u w:color="404241"/>
        </w:rPr>
        <w:t>as they mature</w:t>
      </w:r>
      <w:r w:rsidR="00902E59" w:rsidRPr="00012056">
        <w:rPr>
          <w:b w:val="0"/>
          <w:color w:val="404241"/>
          <w:u w:color="404241"/>
        </w:rPr>
        <w:t>.</w:t>
      </w:r>
      <w:r w:rsidR="00902E59" w:rsidRPr="00012056">
        <w:rPr>
          <w:rStyle w:val="FootnoteReference"/>
          <w:b w:val="0"/>
          <w:color w:val="404241"/>
          <w:u w:color="404241"/>
        </w:rPr>
        <w:footnoteReference w:id="7"/>
      </w:r>
      <w:r w:rsidR="004177C2" w:rsidRPr="00012056">
        <w:rPr>
          <w:b w:val="0"/>
          <w:color w:val="404241"/>
          <w:u w:color="404241"/>
        </w:rPr>
        <w:t xml:space="preserve"> International standards are clear that children up to the age of 18 are entitled to continuing protection from all forms of sexual violence, abuse and exploitation.</w:t>
      </w:r>
    </w:p>
    <w:p w14:paraId="1ECC0517" w14:textId="77777777" w:rsidR="00987FE7" w:rsidRDefault="00987FE7" w:rsidP="007B24D5">
      <w:pPr>
        <w:pStyle w:val="NICCYSubline"/>
        <w:autoSpaceDE/>
        <w:autoSpaceDN/>
        <w:adjustRightInd/>
        <w:textAlignment w:val="auto"/>
        <w:rPr>
          <w:b w:val="0"/>
          <w:color w:val="404241"/>
          <w:u w:color="404241"/>
        </w:rPr>
      </w:pPr>
    </w:p>
    <w:p w14:paraId="13EBFE7A" w14:textId="77777777" w:rsidR="00987FE7" w:rsidRDefault="00987FE7" w:rsidP="00987FE7">
      <w:pPr>
        <w:pStyle w:val="NICCYSubline"/>
        <w:autoSpaceDE/>
        <w:autoSpaceDN/>
        <w:adjustRightInd/>
        <w:textAlignment w:val="auto"/>
        <w:rPr>
          <w:b w:val="0"/>
          <w:color w:val="404241"/>
          <w:u w:color="404241"/>
        </w:rPr>
      </w:pPr>
      <w:r>
        <w:rPr>
          <w:b w:val="0"/>
          <w:color w:val="404241"/>
          <w:u w:color="404241"/>
        </w:rPr>
        <w:t xml:space="preserve">This consultation addresses measures that must be taken to safeguard some of children and young people’s most fundamental rights - to safety and protection from sexual violence and abuse and to remedies, recovery and justice for child victims of sexual offences - and it has the potential to strengthen these significantly. While we acknowledge that ensuring legal protections are properly afforded to children of all ages across this area of law is complex, it is important that safeguards while taking proper account of children and young people’s evolving capacity, their development towards adulthood and independence and the domestic age of consent for sexual activity, effectively protect all children up to the age of 18. </w:t>
      </w:r>
    </w:p>
    <w:p w14:paraId="5F8E4DDC" w14:textId="77777777" w:rsidR="00987FE7" w:rsidRDefault="00987FE7" w:rsidP="007B24D5">
      <w:pPr>
        <w:pStyle w:val="NICCYSubline"/>
        <w:autoSpaceDE/>
        <w:autoSpaceDN/>
        <w:adjustRightInd/>
        <w:textAlignment w:val="auto"/>
        <w:rPr>
          <w:b w:val="0"/>
          <w:color w:val="404241"/>
          <w:u w:color="404241"/>
        </w:rPr>
      </w:pPr>
    </w:p>
    <w:p w14:paraId="714DCBF5" w14:textId="54030D6F" w:rsidR="00E51AF9" w:rsidRDefault="00E51AF9" w:rsidP="007B24D5">
      <w:pPr>
        <w:pStyle w:val="NICCYSubline"/>
        <w:autoSpaceDE/>
        <w:autoSpaceDN/>
        <w:adjustRightInd/>
        <w:textAlignment w:val="auto"/>
        <w:rPr>
          <w:b w:val="0"/>
          <w:color w:val="404241"/>
          <w:u w:color="404241"/>
        </w:rPr>
      </w:pPr>
      <w:r w:rsidRPr="00902E59">
        <w:rPr>
          <w:color w:val="404241"/>
          <w:u w:color="404241"/>
        </w:rPr>
        <w:t xml:space="preserve">NICCY recommends that the Department </w:t>
      </w:r>
      <w:proofErr w:type="gramStart"/>
      <w:r w:rsidRPr="00902E59">
        <w:rPr>
          <w:color w:val="404241"/>
          <w:u w:color="404241"/>
        </w:rPr>
        <w:t>reviews</w:t>
      </w:r>
      <w:proofErr w:type="gramEnd"/>
      <w:r w:rsidRPr="00902E59">
        <w:rPr>
          <w:color w:val="404241"/>
          <w:u w:color="404241"/>
        </w:rPr>
        <w:t xml:space="preserve"> current proposals to ensure that proposed changes meaningfully and fully meet international obligations to all children and young people.</w:t>
      </w:r>
      <w:r w:rsidR="00902E59">
        <w:rPr>
          <w:b w:val="0"/>
          <w:color w:val="404241"/>
          <w:u w:color="404241"/>
        </w:rPr>
        <w:t xml:space="preserve"> </w:t>
      </w:r>
    </w:p>
    <w:p w14:paraId="50966A71" w14:textId="77777777" w:rsidR="00E51AF9" w:rsidRDefault="00E51AF9" w:rsidP="007B24D5">
      <w:pPr>
        <w:pStyle w:val="NICCYSubline"/>
        <w:autoSpaceDE/>
        <w:autoSpaceDN/>
        <w:adjustRightInd/>
        <w:textAlignment w:val="auto"/>
        <w:rPr>
          <w:b w:val="0"/>
          <w:color w:val="404241"/>
          <w:u w:color="404241"/>
        </w:rPr>
      </w:pPr>
    </w:p>
    <w:p w14:paraId="357E5561" w14:textId="77777777" w:rsidR="00E51AF9" w:rsidRPr="000C1FA2" w:rsidRDefault="00E51AF9" w:rsidP="005A69CD">
      <w:pPr>
        <w:pStyle w:val="NICCYSubline"/>
        <w:rPr>
          <w:color w:val="FF0000"/>
          <w:u w:color="FF0000"/>
        </w:rPr>
      </w:pPr>
      <w:r>
        <w:rPr>
          <w:color w:val="FF0000"/>
          <w:u w:color="FF0000"/>
        </w:rPr>
        <w:t>Consultation policy proposals for l</w:t>
      </w:r>
      <w:r w:rsidRPr="000C1FA2">
        <w:rPr>
          <w:color w:val="FF0000"/>
          <w:u w:color="FF0000"/>
        </w:rPr>
        <w:t xml:space="preserve">egislative reform </w:t>
      </w:r>
    </w:p>
    <w:p w14:paraId="4A9E4C65" w14:textId="77777777" w:rsidR="00E51AF9" w:rsidRDefault="00E51AF9" w:rsidP="00B7545D">
      <w:pPr>
        <w:pStyle w:val="NICCYSubline"/>
        <w:rPr>
          <w:b w:val="0"/>
          <w:color w:val="404040"/>
          <w:u w:color="FF0000"/>
        </w:rPr>
      </w:pPr>
    </w:p>
    <w:p w14:paraId="35E59695" w14:textId="77777777" w:rsidR="00E51AF9" w:rsidRPr="00902E59" w:rsidRDefault="00E51AF9" w:rsidP="00B7545D">
      <w:pPr>
        <w:pStyle w:val="NICCYSubline"/>
        <w:rPr>
          <w:b w:val="0"/>
          <w:color w:val="FF0000"/>
          <w:u w:color="FF0000"/>
        </w:rPr>
      </w:pPr>
      <w:r w:rsidRPr="00902E59">
        <w:rPr>
          <w:b w:val="0"/>
          <w:color w:val="FF0000"/>
          <w:u w:color="FF0000"/>
        </w:rPr>
        <w:t xml:space="preserve">‘Child prostitution’ and ‘child pornography’ </w:t>
      </w:r>
    </w:p>
    <w:p w14:paraId="43CEAE71" w14:textId="686A865B" w:rsidR="00370FF8" w:rsidRDefault="00E51AF9" w:rsidP="005A1D37">
      <w:pPr>
        <w:pStyle w:val="NICCYSubline"/>
        <w:rPr>
          <w:b w:val="0"/>
          <w:color w:val="404040"/>
          <w:u w:color="FF0000"/>
        </w:rPr>
      </w:pPr>
      <w:proofErr w:type="gramStart"/>
      <w:r>
        <w:rPr>
          <w:b w:val="0"/>
          <w:color w:val="404040"/>
          <w:u w:color="FF0000"/>
        </w:rPr>
        <w:t xml:space="preserve">NICCY welcomes the intended aim underpinning proposals to remove legislative references to ‘child prostitution’ and ‘child pornography’ in order to ensure that the language of </w:t>
      </w:r>
      <w:r w:rsidR="00370FF8">
        <w:rPr>
          <w:b w:val="0"/>
          <w:color w:val="404040"/>
          <w:u w:color="FF0000"/>
        </w:rPr>
        <w:t xml:space="preserve">the </w:t>
      </w:r>
      <w:r w:rsidR="00C259B0">
        <w:rPr>
          <w:b w:val="0"/>
          <w:color w:val="404040"/>
          <w:u w:color="FF0000"/>
        </w:rPr>
        <w:t>law</w:t>
      </w:r>
      <w:r>
        <w:rPr>
          <w:b w:val="0"/>
          <w:color w:val="404040"/>
          <w:u w:color="FF0000"/>
        </w:rPr>
        <w:t xml:space="preserve"> take</w:t>
      </w:r>
      <w:r w:rsidR="00370FF8">
        <w:rPr>
          <w:b w:val="0"/>
          <w:color w:val="404040"/>
          <w:u w:color="FF0000"/>
        </w:rPr>
        <w:t>s</w:t>
      </w:r>
      <w:r>
        <w:rPr>
          <w:b w:val="0"/>
          <w:color w:val="404040"/>
          <w:u w:color="FF0000"/>
        </w:rPr>
        <w:t xml:space="preserve"> account of our developing understanding of child sexual abuse and the power dynamics </w:t>
      </w:r>
      <w:r w:rsidR="00370FF8">
        <w:rPr>
          <w:b w:val="0"/>
          <w:color w:val="404040"/>
          <w:u w:color="FF0000"/>
        </w:rPr>
        <w:t xml:space="preserve">of this </w:t>
      </w:r>
      <w:r>
        <w:rPr>
          <w:b w:val="0"/>
          <w:color w:val="404040"/>
          <w:u w:color="FF0000"/>
        </w:rPr>
        <w:t xml:space="preserve">as well as ensuring there is a safeguarding response to </w:t>
      </w:r>
      <w:r w:rsidR="00370FF8">
        <w:rPr>
          <w:b w:val="0"/>
          <w:color w:val="404040"/>
          <w:u w:color="FF0000"/>
        </w:rPr>
        <w:t xml:space="preserve">child victims </w:t>
      </w:r>
      <w:r>
        <w:rPr>
          <w:b w:val="0"/>
          <w:color w:val="404040"/>
          <w:u w:color="FF0000"/>
        </w:rPr>
        <w:t>rather than a focus on criminalisation.</w:t>
      </w:r>
      <w:proofErr w:type="gramEnd"/>
      <w:r>
        <w:rPr>
          <w:b w:val="0"/>
          <w:color w:val="404040"/>
          <w:u w:color="FF0000"/>
        </w:rPr>
        <w:t xml:space="preserve"> </w:t>
      </w:r>
    </w:p>
    <w:p w14:paraId="6B06F67F" w14:textId="77777777" w:rsidR="00370FF8" w:rsidRDefault="00370FF8" w:rsidP="005A1D37">
      <w:pPr>
        <w:pStyle w:val="NICCYSubline"/>
        <w:rPr>
          <w:b w:val="0"/>
          <w:color w:val="404040"/>
          <w:u w:color="FF0000"/>
        </w:rPr>
      </w:pPr>
    </w:p>
    <w:p w14:paraId="052B50FD" w14:textId="7F211F31" w:rsidR="00E51AF9" w:rsidRDefault="00E51AF9" w:rsidP="005A1D37">
      <w:pPr>
        <w:pStyle w:val="NICCYSubline"/>
        <w:rPr>
          <w:b w:val="0"/>
          <w:color w:val="404040"/>
          <w:u w:color="FF0000"/>
        </w:rPr>
      </w:pPr>
      <w:r>
        <w:rPr>
          <w:b w:val="0"/>
          <w:color w:val="404040"/>
          <w:u w:color="FF0000"/>
        </w:rPr>
        <w:t>However, we understand from the consultation document that the Department intends to replicate the changes introduced in England and Wales under the Serious Crime Act 2015 (Section 68) and wish to highlight a number of concerns in re</w:t>
      </w:r>
      <w:r w:rsidR="00370FF8">
        <w:rPr>
          <w:b w:val="0"/>
          <w:color w:val="404040"/>
          <w:u w:color="FF0000"/>
        </w:rPr>
        <w:t xml:space="preserve">lation </w:t>
      </w:r>
      <w:r>
        <w:rPr>
          <w:b w:val="0"/>
          <w:color w:val="404040"/>
          <w:u w:color="FF0000"/>
        </w:rPr>
        <w:t xml:space="preserve">to this. </w:t>
      </w:r>
      <w:r w:rsidR="00370FF8">
        <w:rPr>
          <w:b w:val="0"/>
          <w:color w:val="404040"/>
          <w:u w:color="FF0000"/>
        </w:rPr>
        <w:t>For example, t</w:t>
      </w:r>
      <w:r>
        <w:rPr>
          <w:b w:val="0"/>
          <w:color w:val="404040"/>
          <w:u w:color="FF0000"/>
        </w:rPr>
        <w:t>he proposal to replace terms with the phrase ‘sexual exploitation of a child’ is introducing a form of words the meaning of which may extend beyond the scope of ‘child prostitution’ and ‘child pornography’</w:t>
      </w:r>
      <w:r w:rsidR="00370FF8">
        <w:rPr>
          <w:b w:val="0"/>
          <w:color w:val="404040"/>
          <w:u w:color="FF0000"/>
        </w:rPr>
        <w:t>. W</w:t>
      </w:r>
      <w:r>
        <w:rPr>
          <w:b w:val="0"/>
          <w:color w:val="404040"/>
          <w:u w:color="FF0000"/>
        </w:rPr>
        <w:t xml:space="preserve">e </w:t>
      </w:r>
      <w:r w:rsidR="00370FF8">
        <w:rPr>
          <w:b w:val="0"/>
          <w:color w:val="404040"/>
          <w:u w:color="FF0000"/>
        </w:rPr>
        <w:t xml:space="preserve">also </w:t>
      </w:r>
      <w:r>
        <w:rPr>
          <w:b w:val="0"/>
          <w:color w:val="404040"/>
          <w:u w:color="FF0000"/>
        </w:rPr>
        <w:t xml:space="preserve">note with concern that the proposed definition of ‘sexual </w:t>
      </w:r>
      <w:r>
        <w:rPr>
          <w:b w:val="0"/>
          <w:color w:val="404040"/>
          <w:u w:color="FF0000"/>
        </w:rPr>
        <w:lastRenderedPageBreak/>
        <w:t xml:space="preserve">exploitation of a child’ set out in paragraph 4.6 of the document does not </w:t>
      </w:r>
      <w:r w:rsidR="00370FF8">
        <w:rPr>
          <w:b w:val="0"/>
          <w:color w:val="404040"/>
          <w:u w:color="FF0000"/>
        </w:rPr>
        <w:t xml:space="preserve">fully </w:t>
      </w:r>
      <w:r>
        <w:rPr>
          <w:b w:val="0"/>
          <w:color w:val="404040"/>
          <w:u w:color="FF0000"/>
        </w:rPr>
        <w:t xml:space="preserve">reflect the policy definition of CSE </w:t>
      </w:r>
      <w:r w:rsidR="00370FF8">
        <w:rPr>
          <w:b w:val="0"/>
          <w:color w:val="404040"/>
          <w:u w:color="FF0000"/>
        </w:rPr>
        <w:t xml:space="preserve">in Northern </w:t>
      </w:r>
      <w:proofErr w:type="gramStart"/>
      <w:r w:rsidR="00370FF8">
        <w:rPr>
          <w:b w:val="0"/>
          <w:color w:val="404040"/>
          <w:u w:color="FF0000"/>
        </w:rPr>
        <w:t>Ireland which</w:t>
      </w:r>
      <w:proofErr w:type="gramEnd"/>
      <w:r w:rsidR="00370FF8">
        <w:rPr>
          <w:b w:val="0"/>
          <w:color w:val="404040"/>
          <w:u w:color="FF0000"/>
        </w:rPr>
        <w:t xml:space="preserve"> is outline</w:t>
      </w:r>
      <w:r w:rsidR="00C259B0">
        <w:rPr>
          <w:b w:val="0"/>
          <w:color w:val="404040"/>
          <w:u w:color="FF0000"/>
        </w:rPr>
        <w:t>d</w:t>
      </w:r>
      <w:r w:rsidR="00370FF8">
        <w:rPr>
          <w:b w:val="0"/>
          <w:color w:val="404040"/>
          <w:u w:color="FF0000"/>
        </w:rPr>
        <w:t xml:space="preserve"> </w:t>
      </w:r>
      <w:r>
        <w:rPr>
          <w:b w:val="0"/>
          <w:color w:val="404040"/>
          <w:u w:color="FF0000"/>
        </w:rPr>
        <w:t>in the</w:t>
      </w:r>
      <w:r w:rsidRPr="0083157D">
        <w:rPr>
          <w:b w:val="0"/>
          <w:color w:val="404040"/>
          <w:u w:color="FF0000"/>
        </w:rPr>
        <w:t xml:space="preserve"> </w:t>
      </w:r>
      <w:r>
        <w:rPr>
          <w:b w:val="0"/>
          <w:color w:val="404040"/>
          <w:u w:color="FF0000"/>
        </w:rPr>
        <w:t xml:space="preserve">regional guidance Co-operating to Safeguard Children 2016. For example, the policy definition </w:t>
      </w:r>
      <w:r w:rsidR="002801DE" w:rsidRPr="002801DE">
        <w:rPr>
          <w:b w:val="0"/>
          <w:color w:val="404040" w:themeColor="text1" w:themeTint="BF"/>
          <w:u w:color="FF0000"/>
        </w:rPr>
        <w:t xml:space="preserve">states that CSE </w:t>
      </w:r>
      <w:r w:rsidR="002801DE">
        <w:rPr>
          <w:b w:val="0"/>
          <w:color w:val="404040" w:themeColor="text1" w:themeTint="BF"/>
          <w:u w:color="FF0000"/>
        </w:rPr>
        <w:t>“</w:t>
      </w:r>
      <w:r w:rsidR="002801DE" w:rsidRPr="002801DE">
        <w:rPr>
          <w:rFonts w:eastAsiaTheme="minorHAnsi"/>
          <w:b w:val="0"/>
          <w:color w:val="404040" w:themeColor="text1" w:themeTint="BF"/>
        </w:rPr>
        <w:t>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w:t>
      </w:r>
      <w:r w:rsidR="002801DE" w:rsidRPr="002801DE">
        <w:rPr>
          <w:rStyle w:val="FootnoteReference"/>
          <w:b w:val="0"/>
          <w:color w:val="404040"/>
          <w:u w:color="FF0000"/>
        </w:rPr>
        <w:t xml:space="preserve"> </w:t>
      </w:r>
      <w:r w:rsidR="002801DE" w:rsidRPr="002801DE">
        <w:rPr>
          <w:rFonts w:eastAsiaTheme="minorHAnsi"/>
          <w:b w:val="0"/>
          <w:color w:val="404040" w:themeColor="text1" w:themeTint="BF"/>
        </w:rPr>
        <w:t>The victim may have been sexually exploited even if the sexual activity appears consensual.</w:t>
      </w:r>
      <w:r w:rsidR="002801DE">
        <w:rPr>
          <w:rFonts w:eastAsiaTheme="minorHAnsi"/>
          <w:b w:val="0"/>
          <w:color w:val="404040" w:themeColor="text1" w:themeTint="BF"/>
        </w:rPr>
        <w:t>”</w:t>
      </w:r>
      <w:r w:rsidR="00C259B0" w:rsidRPr="00C259B0">
        <w:rPr>
          <w:rStyle w:val="FootnoteReference"/>
          <w:b w:val="0"/>
          <w:color w:val="404040"/>
          <w:u w:color="FF0000"/>
        </w:rPr>
        <w:t xml:space="preserve"> </w:t>
      </w:r>
      <w:r w:rsidR="00C259B0">
        <w:rPr>
          <w:rStyle w:val="FootnoteReference"/>
          <w:b w:val="0"/>
          <w:color w:val="404040"/>
          <w:u w:color="FF0000"/>
        </w:rPr>
        <w:footnoteReference w:id="8"/>
      </w:r>
      <w:r w:rsidR="00C259B0" w:rsidRPr="002801DE">
        <w:rPr>
          <w:rFonts w:eastAsiaTheme="minorHAnsi"/>
          <w:b w:val="0"/>
          <w:color w:val="404040" w:themeColor="text1" w:themeTint="BF"/>
        </w:rPr>
        <w:t xml:space="preserve"> </w:t>
      </w:r>
      <w:r w:rsidR="002801DE">
        <w:rPr>
          <w:rFonts w:eastAsiaTheme="minorHAnsi"/>
          <w:b w:val="0"/>
          <w:color w:val="404040" w:themeColor="text1" w:themeTint="BF"/>
        </w:rPr>
        <w:t xml:space="preserve"> It </w:t>
      </w:r>
      <w:proofErr w:type="gramStart"/>
      <w:r w:rsidR="002801DE">
        <w:rPr>
          <w:rFonts w:eastAsiaTheme="minorHAnsi"/>
          <w:b w:val="0"/>
          <w:color w:val="404040" w:themeColor="text1" w:themeTint="BF"/>
        </w:rPr>
        <w:t xml:space="preserve">is </w:t>
      </w:r>
      <w:r w:rsidRPr="002801DE">
        <w:rPr>
          <w:b w:val="0"/>
          <w:color w:val="404040" w:themeColor="text1" w:themeTint="BF"/>
          <w:u w:color="FF0000"/>
        </w:rPr>
        <w:t>recognise</w:t>
      </w:r>
      <w:r w:rsidR="002801DE">
        <w:rPr>
          <w:b w:val="0"/>
          <w:color w:val="404040" w:themeColor="text1" w:themeTint="BF"/>
          <w:u w:color="FF0000"/>
        </w:rPr>
        <w:t>d</w:t>
      </w:r>
      <w:proofErr w:type="gramEnd"/>
      <w:r>
        <w:rPr>
          <w:b w:val="0"/>
          <w:color w:val="404040"/>
          <w:u w:color="FF0000"/>
        </w:rPr>
        <w:t xml:space="preserve"> </w:t>
      </w:r>
      <w:r w:rsidR="002801DE">
        <w:rPr>
          <w:b w:val="0"/>
          <w:color w:val="404040"/>
          <w:u w:color="FF0000"/>
        </w:rPr>
        <w:t xml:space="preserve">that </w:t>
      </w:r>
      <w:r>
        <w:rPr>
          <w:b w:val="0"/>
          <w:color w:val="404040"/>
          <w:u w:color="FF0000"/>
        </w:rPr>
        <w:t xml:space="preserve">the exchange aspect of </w:t>
      </w:r>
      <w:r w:rsidR="00FA26EB">
        <w:rPr>
          <w:b w:val="0"/>
          <w:color w:val="404040"/>
          <w:u w:color="FF0000"/>
        </w:rPr>
        <w:t xml:space="preserve">CSE </w:t>
      </w:r>
      <w:r>
        <w:rPr>
          <w:b w:val="0"/>
          <w:color w:val="404040"/>
          <w:u w:color="FF0000"/>
        </w:rPr>
        <w:t xml:space="preserve">can include exchange or payment for material </w:t>
      </w:r>
      <w:r w:rsidR="00350901">
        <w:rPr>
          <w:b w:val="0"/>
          <w:color w:val="404040"/>
          <w:u w:color="FF0000"/>
        </w:rPr>
        <w:t xml:space="preserve">goods </w:t>
      </w:r>
      <w:r>
        <w:rPr>
          <w:b w:val="0"/>
          <w:color w:val="404040"/>
          <w:u w:color="FF0000"/>
        </w:rPr>
        <w:t xml:space="preserve">(for </w:t>
      </w:r>
      <w:r w:rsidR="00FA26EB">
        <w:rPr>
          <w:b w:val="0"/>
          <w:color w:val="404040"/>
          <w:u w:color="FF0000"/>
        </w:rPr>
        <w:t>instance</w:t>
      </w:r>
      <w:r>
        <w:rPr>
          <w:b w:val="0"/>
          <w:color w:val="404040"/>
          <w:u w:color="FF0000"/>
        </w:rPr>
        <w:t>, accommodation, alcohol or drugs, rent) and non-material (such as, the protection of the victim or others, affection)</w:t>
      </w:r>
      <w:r w:rsidR="00FA26EB">
        <w:rPr>
          <w:b w:val="0"/>
          <w:color w:val="404040"/>
          <w:u w:color="FF0000"/>
        </w:rPr>
        <w:t>.</w:t>
      </w:r>
      <w:r>
        <w:rPr>
          <w:b w:val="0"/>
          <w:color w:val="404040"/>
          <w:u w:color="FF0000"/>
        </w:rPr>
        <w:t xml:space="preserve"> </w:t>
      </w:r>
    </w:p>
    <w:p w14:paraId="69CEAE48" w14:textId="77777777" w:rsidR="00E51AF9" w:rsidRDefault="00E51AF9" w:rsidP="005A1D37">
      <w:pPr>
        <w:pStyle w:val="NICCYSubline"/>
        <w:rPr>
          <w:b w:val="0"/>
          <w:color w:val="404040"/>
          <w:u w:color="FF0000"/>
        </w:rPr>
      </w:pPr>
    </w:p>
    <w:p w14:paraId="3900FF16" w14:textId="1F181260" w:rsidR="00E51AF9" w:rsidRDefault="00E51AF9" w:rsidP="005A1D37">
      <w:pPr>
        <w:pStyle w:val="NICCYSubline"/>
        <w:rPr>
          <w:b w:val="0"/>
          <w:color w:val="404040"/>
          <w:u w:color="FF0000"/>
        </w:rPr>
      </w:pPr>
      <w:r>
        <w:rPr>
          <w:b w:val="0"/>
          <w:color w:val="404040"/>
          <w:u w:color="FF0000"/>
        </w:rPr>
        <w:t xml:space="preserve">It is important that </w:t>
      </w:r>
      <w:r w:rsidRPr="005C3A60">
        <w:rPr>
          <w:b w:val="0"/>
          <w:color w:val="404040"/>
          <w:u w:color="FF0000"/>
        </w:rPr>
        <w:t xml:space="preserve">any unintended consequences of such changes which may cause significant tension between the definition in law of offences and the definition </w:t>
      </w:r>
      <w:r w:rsidR="00F41C3B">
        <w:rPr>
          <w:b w:val="0"/>
          <w:color w:val="404040"/>
          <w:u w:color="FF0000"/>
        </w:rPr>
        <w:t>in g</w:t>
      </w:r>
      <w:r w:rsidRPr="005C3A60">
        <w:rPr>
          <w:b w:val="0"/>
          <w:color w:val="404040"/>
          <w:u w:color="FF0000"/>
        </w:rPr>
        <w:t>uidance</w:t>
      </w:r>
      <w:r w:rsidR="00F41C3B">
        <w:rPr>
          <w:b w:val="0"/>
          <w:color w:val="404040"/>
          <w:u w:color="FF0000"/>
        </w:rPr>
        <w:t xml:space="preserve"> and procedures</w:t>
      </w:r>
      <w:r w:rsidRPr="005C3A60">
        <w:rPr>
          <w:b w:val="0"/>
          <w:color w:val="404040"/>
          <w:u w:color="FF0000"/>
        </w:rPr>
        <w:t xml:space="preserve"> which </w:t>
      </w:r>
      <w:r w:rsidR="00F41C3B">
        <w:rPr>
          <w:b w:val="0"/>
          <w:color w:val="404040"/>
          <w:u w:color="FF0000"/>
        </w:rPr>
        <w:t>u</w:t>
      </w:r>
      <w:r w:rsidRPr="005C3A60">
        <w:rPr>
          <w:b w:val="0"/>
          <w:color w:val="404040"/>
          <w:u w:color="FF0000"/>
        </w:rPr>
        <w:t xml:space="preserve">nderpin the operational practices of safeguarding and policing </w:t>
      </w:r>
      <w:r w:rsidR="00F41C3B">
        <w:rPr>
          <w:b w:val="0"/>
          <w:color w:val="404040"/>
          <w:u w:color="FF0000"/>
        </w:rPr>
        <w:t xml:space="preserve">agencies </w:t>
      </w:r>
      <w:r w:rsidRPr="005C3A60">
        <w:rPr>
          <w:b w:val="0"/>
          <w:color w:val="404040"/>
          <w:u w:color="FF0000"/>
        </w:rPr>
        <w:t>are carefully considered.</w:t>
      </w:r>
      <w:r w:rsidRPr="005C3A60">
        <w:rPr>
          <w:color w:val="404040"/>
          <w:u w:color="FF0000"/>
        </w:rPr>
        <w:t xml:space="preserve"> </w:t>
      </w:r>
      <w:r w:rsidR="00F41C3B">
        <w:rPr>
          <w:color w:val="404040"/>
          <w:u w:color="FF0000"/>
        </w:rPr>
        <w:t>NICCY r</w:t>
      </w:r>
      <w:r w:rsidRPr="005C3A60">
        <w:rPr>
          <w:color w:val="404040"/>
          <w:u w:color="FF0000"/>
        </w:rPr>
        <w:t>ecommend</w:t>
      </w:r>
      <w:r w:rsidR="00F41C3B">
        <w:rPr>
          <w:color w:val="404040"/>
          <w:u w:color="FF0000"/>
        </w:rPr>
        <w:t>s</w:t>
      </w:r>
      <w:r w:rsidRPr="005C3A60">
        <w:rPr>
          <w:color w:val="404040"/>
          <w:u w:color="FF0000"/>
        </w:rPr>
        <w:t xml:space="preserve"> that </w:t>
      </w:r>
      <w:proofErr w:type="spellStart"/>
      <w:r w:rsidRPr="005C3A60">
        <w:rPr>
          <w:color w:val="404040"/>
          <w:u w:color="FF0000"/>
        </w:rPr>
        <w:t>DoJ</w:t>
      </w:r>
      <w:proofErr w:type="spellEnd"/>
      <w:r w:rsidRPr="005C3A60">
        <w:rPr>
          <w:color w:val="404040"/>
          <w:u w:color="FF0000"/>
        </w:rPr>
        <w:t xml:space="preserve"> undertake this assessment urgently</w:t>
      </w:r>
      <w:r>
        <w:rPr>
          <w:b w:val="0"/>
          <w:color w:val="404040"/>
          <w:u w:color="FF0000"/>
        </w:rPr>
        <w:t xml:space="preserve">. We understand </w:t>
      </w:r>
      <w:r w:rsidR="00596024">
        <w:rPr>
          <w:b w:val="0"/>
          <w:color w:val="404040"/>
          <w:u w:color="FF0000"/>
        </w:rPr>
        <w:t xml:space="preserve">that </w:t>
      </w:r>
      <w:r>
        <w:rPr>
          <w:b w:val="0"/>
          <w:color w:val="404040"/>
          <w:u w:color="FF0000"/>
        </w:rPr>
        <w:t>this issue is a source of concern in England and Wales</w:t>
      </w:r>
      <w:r w:rsidR="005C009E">
        <w:rPr>
          <w:rStyle w:val="FootnoteReference"/>
          <w:b w:val="0"/>
          <w:color w:val="404040"/>
          <w:u w:color="FF0000"/>
        </w:rPr>
        <w:footnoteReference w:id="9"/>
      </w:r>
      <w:r>
        <w:rPr>
          <w:b w:val="0"/>
          <w:color w:val="404040"/>
          <w:u w:color="FF0000"/>
        </w:rPr>
        <w:t xml:space="preserve"> following the introduction of the Serious Crime Act 2015 and advise that </w:t>
      </w:r>
      <w:proofErr w:type="spellStart"/>
      <w:r>
        <w:rPr>
          <w:b w:val="0"/>
          <w:color w:val="404040"/>
          <w:u w:color="FF0000"/>
        </w:rPr>
        <w:t>DoJ</w:t>
      </w:r>
      <w:proofErr w:type="spellEnd"/>
      <w:r>
        <w:rPr>
          <w:b w:val="0"/>
          <w:color w:val="404040"/>
          <w:u w:color="FF0000"/>
        </w:rPr>
        <w:t xml:space="preserve"> should discuss this with Ministry of Justice </w:t>
      </w:r>
      <w:r w:rsidR="00411321">
        <w:rPr>
          <w:b w:val="0"/>
          <w:color w:val="404040"/>
          <w:u w:color="FF0000"/>
        </w:rPr>
        <w:t>and Department for Education</w:t>
      </w:r>
      <w:r w:rsidR="00596024">
        <w:rPr>
          <w:b w:val="0"/>
          <w:color w:val="404040"/>
          <w:u w:color="FF0000"/>
        </w:rPr>
        <w:t xml:space="preserve"> (who are responsible for the policy definition</w:t>
      </w:r>
      <w:r w:rsidR="00596024">
        <w:rPr>
          <w:rStyle w:val="FootnoteReference"/>
          <w:b w:val="0"/>
          <w:color w:val="404040"/>
          <w:u w:color="FF0000"/>
        </w:rPr>
        <w:footnoteReference w:id="10"/>
      </w:r>
      <w:r w:rsidR="00596024">
        <w:rPr>
          <w:b w:val="0"/>
          <w:color w:val="404040"/>
          <w:u w:color="FF0000"/>
        </w:rPr>
        <w:t>)</w:t>
      </w:r>
      <w:r w:rsidR="00411321">
        <w:rPr>
          <w:b w:val="0"/>
          <w:color w:val="404040"/>
          <w:u w:color="FF0000"/>
        </w:rPr>
        <w:t xml:space="preserve"> </w:t>
      </w:r>
      <w:r>
        <w:rPr>
          <w:b w:val="0"/>
          <w:color w:val="404040"/>
          <w:u w:color="FF0000"/>
        </w:rPr>
        <w:t xml:space="preserve">colleagues </w:t>
      </w:r>
      <w:r w:rsidR="00411321">
        <w:rPr>
          <w:b w:val="0"/>
          <w:color w:val="404040"/>
          <w:u w:color="FF0000"/>
        </w:rPr>
        <w:t>in England</w:t>
      </w:r>
      <w:r w:rsidR="00596024">
        <w:rPr>
          <w:b w:val="0"/>
          <w:color w:val="404040"/>
          <w:u w:color="FF0000"/>
        </w:rPr>
        <w:t xml:space="preserve">. </w:t>
      </w:r>
    </w:p>
    <w:p w14:paraId="7646BD4A" w14:textId="77777777" w:rsidR="004952C2" w:rsidRDefault="004952C2" w:rsidP="005A1D37">
      <w:pPr>
        <w:pStyle w:val="NICCYSubline"/>
        <w:rPr>
          <w:b w:val="0"/>
          <w:color w:val="404040"/>
          <w:u w:color="FF0000"/>
        </w:rPr>
      </w:pPr>
    </w:p>
    <w:p w14:paraId="12D8B8F8" w14:textId="2F704CA6" w:rsidR="00E51AF9" w:rsidRDefault="00E51AF9" w:rsidP="005A1D37">
      <w:pPr>
        <w:pStyle w:val="NICCYSubline"/>
        <w:rPr>
          <w:b w:val="0"/>
          <w:color w:val="404040"/>
          <w:u w:color="FF0000"/>
        </w:rPr>
      </w:pPr>
      <w:r w:rsidRPr="00012056">
        <w:rPr>
          <w:b w:val="0"/>
          <w:color w:val="404040"/>
          <w:u w:color="FF0000"/>
        </w:rPr>
        <w:t xml:space="preserve">NICCY also notes that as our understanding of the many forms that child sexual abuse </w:t>
      </w:r>
      <w:r w:rsidR="0072514C" w:rsidRPr="00012056">
        <w:rPr>
          <w:b w:val="0"/>
          <w:color w:val="404040"/>
          <w:u w:color="FF0000"/>
        </w:rPr>
        <w:t xml:space="preserve">can take develops and as the range of ways technology can play a part in </w:t>
      </w:r>
      <w:r w:rsidR="00350901">
        <w:rPr>
          <w:b w:val="0"/>
          <w:color w:val="404040"/>
          <w:u w:color="FF0000"/>
        </w:rPr>
        <w:t xml:space="preserve">this </w:t>
      </w:r>
      <w:r w:rsidR="0072514C" w:rsidRPr="00012056">
        <w:rPr>
          <w:b w:val="0"/>
          <w:color w:val="404040"/>
          <w:u w:color="FF0000"/>
        </w:rPr>
        <w:t xml:space="preserve">evolves, </w:t>
      </w:r>
      <w:r w:rsidRPr="00012056">
        <w:rPr>
          <w:b w:val="0"/>
          <w:color w:val="404040"/>
          <w:u w:color="FF0000"/>
        </w:rPr>
        <w:t xml:space="preserve">the development of </w:t>
      </w:r>
      <w:r w:rsidR="0072514C" w:rsidRPr="00012056">
        <w:rPr>
          <w:b w:val="0"/>
          <w:color w:val="404040"/>
          <w:u w:color="FF0000"/>
        </w:rPr>
        <w:t xml:space="preserve">particular </w:t>
      </w:r>
      <w:proofErr w:type="gramStart"/>
      <w:r w:rsidRPr="00012056">
        <w:rPr>
          <w:b w:val="0"/>
          <w:color w:val="404040"/>
          <w:u w:color="FF0000"/>
        </w:rPr>
        <w:t>offences which</w:t>
      </w:r>
      <w:proofErr w:type="gramEnd"/>
      <w:r w:rsidRPr="00012056">
        <w:rPr>
          <w:b w:val="0"/>
          <w:color w:val="404040"/>
          <w:u w:color="FF0000"/>
        </w:rPr>
        <w:t xml:space="preserve"> </w:t>
      </w:r>
      <w:r w:rsidR="0072514C" w:rsidRPr="00012056">
        <w:rPr>
          <w:b w:val="0"/>
          <w:color w:val="404040"/>
          <w:u w:color="FF0000"/>
        </w:rPr>
        <w:t xml:space="preserve">relate to </w:t>
      </w:r>
      <w:r w:rsidRPr="00012056">
        <w:rPr>
          <w:b w:val="0"/>
          <w:color w:val="404040"/>
          <w:u w:color="FF0000"/>
        </w:rPr>
        <w:t xml:space="preserve">only </w:t>
      </w:r>
      <w:r w:rsidR="0072514C" w:rsidRPr="00012056">
        <w:rPr>
          <w:b w:val="0"/>
          <w:color w:val="404040"/>
          <w:u w:color="FF0000"/>
        </w:rPr>
        <w:t>specified categories o</w:t>
      </w:r>
      <w:r w:rsidRPr="00012056">
        <w:rPr>
          <w:b w:val="0"/>
          <w:color w:val="404040"/>
          <w:u w:color="FF0000"/>
        </w:rPr>
        <w:t>f abuse should be well considered.</w:t>
      </w:r>
      <w:r>
        <w:rPr>
          <w:b w:val="0"/>
          <w:color w:val="404040"/>
          <w:u w:color="FF0000"/>
        </w:rPr>
        <w:t xml:space="preserve"> Indeed, this debate may be indicative of the need </w:t>
      </w:r>
      <w:proofErr w:type="gramStart"/>
      <w:r>
        <w:rPr>
          <w:b w:val="0"/>
          <w:color w:val="404040"/>
          <w:u w:color="FF0000"/>
        </w:rPr>
        <w:t>to more fundamentally consider</w:t>
      </w:r>
      <w:proofErr w:type="gramEnd"/>
      <w:r>
        <w:rPr>
          <w:b w:val="0"/>
          <w:color w:val="404040"/>
          <w:u w:color="FF0000"/>
        </w:rPr>
        <w:t xml:space="preserve"> the adequacy and effectiveness of current law regarding sexual offences against children</w:t>
      </w:r>
      <w:r w:rsidR="0072514C">
        <w:rPr>
          <w:b w:val="0"/>
          <w:color w:val="404040"/>
          <w:u w:color="FF0000"/>
        </w:rPr>
        <w:t xml:space="preserve"> more broadly</w:t>
      </w:r>
      <w:r>
        <w:rPr>
          <w:b w:val="0"/>
          <w:color w:val="404040"/>
          <w:u w:color="FF0000"/>
        </w:rPr>
        <w:t xml:space="preserve">. </w:t>
      </w:r>
    </w:p>
    <w:p w14:paraId="1F3CC9F4" w14:textId="77777777" w:rsidR="00E51AF9" w:rsidRDefault="00E51AF9" w:rsidP="005A1D37">
      <w:pPr>
        <w:pStyle w:val="NICCYSubline"/>
        <w:rPr>
          <w:b w:val="0"/>
          <w:color w:val="404040"/>
          <w:u w:color="FF0000"/>
        </w:rPr>
      </w:pPr>
    </w:p>
    <w:p w14:paraId="7A1C5088" w14:textId="77777777" w:rsidR="00E51AF9" w:rsidRPr="005C3A60" w:rsidRDefault="00E51AF9" w:rsidP="00B7545D">
      <w:pPr>
        <w:pStyle w:val="NICCYSubline"/>
        <w:rPr>
          <w:b w:val="0"/>
          <w:color w:val="FF0000"/>
          <w:u w:color="FF0000"/>
        </w:rPr>
      </w:pPr>
      <w:r w:rsidRPr="005C3A60">
        <w:rPr>
          <w:b w:val="0"/>
          <w:color w:val="FF0000"/>
          <w:u w:color="FF0000"/>
        </w:rPr>
        <w:t xml:space="preserve">Live streaming </w:t>
      </w:r>
    </w:p>
    <w:p w14:paraId="2B4A68C5" w14:textId="77777777" w:rsidR="00E51AF9" w:rsidRDefault="00E51AF9" w:rsidP="00B7545D">
      <w:pPr>
        <w:pStyle w:val="NICCYSubline"/>
        <w:rPr>
          <w:b w:val="0"/>
          <w:color w:val="404040"/>
          <w:u w:color="FF0000"/>
        </w:rPr>
      </w:pPr>
      <w:r w:rsidRPr="005C3A60">
        <w:rPr>
          <w:color w:val="404040"/>
          <w:u w:color="FF0000"/>
        </w:rPr>
        <w:t>NICCY welcomes the proposal</w:t>
      </w:r>
      <w:r>
        <w:rPr>
          <w:b w:val="0"/>
          <w:color w:val="404040"/>
          <w:u w:color="FF0000"/>
        </w:rPr>
        <w:t xml:space="preserve"> to clarify that images which are streamed or otherwise transmitted as well as recorded for the purposes of ‘child prostitution’ or ‘child pornography’ are included within these offences.</w:t>
      </w:r>
    </w:p>
    <w:p w14:paraId="60A20EAD" w14:textId="77777777" w:rsidR="00E51AF9" w:rsidRDefault="00E51AF9" w:rsidP="00B7545D">
      <w:pPr>
        <w:pStyle w:val="NICCYSubline"/>
        <w:rPr>
          <w:b w:val="0"/>
          <w:color w:val="404040"/>
          <w:u w:color="FF0000"/>
        </w:rPr>
      </w:pPr>
    </w:p>
    <w:p w14:paraId="4419FD21" w14:textId="77777777" w:rsidR="00E51AF9" w:rsidRPr="0063068F" w:rsidRDefault="00E51AF9" w:rsidP="00B7545D">
      <w:pPr>
        <w:pStyle w:val="NICCYSubline"/>
        <w:rPr>
          <w:b w:val="0"/>
          <w:color w:val="FF0000"/>
          <w:u w:color="FF0000"/>
        </w:rPr>
      </w:pPr>
      <w:r w:rsidRPr="0063068F">
        <w:rPr>
          <w:b w:val="0"/>
          <w:color w:val="FF0000"/>
          <w:u w:color="FF0000"/>
        </w:rPr>
        <w:t xml:space="preserve">Grooming </w:t>
      </w:r>
    </w:p>
    <w:p w14:paraId="3410C59D" w14:textId="3ED66DCF" w:rsidR="00E51AF9" w:rsidRDefault="00E51AF9" w:rsidP="00B7545D">
      <w:pPr>
        <w:pStyle w:val="NICCYSubline"/>
        <w:rPr>
          <w:b w:val="0"/>
          <w:color w:val="404040"/>
          <w:u w:color="FF0000"/>
        </w:rPr>
      </w:pPr>
      <w:r>
        <w:rPr>
          <w:b w:val="0"/>
          <w:color w:val="404040"/>
          <w:u w:color="FF0000"/>
        </w:rPr>
        <w:t xml:space="preserve">In relation to the proposals regarding grooming and the recommendation of the Independent Inquiry into CSE to extend this to include ‘enticing’ we acknowledge that in the period since the Inquiry, Article 22 of the Sexual Offences (Northern Ireland) Order 2008 has been amended by </w:t>
      </w:r>
      <w:r w:rsidR="00FD7C09">
        <w:rPr>
          <w:b w:val="0"/>
          <w:color w:val="404040"/>
          <w:u w:color="FF0000"/>
        </w:rPr>
        <w:t xml:space="preserve">lowering the threshold for meeting the offence and that </w:t>
      </w:r>
      <w:r>
        <w:rPr>
          <w:b w:val="0"/>
          <w:color w:val="404040"/>
          <w:u w:color="FF0000"/>
        </w:rPr>
        <w:t xml:space="preserve">Article 22A </w:t>
      </w:r>
      <w:r w:rsidR="00FD7C09">
        <w:rPr>
          <w:b w:val="0"/>
          <w:color w:val="404040"/>
          <w:u w:color="FF0000"/>
        </w:rPr>
        <w:t xml:space="preserve">on </w:t>
      </w:r>
      <w:r>
        <w:rPr>
          <w:b w:val="0"/>
          <w:color w:val="404040"/>
          <w:u w:color="FF0000"/>
        </w:rPr>
        <w:t xml:space="preserve">an offence of sexual communication with a child </w:t>
      </w:r>
      <w:r w:rsidR="00FD7C09">
        <w:rPr>
          <w:b w:val="0"/>
          <w:color w:val="404040"/>
          <w:u w:color="FF0000"/>
        </w:rPr>
        <w:t>has been introduced.</w:t>
      </w:r>
      <w:r>
        <w:rPr>
          <w:b w:val="0"/>
          <w:color w:val="404040"/>
          <w:u w:color="FF0000"/>
        </w:rPr>
        <w:t xml:space="preserve"> While such changes are welcome, </w:t>
      </w:r>
      <w:r w:rsidRPr="0063068F">
        <w:rPr>
          <w:color w:val="404040"/>
          <w:u w:color="FF0000"/>
        </w:rPr>
        <w:t>we highlight that they do not apply to all children up to the age of 18 years and that this must be addressed through the appropriate legislative measure.</w:t>
      </w:r>
      <w:r>
        <w:rPr>
          <w:b w:val="0"/>
          <w:color w:val="404040"/>
          <w:u w:color="FF0000"/>
        </w:rPr>
        <w:t xml:space="preserve"> As </w:t>
      </w:r>
      <w:r w:rsidR="00FD7C09">
        <w:rPr>
          <w:b w:val="0"/>
          <w:color w:val="404040"/>
          <w:u w:color="FF0000"/>
        </w:rPr>
        <w:t xml:space="preserve">discussed </w:t>
      </w:r>
      <w:r>
        <w:rPr>
          <w:b w:val="0"/>
          <w:color w:val="404040"/>
          <w:u w:color="FF0000"/>
        </w:rPr>
        <w:t xml:space="preserve">earlier, ensuring such legal protections </w:t>
      </w:r>
      <w:proofErr w:type="gramStart"/>
      <w:r>
        <w:rPr>
          <w:b w:val="0"/>
          <w:color w:val="404040"/>
          <w:u w:color="FF0000"/>
        </w:rPr>
        <w:t>are afforded</w:t>
      </w:r>
      <w:proofErr w:type="gramEnd"/>
      <w:r>
        <w:rPr>
          <w:b w:val="0"/>
          <w:color w:val="404040"/>
          <w:u w:color="FF0000"/>
        </w:rPr>
        <w:t xml:space="preserve"> to all children </w:t>
      </w:r>
      <w:r w:rsidR="004952C2">
        <w:rPr>
          <w:b w:val="0"/>
          <w:color w:val="404040"/>
          <w:u w:color="FF0000"/>
        </w:rPr>
        <w:t>regardless of age i</w:t>
      </w:r>
      <w:r>
        <w:rPr>
          <w:b w:val="0"/>
          <w:color w:val="404040"/>
          <w:u w:color="FF0000"/>
        </w:rPr>
        <w:t>s in line with the obligations of the U</w:t>
      </w:r>
      <w:r w:rsidR="00FD7C09">
        <w:rPr>
          <w:b w:val="0"/>
          <w:color w:val="404040"/>
          <w:u w:color="FF0000"/>
        </w:rPr>
        <w:t xml:space="preserve">N Convention on the Rights of the Child, </w:t>
      </w:r>
      <w:r>
        <w:rPr>
          <w:b w:val="0"/>
          <w:color w:val="404040"/>
          <w:u w:color="FF0000"/>
        </w:rPr>
        <w:t xml:space="preserve">the </w:t>
      </w:r>
      <w:r w:rsidR="00FD7C09">
        <w:rPr>
          <w:b w:val="0"/>
          <w:color w:val="404040"/>
          <w:u w:color="FF0000"/>
        </w:rPr>
        <w:t xml:space="preserve">Council of Europe </w:t>
      </w:r>
      <w:r>
        <w:rPr>
          <w:b w:val="0"/>
          <w:color w:val="404040"/>
          <w:u w:color="FF0000"/>
        </w:rPr>
        <w:t xml:space="preserve">Lanzarote Convention and recommendation 14(a) of the Independent Inquiry. </w:t>
      </w:r>
    </w:p>
    <w:p w14:paraId="0279DDB9" w14:textId="77777777" w:rsidR="00E51AF9" w:rsidRDefault="00E51AF9" w:rsidP="00B7545D">
      <w:pPr>
        <w:pStyle w:val="NICCYSubline"/>
        <w:rPr>
          <w:b w:val="0"/>
          <w:color w:val="404040"/>
          <w:u w:color="FF0000"/>
        </w:rPr>
      </w:pPr>
      <w:r>
        <w:rPr>
          <w:b w:val="0"/>
          <w:color w:val="404040"/>
          <w:u w:color="FF0000"/>
        </w:rPr>
        <w:t xml:space="preserve"> </w:t>
      </w:r>
    </w:p>
    <w:p w14:paraId="183BB2D7" w14:textId="24A9C035" w:rsidR="00E51AF9" w:rsidRDefault="00E51AF9" w:rsidP="00B7545D">
      <w:pPr>
        <w:pStyle w:val="NICCYSubline"/>
        <w:rPr>
          <w:b w:val="0"/>
          <w:color w:val="404040"/>
          <w:u w:color="FF0000"/>
        </w:rPr>
      </w:pPr>
      <w:proofErr w:type="gramStart"/>
      <w:r>
        <w:rPr>
          <w:b w:val="0"/>
          <w:color w:val="404040"/>
          <w:u w:color="FF0000"/>
        </w:rPr>
        <w:t xml:space="preserve">In relation to the proposal not to extend the offence further by including ‘enticing’ within </w:t>
      </w:r>
      <w:r w:rsidR="00350901">
        <w:rPr>
          <w:b w:val="0"/>
          <w:color w:val="404040"/>
          <w:u w:color="FF0000"/>
        </w:rPr>
        <w:t xml:space="preserve">its </w:t>
      </w:r>
      <w:r>
        <w:rPr>
          <w:b w:val="0"/>
          <w:color w:val="404040"/>
          <w:u w:color="FF0000"/>
        </w:rPr>
        <w:t>scope and the Department’s view that the above amendment</w:t>
      </w:r>
      <w:r w:rsidR="00FD7C09">
        <w:rPr>
          <w:b w:val="0"/>
          <w:color w:val="404040"/>
          <w:u w:color="FF0000"/>
        </w:rPr>
        <w:t>s</w:t>
      </w:r>
      <w:r>
        <w:rPr>
          <w:b w:val="0"/>
          <w:color w:val="404040"/>
          <w:u w:color="FF0000"/>
        </w:rPr>
        <w:t xml:space="preserve"> now provides an adequate basis to</w:t>
      </w:r>
      <w:r w:rsidR="00FD7C09">
        <w:rPr>
          <w:b w:val="0"/>
          <w:color w:val="404040"/>
          <w:u w:color="FF0000"/>
        </w:rPr>
        <w:t xml:space="preserve"> ensure that </w:t>
      </w:r>
      <w:r>
        <w:rPr>
          <w:b w:val="0"/>
          <w:color w:val="404040"/>
          <w:u w:color="FF0000"/>
        </w:rPr>
        <w:t xml:space="preserve">statutory authorities </w:t>
      </w:r>
      <w:r w:rsidR="00FD7C09">
        <w:rPr>
          <w:b w:val="0"/>
          <w:color w:val="404040"/>
          <w:u w:color="FF0000"/>
        </w:rPr>
        <w:t xml:space="preserve">can </w:t>
      </w:r>
      <w:r>
        <w:rPr>
          <w:b w:val="0"/>
          <w:color w:val="404040"/>
          <w:u w:color="FF0000"/>
        </w:rPr>
        <w:t xml:space="preserve">intervene at early stages of grooming, NICCY seeks further information on </w:t>
      </w:r>
      <w:r w:rsidR="004952C2">
        <w:rPr>
          <w:b w:val="0"/>
          <w:color w:val="404040"/>
          <w:u w:color="FF0000"/>
        </w:rPr>
        <w:t xml:space="preserve">the evidence used by </w:t>
      </w:r>
      <w:proofErr w:type="spellStart"/>
      <w:r w:rsidR="004952C2">
        <w:rPr>
          <w:b w:val="0"/>
          <w:color w:val="404040"/>
          <w:u w:color="FF0000"/>
        </w:rPr>
        <w:t>DoJ</w:t>
      </w:r>
      <w:proofErr w:type="spellEnd"/>
      <w:r w:rsidR="004952C2">
        <w:rPr>
          <w:b w:val="0"/>
          <w:color w:val="404040"/>
          <w:u w:color="FF0000"/>
        </w:rPr>
        <w:t xml:space="preserve"> to support this conclusion as well information on the Department’s </w:t>
      </w:r>
      <w:r>
        <w:rPr>
          <w:b w:val="0"/>
          <w:color w:val="404040"/>
          <w:u w:color="FF0000"/>
        </w:rPr>
        <w:t xml:space="preserve">engagement with PSNI who raised specific concerns regarding the need for extension of offences </w:t>
      </w:r>
      <w:r w:rsidR="00FD7C09">
        <w:rPr>
          <w:b w:val="0"/>
          <w:color w:val="404040"/>
          <w:u w:color="FF0000"/>
        </w:rPr>
        <w:t xml:space="preserve">to ‘enticing’ </w:t>
      </w:r>
      <w:r>
        <w:rPr>
          <w:b w:val="0"/>
          <w:color w:val="404040"/>
          <w:u w:color="FF0000"/>
        </w:rPr>
        <w:t>with the independent Inquiry</w:t>
      </w:r>
      <w:r w:rsidR="00350901">
        <w:rPr>
          <w:b w:val="0"/>
          <w:color w:val="404040"/>
          <w:u w:color="FF0000"/>
        </w:rPr>
        <w:t>.</w:t>
      </w:r>
      <w:proofErr w:type="gramEnd"/>
      <w:r w:rsidR="00350901">
        <w:rPr>
          <w:b w:val="0"/>
          <w:color w:val="404040"/>
          <w:u w:color="FF0000"/>
        </w:rPr>
        <w:t xml:space="preserve"> </w:t>
      </w:r>
      <w:r>
        <w:rPr>
          <w:b w:val="0"/>
          <w:color w:val="404040"/>
          <w:u w:color="FF0000"/>
        </w:rPr>
        <w:t xml:space="preserve"> </w:t>
      </w:r>
    </w:p>
    <w:p w14:paraId="4548912A" w14:textId="77777777" w:rsidR="00E51AF9" w:rsidRDefault="00E51AF9" w:rsidP="00B7545D">
      <w:pPr>
        <w:pStyle w:val="NICCYSubline"/>
        <w:rPr>
          <w:b w:val="0"/>
          <w:color w:val="404040"/>
          <w:u w:color="FF0000"/>
        </w:rPr>
      </w:pPr>
    </w:p>
    <w:p w14:paraId="0BF5C570" w14:textId="77777777" w:rsidR="00E51AF9" w:rsidRPr="0063068F" w:rsidRDefault="00E51AF9" w:rsidP="00B7545D">
      <w:pPr>
        <w:pStyle w:val="NICCYSubline"/>
        <w:rPr>
          <w:b w:val="0"/>
          <w:color w:val="FF0000"/>
          <w:u w:color="FF0000"/>
        </w:rPr>
      </w:pPr>
      <w:r w:rsidRPr="0063068F">
        <w:rPr>
          <w:b w:val="0"/>
          <w:color w:val="FF0000"/>
          <w:u w:color="FF0000"/>
        </w:rPr>
        <w:t>Defence of ‘reasonable belief’</w:t>
      </w:r>
    </w:p>
    <w:p w14:paraId="6EA4109B" w14:textId="21FF970F" w:rsidR="00A040C6" w:rsidRDefault="00E51AF9" w:rsidP="00B7545D">
      <w:pPr>
        <w:pStyle w:val="NICCYSubline"/>
        <w:rPr>
          <w:b w:val="0"/>
          <w:color w:val="404040"/>
          <w:u w:color="FF0000"/>
        </w:rPr>
      </w:pPr>
      <w:proofErr w:type="gramStart"/>
      <w:r>
        <w:rPr>
          <w:b w:val="0"/>
          <w:color w:val="404040"/>
          <w:u w:color="FF0000"/>
        </w:rPr>
        <w:t xml:space="preserve">As has been referenced earlier, the uneven application of legal safeguards to children under 18 years based on their age and, in this instance, the related access to a defence of reasonable belief afforded to alleged perpetrators </w:t>
      </w:r>
      <w:r w:rsidR="00AA2494">
        <w:rPr>
          <w:b w:val="0"/>
          <w:color w:val="404040"/>
          <w:u w:color="FF0000"/>
        </w:rPr>
        <w:t>(</w:t>
      </w:r>
      <w:r w:rsidR="00350901">
        <w:rPr>
          <w:b w:val="0"/>
          <w:color w:val="404040"/>
          <w:u w:color="FF0000"/>
        </w:rPr>
        <w:t>where children are age</w:t>
      </w:r>
      <w:r w:rsidR="00AA2494">
        <w:rPr>
          <w:b w:val="0"/>
          <w:color w:val="404040"/>
          <w:u w:color="FF0000"/>
        </w:rPr>
        <w:t>d</w:t>
      </w:r>
      <w:r w:rsidR="00350901">
        <w:rPr>
          <w:b w:val="0"/>
          <w:color w:val="404040"/>
          <w:u w:color="FF0000"/>
        </w:rPr>
        <w:t xml:space="preserve"> over 13 years </w:t>
      </w:r>
      <w:r w:rsidR="00AA2494">
        <w:rPr>
          <w:b w:val="0"/>
          <w:color w:val="404040"/>
          <w:u w:color="FF0000"/>
        </w:rPr>
        <w:t xml:space="preserve">but under either 16 or 18 years) </w:t>
      </w:r>
      <w:r>
        <w:rPr>
          <w:b w:val="0"/>
          <w:color w:val="404040"/>
          <w:u w:color="FF0000"/>
        </w:rPr>
        <w:t xml:space="preserve">has resulted in recommendations for change from a range of bodies including the UN Committee </w:t>
      </w:r>
      <w:r w:rsidR="0063068F">
        <w:rPr>
          <w:b w:val="0"/>
          <w:color w:val="404040"/>
          <w:u w:color="FF0000"/>
        </w:rPr>
        <w:t>on the Rights of the Child.</w:t>
      </w:r>
      <w:r w:rsidR="00A040C6">
        <w:rPr>
          <w:rStyle w:val="FootnoteReference"/>
          <w:b w:val="0"/>
          <w:color w:val="404040"/>
          <w:u w:color="FF0000"/>
        </w:rPr>
        <w:footnoteReference w:id="11"/>
      </w:r>
      <w:proofErr w:type="gramEnd"/>
      <w:r w:rsidR="0063068F">
        <w:rPr>
          <w:b w:val="0"/>
          <w:color w:val="404040"/>
          <w:u w:color="FF0000"/>
        </w:rPr>
        <w:t xml:space="preserve"> </w:t>
      </w:r>
      <w:r w:rsidRPr="0063068F">
        <w:rPr>
          <w:color w:val="404040"/>
          <w:u w:color="FF0000"/>
        </w:rPr>
        <w:t>NICCY therefore welcomes the proposal to reverse the burden of proof</w:t>
      </w:r>
      <w:r>
        <w:rPr>
          <w:b w:val="0"/>
          <w:color w:val="404040"/>
          <w:u w:color="FF0000"/>
        </w:rPr>
        <w:t xml:space="preserve"> in such cases</w:t>
      </w:r>
      <w:r w:rsidR="00A040C6">
        <w:rPr>
          <w:b w:val="0"/>
          <w:color w:val="404040"/>
          <w:u w:color="FF0000"/>
        </w:rPr>
        <w:t xml:space="preserve"> and notes the </w:t>
      </w:r>
      <w:r>
        <w:rPr>
          <w:b w:val="0"/>
          <w:color w:val="404040"/>
          <w:u w:color="FF0000"/>
        </w:rPr>
        <w:t xml:space="preserve">ruling of the UK Supreme </w:t>
      </w:r>
      <w:proofErr w:type="gramStart"/>
      <w:r>
        <w:rPr>
          <w:b w:val="0"/>
          <w:color w:val="404040"/>
          <w:u w:color="FF0000"/>
        </w:rPr>
        <w:t xml:space="preserve">Court </w:t>
      </w:r>
      <w:r w:rsidR="00A040C6">
        <w:rPr>
          <w:b w:val="0"/>
          <w:color w:val="404040"/>
          <w:u w:color="FF0000"/>
        </w:rPr>
        <w:t>which found similar law reform in Scotland</w:t>
      </w:r>
      <w:proofErr w:type="gramEnd"/>
      <w:r w:rsidR="00A040C6">
        <w:rPr>
          <w:b w:val="0"/>
          <w:color w:val="404040"/>
          <w:u w:color="FF0000"/>
        </w:rPr>
        <w:t xml:space="preserve"> did not breach </w:t>
      </w:r>
      <w:proofErr w:type="spellStart"/>
      <w:r w:rsidR="00A040C6">
        <w:rPr>
          <w:b w:val="0"/>
          <w:color w:val="404040"/>
          <w:u w:color="FF0000"/>
        </w:rPr>
        <w:lastRenderedPageBreak/>
        <w:t>defendants</w:t>
      </w:r>
      <w:proofErr w:type="spellEnd"/>
      <w:r w:rsidR="00A040C6">
        <w:rPr>
          <w:b w:val="0"/>
          <w:color w:val="404040"/>
          <w:u w:color="FF0000"/>
        </w:rPr>
        <w:t xml:space="preserve"> rights to a fair trial.</w:t>
      </w:r>
      <w:r w:rsidR="002C0677">
        <w:rPr>
          <w:rStyle w:val="FootnoteReference"/>
          <w:b w:val="0"/>
          <w:color w:val="404040"/>
          <w:u w:color="FF0000"/>
        </w:rPr>
        <w:footnoteReference w:id="12"/>
      </w:r>
    </w:p>
    <w:p w14:paraId="271E0FFC" w14:textId="77777777" w:rsidR="00A040C6" w:rsidRDefault="00A040C6" w:rsidP="00B7545D">
      <w:pPr>
        <w:pStyle w:val="NICCYSubline"/>
        <w:rPr>
          <w:b w:val="0"/>
          <w:color w:val="404040"/>
          <w:u w:color="FF0000"/>
        </w:rPr>
      </w:pPr>
    </w:p>
    <w:p w14:paraId="4757EBD2" w14:textId="77777777" w:rsidR="00182647" w:rsidRDefault="00A040C6" w:rsidP="00B7545D">
      <w:pPr>
        <w:pStyle w:val="NICCYSubline"/>
        <w:rPr>
          <w:b w:val="0"/>
          <w:color w:val="404040"/>
          <w:u w:color="FF0000"/>
        </w:rPr>
      </w:pPr>
      <w:r w:rsidRPr="00012056">
        <w:rPr>
          <w:b w:val="0"/>
          <w:color w:val="404040"/>
          <w:u w:color="FF0000"/>
        </w:rPr>
        <w:t xml:space="preserve">In relation to considering limiting </w:t>
      </w:r>
      <w:r w:rsidR="00C06C99" w:rsidRPr="00012056">
        <w:rPr>
          <w:b w:val="0"/>
          <w:color w:val="404040"/>
          <w:u w:color="FF0000"/>
        </w:rPr>
        <w:t xml:space="preserve">the </w:t>
      </w:r>
      <w:r w:rsidRPr="00012056">
        <w:rPr>
          <w:b w:val="0"/>
          <w:color w:val="404040"/>
          <w:u w:color="FF0000"/>
        </w:rPr>
        <w:t xml:space="preserve">circumstances </w:t>
      </w:r>
      <w:r w:rsidR="00C06C99" w:rsidRPr="00012056">
        <w:rPr>
          <w:b w:val="0"/>
          <w:color w:val="404040"/>
          <w:u w:color="FF0000"/>
        </w:rPr>
        <w:t xml:space="preserve">in which a defendant is able to access the defence of reasonable belief, </w:t>
      </w:r>
      <w:r w:rsidR="00C06C99" w:rsidRPr="00012056">
        <w:rPr>
          <w:color w:val="404040"/>
          <w:u w:color="FF0000"/>
        </w:rPr>
        <w:t>NICCY i</w:t>
      </w:r>
      <w:r w:rsidR="0075717B" w:rsidRPr="00012056">
        <w:rPr>
          <w:color w:val="404040"/>
          <w:u w:color="FF0000"/>
        </w:rPr>
        <w:t xml:space="preserve">s </w:t>
      </w:r>
      <w:r w:rsidR="002C0677" w:rsidRPr="00012056">
        <w:rPr>
          <w:color w:val="404040"/>
          <w:u w:color="FF0000"/>
        </w:rPr>
        <w:t>support</w:t>
      </w:r>
      <w:r w:rsidR="0075717B" w:rsidRPr="00012056">
        <w:rPr>
          <w:color w:val="404040"/>
          <w:u w:color="FF0000"/>
        </w:rPr>
        <w:t>ive of the</w:t>
      </w:r>
      <w:r w:rsidR="002C0677" w:rsidRPr="00012056">
        <w:rPr>
          <w:color w:val="404040"/>
          <w:u w:color="FF0000"/>
        </w:rPr>
        <w:t xml:space="preserve"> Department considering this further</w:t>
      </w:r>
      <w:r w:rsidR="007516B9" w:rsidRPr="00012056">
        <w:rPr>
          <w:color w:val="404040"/>
          <w:u w:color="FF0000"/>
        </w:rPr>
        <w:t xml:space="preserve">, </w:t>
      </w:r>
      <w:r w:rsidR="007516B9" w:rsidRPr="00012056">
        <w:rPr>
          <w:b w:val="0"/>
          <w:color w:val="404040"/>
          <w:u w:color="FF0000"/>
        </w:rPr>
        <w:t>including</w:t>
      </w:r>
      <w:r w:rsidR="002C0677" w:rsidRPr="00012056">
        <w:rPr>
          <w:b w:val="0"/>
          <w:color w:val="404040"/>
          <w:u w:color="FF0000"/>
        </w:rPr>
        <w:t xml:space="preserve"> for individuals who have been previously convicted of a sexual offence against a child, have been made subject to a Risk of Sexual Harm Order as well as where defendants have been c</w:t>
      </w:r>
      <w:r w:rsidR="0075717B" w:rsidRPr="00012056">
        <w:rPr>
          <w:b w:val="0"/>
          <w:color w:val="404040"/>
          <w:u w:color="FF0000"/>
        </w:rPr>
        <w:t xml:space="preserve">harged with a relevant </w:t>
      </w:r>
      <w:r w:rsidR="002C0677" w:rsidRPr="00012056">
        <w:rPr>
          <w:b w:val="0"/>
          <w:color w:val="404040"/>
          <w:u w:color="FF0000"/>
        </w:rPr>
        <w:t>s</w:t>
      </w:r>
      <w:r w:rsidR="0075717B" w:rsidRPr="00012056">
        <w:rPr>
          <w:b w:val="0"/>
          <w:color w:val="404040"/>
          <w:u w:color="FF0000"/>
        </w:rPr>
        <w:t xml:space="preserve">exual </w:t>
      </w:r>
      <w:r w:rsidR="002C0677" w:rsidRPr="00012056">
        <w:rPr>
          <w:b w:val="0"/>
          <w:color w:val="404040"/>
          <w:u w:color="FF0000"/>
        </w:rPr>
        <w:t>offence (although we note the above ruling of the UK Supreme Court in regard to this la</w:t>
      </w:r>
      <w:r w:rsidR="0075717B" w:rsidRPr="00012056">
        <w:rPr>
          <w:b w:val="0"/>
          <w:color w:val="404040"/>
          <w:u w:color="FF0000"/>
        </w:rPr>
        <w:t xml:space="preserve">tter </w:t>
      </w:r>
      <w:r w:rsidR="002C0677" w:rsidRPr="00012056">
        <w:rPr>
          <w:b w:val="0"/>
          <w:color w:val="404040"/>
          <w:u w:color="FF0000"/>
        </w:rPr>
        <w:t>circumstance).</w:t>
      </w:r>
      <w:r w:rsidR="002C0677">
        <w:rPr>
          <w:b w:val="0"/>
          <w:color w:val="404040"/>
          <w:u w:color="FF0000"/>
        </w:rPr>
        <w:t xml:space="preserve"> </w:t>
      </w:r>
      <w:r w:rsidR="00E51AF9">
        <w:rPr>
          <w:b w:val="0"/>
          <w:color w:val="404040"/>
          <w:u w:color="FF0000"/>
        </w:rPr>
        <w:t xml:space="preserve"> </w:t>
      </w:r>
    </w:p>
    <w:p w14:paraId="12FEB6C0" w14:textId="77777777" w:rsidR="00E51AF9" w:rsidRDefault="00E51AF9" w:rsidP="00B7545D">
      <w:pPr>
        <w:pStyle w:val="NICCYSubline"/>
        <w:rPr>
          <w:b w:val="0"/>
          <w:color w:val="404040"/>
          <w:u w:color="FF0000"/>
        </w:rPr>
      </w:pPr>
    </w:p>
    <w:p w14:paraId="50B5A6F6" w14:textId="77777777" w:rsidR="00E51AF9" w:rsidRPr="002D72D2" w:rsidRDefault="00E51AF9" w:rsidP="00B7545D">
      <w:pPr>
        <w:pStyle w:val="NICCYSubline"/>
        <w:rPr>
          <w:b w:val="0"/>
          <w:color w:val="FF0000"/>
          <w:u w:color="FF0000"/>
        </w:rPr>
      </w:pPr>
      <w:r w:rsidRPr="002D72D2">
        <w:rPr>
          <w:b w:val="0"/>
          <w:color w:val="FF0000"/>
          <w:u w:color="FF0000"/>
        </w:rPr>
        <w:t>Abuse of trust</w:t>
      </w:r>
    </w:p>
    <w:p w14:paraId="63D30295" w14:textId="5995F75A" w:rsidR="00E51AF9" w:rsidRPr="0063068F" w:rsidRDefault="00E51AF9" w:rsidP="00B7545D">
      <w:pPr>
        <w:pStyle w:val="NICCYSubline"/>
        <w:rPr>
          <w:color w:val="404040"/>
          <w:u w:color="FF0000"/>
        </w:rPr>
      </w:pPr>
      <w:r>
        <w:rPr>
          <w:b w:val="0"/>
          <w:color w:val="404040"/>
          <w:u w:color="FF0000"/>
        </w:rPr>
        <w:t xml:space="preserve">NICCY acknowledges </w:t>
      </w:r>
      <w:r w:rsidR="00AA2494">
        <w:rPr>
          <w:b w:val="0"/>
          <w:color w:val="404040"/>
          <w:u w:color="FF0000"/>
        </w:rPr>
        <w:t xml:space="preserve">the Department’s view </w:t>
      </w:r>
      <w:r>
        <w:rPr>
          <w:b w:val="0"/>
          <w:color w:val="404040"/>
          <w:u w:color="FF0000"/>
        </w:rPr>
        <w:t>that the ‘abuse of trust’ offences contained within the Sexual Offences (Northern Ireland) Order 2008 were concerned with statutory</w:t>
      </w:r>
      <w:r w:rsidR="008850DD">
        <w:rPr>
          <w:b w:val="0"/>
          <w:color w:val="404040"/>
          <w:u w:color="FF0000"/>
        </w:rPr>
        <w:t xml:space="preserve"> role and</w:t>
      </w:r>
      <w:r>
        <w:rPr>
          <w:b w:val="0"/>
          <w:color w:val="404040"/>
          <w:u w:color="FF0000"/>
        </w:rPr>
        <w:t xml:space="preserve"> settings (such as teachers in schools)</w:t>
      </w:r>
      <w:r w:rsidR="008850DD">
        <w:rPr>
          <w:b w:val="0"/>
          <w:color w:val="404040"/>
          <w:u w:color="FF0000"/>
        </w:rPr>
        <w:t xml:space="preserve">. However, we </w:t>
      </w:r>
      <w:r w:rsidR="00AA2494">
        <w:rPr>
          <w:b w:val="0"/>
          <w:color w:val="404040"/>
          <w:u w:color="FF0000"/>
        </w:rPr>
        <w:t xml:space="preserve">note </w:t>
      </w:r>
      <w:r>
        <w:rPr>
          <w:b w:val="0"/>
          <w:color w:val="404040"/>
          <w:u w:color="FF0000"/>
        </w:rPr>
        <w:t xml:space="preserve">that this does not reflect either contemporary configurations of how services are delivered on behalf of or </w:t>
      </w:r>
      <w:r w:rsidR="008850DD">
        <w:rPr>
          <w:b w:val="0"/>
          <w:color w:val="404040"/>
          <w:u w:color="FF0000"/>
        </w:rPr>
        <w:t xml:space="preserve">are </w:t>
      </w:r>
      <w:r>
        <w:rPr>
          <w:b w:val="0"/>
          <w:color w:val="404040"/>
          <w:u w:color="FF0000"/>
        </w:rPr>
        <w:t xml:space="preserve">funded by statutory and government agencies (through for example, voluntary, community, sporting and faith based organisations) or </w:t>
      </w:r>
      <w:r w:rsidR="008850DD">
        <w:rPr>
          <w:b w:val="0"/>
          <w:color w:val="404040"/>
          <w:u w:color="FF0000"/>
        </w:rPr>
        <w:t xml:space="preserve">demonstrate </w:t>
      </w:r>
      <w:r>
        <w:rPr>
          <w:b w:val="0"/>
          <w:color w:val="404040"/>
          <w:u w:color="FF0000"/>
        </w:rPr>
        <w:t xml:space="preserve">a </w:t>
      </w:r>
      <w:r w:rsidR="00101D72">
        <w:rPr>
          <w:b w:val="0"/>
          <w:color w:val="404040"/>
          <w:u w:color="FF0000"/>
        </w:rPr>
        <w:t xml:space="preserve">clear </w:t>
      </w:r>
      <w:r>
        <w:rPr>
          <w:b w:val="0"/>
          <w:color w:val="404040"/>
          <w:u w:color="FF0000"/>
        </w:rPr>
        <w:t xml:space="preserve">understanding of the power dynamics of sexual abuse when perpetrated by a person in a position of trust. </w:t>
      </w:r>
      <w:r w:rsidR="00101D72">
        <w:rPr>
          <w:b w:val="0"/>
          <w:color w:val="404040"/>
          <w:u w:color="FF0000"/>
        </w:rPr>
        <w:t xml:space="preserve"> We </w:t>
      </w:r>
      <w:r w:rsidR="00AA2494">
        <w:rPr>
          <w:b w:val="0"/>
          <w:color w:val="404040"/>
          <w:u w:color="FF0000"/>
        </w:rPr>
        <w:t xml:space="preserve">highlight </w:t>
      </w:r>
      <w:r w:rsidR="00101D72">
        <w:rPr>
          <w:b w:val="0"/>
          <w:color w:val="404040"/>
          <w:u w:color="FF0000"/>
        </w:rPr>
        <w:t>that the Government holds clear obligations to protect children and young people in such circumstances</w:t>
      </w:r>
      <w:r w:rsidR="007516B9">
        <w:rPr>
          <w:b w:val="0"/>
          <w:color w:val="404040"/>
          <w:u w:color="FF0000"/>
        </w:rPr>
        <w:t xml:space="preserve">. </w:t>
      </w:r>
    </w:p>
    <w:p w14:paraId="3116F874" w14:textId="77777777" w:rsidR="00E51AF9" w:rsidRDefault="00E51AF9" w:rsidP="00B7545D">
      <w:pPr>
        <w:pStyle w:val="NICCYSubline"/>
        <w:rPr>
          <w:b w:val="0"/>
          <w:color w:val="404040"/>
          <w:u w:color="FF0000"/>
        </w:rPr>
      </w:pPr>
    </w:p>
    <w:p w14:paraId="59464A50" w14:textId="11D9134B" w:rsidR="00E51AF9" w:rsidRDefault="00E51AF9" w:rsidP="00B7545D">
      <w:pPr>
        <w:pStyle w:val="NICCYSubline"/>
        <w:rPr>
          <w:b w:val="0"/>
          <w:color w:val="404040"/>
          <w:u w:color="FF0000"/>
        </w:rPr>
      </w:pPr>
      <w:r>
        <w:rPr>
          <w:b w:val="0"/>
          <w:color w:val="404040"/>
          <w:u w:color="FF0000"/>
        </w:rPr>
        <w:t xml:space="preserve">In relation to </w:t>
      </w:r>
      <w:r w:rsidR="00101D72">
        <w:rPr>
          <w:b w:val="0"/>
          <w:color w:val="404040"/>
          <w:u w:color="FF0000"/>
        </w:rPr>
        <w:t>t</w:t>
      </w:r>
      <w:r>
        <w:rPr>
          <w:b w:val="0"/>
          <w:color w:val="404040"/>
          <w:u w:color="FF0000"/>
        </w:rPr>
        <w:t xml:space="preserve">he Department’s conclusion that there is no evidence of abuse committed against older children in, for example, faith, Scouts or Guides groups </w:t>
      </w:r>
      <w:r w:rsidR="00101D72">
        <w:rPr>
          <w:b w:val="0"/>
          <w:color w:val="404040"/>
          <w:u w:color="FF0000"/>
        </w:rPr>
        <w:t>w</w:t>
      </w:r>
      <w:r>
        <w:rPr>
          <w:b w:val="0"/>
          <w:color w:val="404040"/>
          <w:u w:color="FF0000"/>
        </w:rPr>
        <w:t xml:space="preserve">e request further detail on the evidence reviewed by </w:t>
      </w:r>
      <w:proofErr w:type="spellStart"/>
      <w:r>
        <w:rPr>
          <w:b w:val="0"/>
          <w:color w:val="404040"/>
          <w:u w:color="FF0000"/>
        </w:rPr>
        <w:t>DoJ</w:t>
      </w:r>
      <w:proofErr w:type="spellEnd"/>
      <w:r>
        <w:rPr>
          <w:b w:val="0"/>
          <w:color w:val="404040"/>
          <w:u w:color="FF0000"/>
        </w:rPr>
        <w:t xml:space="preserve"> in making this assessment. </w:t>
      </w:r>
      <w:proofErr w:type="gramStart"/>
      <w:r>
        <w:rPr>
          <w:b w:val="0"/>
          <w:color w:val="404040"/>
          <w:u w:color="FF0000"/>
        </w:rPr>
        <w:t>For example, the Department should be aware that the NSPCC in England found that police were unable to investigate over 650 complaints made to local authorities concerning adults having sex with children aged 16 and 17 years in their care as their roles were not within the scope of current position of trust definitions (these included complaints against those working in sports, faith settings and youth work).</w:t>
      </w:r>
      <w:r w:rsidR="0063068F">
        <w:rPr>
          <w:rStyle w:val="FootnoteReference"/>
          <w:b w:val="0"/>
          <w:color w:val="404040"/>
          <w:u w:color="FF0000"/>
        </w:rPr>
        <w:footnoteReference w:id="13"/>
      </w:r>
      <w:proofErr w:type="gramEnd"/>
      <w:r>
        <w:rPr>
          <w:b w:val="0"/>
          <w:color w:val="404040"/>
          <w:u w:color="FF0000"/>
        </w:rPr>
        <w:t xml:space="preserve"> </w:t>
      </w:r>
      <w:proofErr w:type="spellStart"/>
      <w:r>
        <w:rPr>
          <w:b w:val="0"/>
          <w:color w:val="404040"/>
          <w:u w:color="FF0000"/>
        </w:rPr>
        <w:t>DoJ</w:t>
      </w:r>
      <w:proofErr w:type="spellEnd"/>
      <w:r>
        <w:rPr>
          <w:b w:val="0"/>
          <w:color w:val="404040"/>
          <w:u w:color="FF0000"/>
        </w:rPr>
        <w:t xml:space="preserve"> should also be aware of the ongoing Independent Commission into Child Abuse in England and </w:t>
      </w:r>
      <w:proofErr w:type="gramStart"/>
      <w:r>
        <w:rPr>
          <w:b w:val="0"/>
          <w:color w:val="404040"/>
          <w:u w:color="FF0000"/>
        </w:rPr>
        <w:t>Wales which</w:t>
      </w:r>
      <w:proofErr w:type="gramEnd"/>
      <w:r>
        <w:rPr>
          <w:b w:val="0"/>
          <w:color w:val="404040"/>
          <w:u w:color="FF0000"/>
        </w:rPr>
        <w:t xml:space="preserve"> during its investigation and Truth Project strands of work has heard testimony from victims subjected to sexual abuse in a wide range of settings, including sporting organisations and un</w:t>
      </w:r>
      <w:r w:rsidR="00101D72">
        <w:rPr>
          <w:b w:val="0"/>
          <w:color w:val="404040"/>
          <w:u w:color="FF0000"/>
        </w:rPr>
        <w:t>i</w:t>
      </w:r>
      <w:r>
        <w:rPr>
          <w:b w:val="0"/>
          <w:color w:val="404040"/>
          <w:u w:color="FF0000"/>
        </w:rPr>
        <w:t>formed bodies, such as Scouts.</w:t>
      </w:r>
      <w:r w:rsidR="00871ED3">
        <w:rPr>
          <w:rStyle w:val="FootnoteReference"/>
          <w:b w:val="0"/>
          <w:color w:val="404040"/>
          <w:u w:color="FF0000"/>
        </w:rPr>
        <w:footnoteReference w:id="14"/>
      </w:r>
      <w:r>
        <w:rPr>
          <w:b w:val="0"/>
          <w:color w:val="404040"/>
          <w:u w:color="FF0000"/>
        </w:rPr>
        <w:t xml:space="preserve"> Finally, the Department </w:t>
      </w:r>
      <w:r w:rsidR="00101D72">
        <w:rPr>
          <w:b w:val="0"/>
          <w:color w:val="404040"/>
          <w:u w:color="FF0000"/>
        </w:rPr>
        <w:t xml:space="preserve">should be aware of </w:t>
      </w:r>
      <w:r>
        <w:rPr>
          <w:b w:val="0"/>
          <w:color w:val="404040"/>
          <w:u w:color="FF0000"/>
        </w:rPr>
        <w:t xml:space="preserve">the ongoing safeguarding reviews and investigations into Scouting </w:t>
      </w:r>
      <w:proofErr w:type="gramStart"/>
      <w:r>
        <w:rPr>
          <w:b w:val="0"/>
          <w:color w:val="404040"/>
          <w:u w:color="FF0000"/>
        </w:rPr>
        <w:t>Ireland which</w:t>
      </w:r>
      <w:proofErr w:type="gramEnd"/>
      <w:r>
        <w:rPr>
          <w:b w:val="0"/>
          <w:color w:val="404040"/>
          <w:u w:color="FF0000"/>
        </w:rPr>
        <w:t xml:space="preserve"> are reported </w:t>
      </w:r>
      <w:r>
        <w:rPr>
          <w:b w:val="0"/>
          <w:color w:val="404040"/>
          <w:u w:color="FF0000"/>
        </w:rPr>
        <w:lastRenderedPageBreak/>
        <w:t>to have identified over 31</w:t>
      </w:r>
      <w:r w:rsidR="00AA2494">
        <w:rPr>
          <w:b w:val="0"/>
          <w:color w:val="404040"/>
          <w:u w:color="FF0000"/>
        </w:rPr>
        <w:t>7</w:t>
      </w:r>
      <w:r>
        <w:rPr>
          <w:b w:val="0"/>
          <w:color w:val="404040"/>
          <w:u w:color="FF0000"/>
        </w:rPr>
        <w:t xml:space="preserve"> alleged victims and 2</w:t>
      </w:r>
      <w:r w:rsidR="00AA2494">
        <w:rPr>
          <w:b w:val="0"/>
          <w:color w:val="404040"/>
          <w:u w:color="FF0000"/>
        </w:rPr>
        <w:t>12</w:t>
      </w:r>
      <w:r>
        <w:rPr>
          <w:b w:val="0"/>
          <w:color w:val="404040"/>
          <w:u w:color="FF0000"/>
        </w:rPr>
        <w:t xml:space="preserve"> alleged perpetrators with the author of one of the reviews noting that</w:t>
      </w:r>
      <w:r w:rsidR="004565CF">
        <w:rPr>
          <w:b w:val="0"/>
          <w:color w:val="404040"/>
          <w:u w:color="FF0000"/>
        </w:rPr>
        <w:t>,</w:t>
      </w:r>
      <w:r>
        <w:rPr>
          <w:b w:val="0"/>
          <w:color w:val="404040"/>
          <w:u w:color="FF0000"/>
        </w:rPr>
        <w:t xml:space="preserve"> in line with Scouting Ireland’s status as an all-island body, allegations include victims and perpetrators living in Northern Ireland.</w:t>
      </w:r>
      <w:r w:rsidR="00871ED3">
        <w:rPr>
          <w:rStyle w:val="FootnoteReference"/>
          <w:b w:val="0"/>
          <w:color w:val="404040"/>
          <w:u w:color="FF0000"/>
        </w:rPr>
        <w:footnoteReference w:id="15"/>
      </w:r>
      <w:r>
        <w:rPr>
          <w:b w:val="0"/>
          <w:color w:val="404040"/>
          <w:u w:color="FF0000"/>
        </w:rPr>
        <w:t xml:space="preserve"> NICCY seeks assurances that </w:t>
      </w:r>
      <w:proofErr w:type="spellStart"/>
      <w:r>
        <w:rPr>
          <w:b w:val="0"/>
          <w:color w:val="404040"/>
          <w:u w:color="FF0000"/>
        </w:rPr>
        <w:t>DoJ</w:t>
      </w:r>
      <w:proofErr w:type="spellEnd"/>
      <w:r>
        <w:rPr>
          <w:b w:val="0"/>
          <w:color w:val="404040"/>
          <w:u w:color="FF0000"/>
        </w:rPr>
        <w:t xml:space="preserve"> along with colleagues in the Department of Health have been liaising </w:t>
      </w:r>
      <w:r w:rsidR="00101D72">
        <w:rPr>
          <w:b w:val="0"/>
          <w:color w:val="404040"/>
          <w:u w:color="FF0000"/>
        </w:rPr>
        <w:t>as appropriate with G</w:t>
      </w:r>
      <w:r>
        <w:rPr>
          <w:b w:val="0"/>
          <w:color w:val="404040"/>
          <w:u w:color="FF0000"/>
        </w:rPr>
        <w:t>overnment Departments and statutory agencies in the Republic of Ireland in re</w:t>
      </w:r>
      <w:r w:rsidR="00101D72">
        <w:rPr>
          <w:b w:val="0"/>
          <w:color w:val="404040"/>
          <w:u w:color="FF0000"/>
        </w:rPr>
        <w:t>lation to this</w:t>
      </w:r>
      <w:r>
        <w:rPr>
          <w:b w:val="0"/>
          <w:color w:val="404040"/>
          <w:u w:color="FF0000"/>
        </w:rPr>
        <w:t xml:space="preserve">. </w:t>
      </w:r>
    </w:p>
    <w:p w14:paraId="789DC689" w14:textId="77777777" w:rsidR="00E51AF9" w:rsidRDefault="00E51AF9" w:rsidP="00B7545D">
      <w:pPr>
        <w:pStyle w:val="NICCYSubline"/>
        <w:rPr>
          <w:b w:val="0"/>
          <w:color w:val="404040"/>
          <w:u w:color="FF0000"/>
        </w:rPr>
      </w:pPr>
    </w:p>
    <w:p w14:paraId="57D6700D" w14:textId="1FAE75C3" w:rsidR="00E51AF9" w:rsidRDefault="00E51AF9" w:rsidP="00B7545D">
      <w:pPr>
        <w:pStyle w:val="NICCYSubline"/>
        <w:rPr>
          <w:b w:val="0"/>
          <w:color w:val="404040"/>
          <w:u w:color="FF0000"/>
        </w:rPr>
      </w:pPr>
      <w:proofErr w:type="gramStart"/>
      <w:r>
        <w:rPr>
          <w:b w:val="0"/>
          <w:color w:val="404040"/>
          <w:u w:color="FF0000"/>
        </w:rPr>
        <w:t>In regard to</w:t>
      </w:r>
      <w:proofErr w:type="gramEnd"/>
      <w:r>
        <w:rPr>
          <w:b w:val="0"/>
          <w:color w:val="404040"/>
          <w:u w:color="FF0000"/>
        </w:rPr>
        <w:t xml:space="preserve"> </w:t>
      </w:r>
      <w:r w:rsidR="0022486D">
        <w:rPr>
          <w:b w:val="0"/>
          <w:color w:val="404040"/>
          <w:u w:color="FF0000"/>
        </w:rPr>
        <w:t>Go</w:t>
      </w:r>
      <w:r>
        <w:rPr>
          <w:b w:val="0"/>
          <w:color w:val="404040"/>
          <w:u w:color="FF0000"/>
        </w:rPr>
        <w:t xml:space="preserve">vernment’s European and international obligations in this area, we </w:t>
      </w:r>
      <w:r w:rsidR="00AA2494">
        <w:rPr>
          <w:b w:val="0"/>
          <w:color w:val="404040"/>
          <w:u w:color="FF0000"/>
        </w:rPr>
        <w:t xml:space="preserve">point to </w:t>
      </w:r>
      <w:r>
        <w:rPr>
          <w:b w:val="0"/>
          <w:color w:val="404040"/>
          <w:u w:color="FF0000"/>
        </w:rPr>
        <w:t>the requirement of Article 18(1b) of the Lanzarote Convention th</w:t>
      </w:r>
      <w:r w:rsidR="0022486D">
        <w:rPr>
          <w:b w:val="0"/>
          <w:color w:val="404040"/>
          <w:u w:color="FF0000"/>
        </w:rPr>
        <w:t>at the</w:t>
      </w:r>
      <w:r>
        <w:rPr>
          <w:b w:val="0"/>
          <w:color w:val="404040"/>
          <w:u w:color="FF0000"/>
        </w:rPr>
        <w:t xml:space="preserve"> necessary legislation be in place to ensure that abuse of a recognised position of trust, authority or influence over a child is criminalised.</w:t>
      </w:r>
      <w:r w:rsidR="0022486D">
        <w:rPr>
          <w:rStyle w:val="FootnoteReference"/>
          <w:b w:val="0"/>
          <w:color w:val="404040"/>
          <w:u w:color="FF0000"/>
        </w:rPr>
        <w:footnoteReference w:id="16"/>
      </w:r>
      <w:r w:rsidR="0022486D">
        <w:rPr>
          <w:b w:val="0"/>
          <w:color w:val="404040"/>
          <w:u w:color="FF0000"/>
        </w:rPr>
        <w:t xml:space="preserve"> </w:t>
      </w:r>
      <w:r>
        <w:rPr>
          <w:b w:val="0"/>
          <w:color w:val="404040"/>
          <w:u w:color="FF0000"/>
        </w:rPr>
        <w:t xml:space="preserve">The Lanzarote Committee </w:t>
      </w:r>
      <w:r w:rsidR="0022486D">
        <w:rPr>
          <w:b w:val="0"/>
          <w:color w:val="404040"/>
          <w:u w:color="FF0000"/>
        </w:rPr>
        <w:t xml:space="preserve">who monitor implementation of the Convention </w:t>
      </w:r>
      <w:r>
        <w:rPr>
          <w:b w:val="0"/>
          <w:color w:val="404040"/>
          <w:u w:color="FF0000"/>
        </w:rPr>
        <w:t xml:space="preserve">provide detailed direction on this </w:t>
      </w:r>
      <w:r w:rsidR="0022486D">
        <w:rPr>
          <w:b w:val="0"/>
          <w:color w:val="404040"/>
          <w:u w:color="FF0000"/>
        </w:rPr>
        <w:t xml:space="preserve">and draw attention to the </w:t>
      </w:r>
      <w:r>
        <w:rPr>
          <w:b w:val="0"/>
          <w:color w:val="404040"/>
          <w:u w:color="FF0000"/>
        </w:rPr>
        <w:t xml:space="preserve">‘the circle of trust’ whereby a relationship of trust which has been established with </w:t>
      </w:r>
      <w:r w:rsidR="0022486D">
        <w:rPr>
          <w:b w:val="0"/>
          <w:color w:val="404040"/>
          <w:u w:color="FF0000"/>
        </w:rPr>
        <w:t xml:space="preserve">the </w:t>
      </w:r>
      <w:r>
        <w:rPr>
          <w:b w:val="0"/>
          <w:color w:val="404040"/>
          <w:u w:color="FF0000"/>
        </w:rPr>
        <w:t xml:space="preserve">child in the context of a professional activity </w:t>
      </w:r>
      <w:r w:rsidR="0022486D">
        <w:rPr>
          <w:b w:val="0"/>
          <w:color w:val="404040"/>
          <w:u w:color="FF0000"/>
        </w:rPr>
        <w:t xml:space="preserve">and </w:t>
      </w:r>
      <w:r>
        <w:rPr>
          <w:b w:val="0"/>
          <w:color w:val="404040"/>
          <w:u w:color="FF0000"/>
        </w:rPr>
        <w:t xml:space="preserve">where there is unequal physical, economic, religious or social power is exploited and abused. </w:t>
      </w:r>
      <w:proofErr w:type="gramStart"/>
      <w:r>
        <w:rPr>
          <w:b w:val="0"/>
          <w:color w:val="404040"/>
          <w:u w:color="FF0000"/>
        </w:rPr>
        <w:t>The</w:t>
      </w:r>
      <w:r w:rsidR="0022486D">
        <w:rPr>
          <w:b w:val="0"/>
          <w:color w:val="404040"/>
          <w:u w:color="FF0000"/>
        </w:rPr>
        <w:t xml:space="preserve"> </w:t>
      </w:r>
      <w:r>
        <w:rPr>
          <w:b w:val="0"/>
          <w:color w:val="404040"/>
          <w:u w:color="FF0000"/>
        </w:rPr>
        <w:t xml:space="preserve">Committee </w:t>
      </w:r>
      <w:r w:rsidR="00AA2494">
        <w:rPr>
          <w:b w:val="0"/>
          <w:color w:val="404040"/>
          <w:u w:color="FF0000"/>
        </w:rPr>
        <w:t xml:space="preserve">highlights </w:t>
      </w:r>
      <w:r w:rsidR="008257AF">
        <w:rPr>
          <w:b w:val="0"/>
          <w:color w:val="404040"/>
          <w:u w:color="FF0000"/>
        </w:rPr>
        <w:t>the Convention</w:t>
      </w:r>
      <w:r w:rsidR="00061945">
        <w:rPr>
          <w:b w:val="0"/>
          <w:color w:val="404040"/>
          <w:u w:color="FF0000"/>
        </w:rPr>
        <w:t>’s</w:t>
      </w:r>
      <w:r w:rsidR="008257AF">
        <w:rPr>
          <w:b w:val="0"/>
          <w:color w:val="404040"/>
          <w:u w:color="FF0000"/>
        </w:rPr>
        <w:t xml:space="preserve"> Explanatory Report which </w:t>
      </w:r>
      <w:r w:rsidR="0022486D">
        <w:rPr>
          <w:b w:val="0"/>
          <w:color w:val="404040"/>
          <w:u w:color="FF0000"/>
        </w:rPr>
        <w:t>set</w:t>
      </w:r>
      <w:r w:rsidR="008257AF">
        <w:rPr>
          <w:b w:val="0"/>
          <w:color w:val="404040"/>
          <w:u w:color="FF0000"/>
        </w:rPr>
        <w:t>s</w:t>
      </w:r>
      <w:r w:rsidR="0022486D">
        <w:rPr>
          <w:b w:val="0"/>
          <w:color w:val="404040"/>
          <w:u w:color="FF0000"/>
        </w:rPr>
        <w:t xml:space="preserve"> out </w:t>
      </w:r>
      <w:r>
        <w:rPr>
          <w:b w:val="0"/>
          <w:color w:val="404040"/>
          <w:u w:color="FF0000"/>
        </w:rPr>
        <w:t xml:space="preserve">that </w:t>
      </w:r>
      <w:r w:rsidR="00061945">
        <w:rPr>
          <w:b w:val="0"/>
          <w:color w:val="404040"/>
          <w:u w:color="FF0000"/>
        </w:rPr>
        <w:t xml:space="preserve">such </w:t>
      </w:r>
      <w:r>
        <w:rPr>
          <w:b w:val="0"/>
          <w:color w:val="404040"/>
          <w:u w:color="FF0000"/>
        </w:rPr>
        <w:t>relationships</w:t>
      </w:r>
      <w:r w:rsidR="00061945">
        <w:rPr>
          <w:b w:val="0"/>
          <w:color w:val="404040"/>
          <w:u w:color="FF0000"/>
        </w:rPr>
        <w:t>,</w:t>
      </w:r>
      <w:r>
        <w:rPr>
          <w:b w:val="0"/>
          <w:color w:val="404040"/>
          <w:u w:color="FF0000"/>
        </w:rPr>
        <w:t xml:space="preserve"> </w:t>
      </w:r>
      <w:r w:rsidR="00061945">
        <w:rPr>
          <w:b w:val="0"/>
          <w:color w:val="404040"/>
          <w:u w:color="FF0000"/>
        </w:rPr>
        <w:t>including with</w:t>
      </w:r>
      <w:r w:rsidR="0022486D">
        <w:rPr>
          <w:b w:val="0"/>
          <w:color w:val="404040"/>
          <w:u w:color="FF0000"/>
        </w:rPr>
        <w:t xml:space="preserve">in </w:t>
      </w:r>
      <w:r>
        <w:rPr>
          <w:b w:val="0"/>
          <w:color w:val="404040"/>
          <w:u w:color="FF0000"/>
        </w:rPr>
        <w:t>voluntary and youth organisation</w:t>
      </w:r>
      <w:r w:rsidR="0022486D">
        <w:rPr>
          <w:b w:val="0"/>
          <w:color w:val="404040"/>
          <w:u w:color="FF0000"/>
        </w:rPr>
        <w:t xml:space="preserve"> settings</w:t>
      </w:r>
      <w:r w:rsidR="00061945">
        <w:rPr>
          <w:b w:val="0"/>
          <w:color w:val="404040"/>
          <w:u w:color="FF0000"/>
        </w:rPr>
        <w:t>,</w:t>
      </w:r>
      <w:r w:rsidR="0022486D">
        <w:rPr>
          <w:b w:val="0"/>
          <w:color w:val="404040"/>
          <w:u w:color="FF0000"/>
        </w:rPr>
        <w:t xml:space="preserve"> </w:t>
      </w:r>
      <w:r w:rsidR="00061945">
        <w:rPr>
          <w:b w:val="0"/>
          <w:color w:val="404040"/>
          <w:u w:color="FF0000"/>
        </w:rPr>
        <w:t xml:space="preserve">are within the scope of the Convention </w:t>
      </w:r>
      <w:r w:rsidR="0022486D">
        <w:rPr>
          <w:b w:val="0"/>
          <w:color w:val="404040"/>
          <w:u w:color="FF0000"/>
        </w:rPr>
        <w:t>a</w:t>
      </w:r>
      <w:r>
        <w:rPr>
          <w:b w:val="0"/>
          <w:color w:val="404040"/>
          <w:u w:color="FF0000"/>
        </w:rPr>
        <w:t>nd that</w:t>
      </w:r>
      <w:r w:rsidR="00061945">
        <w:rPr>
          <w:b w:val="0"/>
          <w:color w:val="404040"/>
          <w:u w:color="FF0000"/>
        </w:rPr>
        <w:t xml:space="preserve"> it </w:t>
      </w:r>
      <w:r>
        <w:rPr>
          <w:b w:val="0"/>
          <w:color w:val="404040"/>
          <w:u w:color="FF0000"/>
        </w:rPr>
        <w:t>“provides that children in certain relationships must be protected, even when they have already reached the legal age for sexual activities, even when the person involved does not use coercion, force or threat”</w:t>
      </w:r>
      <w:r w:rsidR="008257AF">
        <w:rPr>
          <w:b w:val="0"/>
          <w:color w:val="404040"/>
          <w:u w:color="FF0000"/>
        </w:rPr>
        <w:t>.</w:t>
      </w:r>
      <w:r w:rsidR="002D72D2">
        <w:rPr>
          <w:rStyle w:val="FootnoteReference"/>
          <w:b w:val="0"/>
          <w:color w:val="404040"/>
          <w:u w:color="FF0000"/>
        </w:rPr>
        <w:footnoteReference w:id="17"/>
      </w:r>
      <w:proofErr w:type="gramEnd"/>
      <w:r>
        <w:rPr>
          <w:b w:val="0"/>
          <w:color w:val="404040"/>
          <w:u w:color="FF0000"/>
        </w:rPr>
        <w:t xml:space="preserve"> </w:t>
      </w:r>
      <w:proofErr w:type="spellStart"/>
      <w:r>
        <w:rPr>
          <w:b w:val="0"/>
          <w:color w:val="404040"/>
          <w:u w:color="FF0000"/>
        </w:rPr>
        <w:t>DoJ</w:t>
      </w:r>
      <w:proofErr w:type="spellEnd"/>
      <w:r>
        <w:rPr>
          <w:b w:val="0"/>
          <w:color w:val="404040"/>
          <w:u w:color="FF0000"/>
        </w:rPr>
        <w:t xml:space="preserve"> must ensure that sexual offences legislation in Northern Ireland complies with the Lanzarote Convention.   </w:t>
      </w:r>
    </w:p>
    <w:p w14:paraId="58958D58" w14:textId="77777777" w:rsidR="007516B9" w:rsidRDefault="007516B9" w:rsidP="007516B9">
      <w:pPr>
        <w:pStyle w:val="NICCYSubline"/>
        <w:rPr>
          <w:color w:val="404040"/>
          <w:u w:color="FF0000"/>
        </w:rPr>
      </w:pPr>
    </w:p>
    <w:p w14:paraId="7C5C5503" w14:textId="4B395BCA" w:rsidR="00E51AF9" w:rsidRDefault="007516B9" w:rsidP="007516B9">
      <w:pPr>
        <w:pStyle w:val="NICCYSubline"/>
        <w:rPr>
          <w:b w:val="0"/>
          <w:color w:val="404040"/>
          <w:u w:color="FF0000"/>
        </w:rPr>
      </w:pPr>
      <w:r w:rsidRPr="007516B9">
        <w:rPr>
          <w:color w:val="404040"/>
          <w:u w:color="FF0000"/>
        </w:rPr>
        <w:t>The Department’s</w:t>
      </w:r>
      <w:r w:rsidRPr="0063068F">
        <w:rPr>
          <w:color w:val="404040"/>
          <w:u w:color="FF0000"/>
        </w:rPr>
        <w:t xml:space="preserve"> proposal not </w:t>
      </w:r>
      <w:r>
        <w:rPr>
          <w:color w:val="404040"/>
          <w:u w:color="FF0000"/>
        </w:rPr>
        <w:t xml:space="preserve">to </w:t>
      </w:r>
      <w:r w:rsidRPr="0063068F">
        <w:rPr>
          <w:color w:val="404040"/>
          <w:u w:color="FF0000"/>
        </w:rPr>
        <w:t xml:space="preserve">extend abuse of trust offences and not </w:t>
      </w:r>
      <w:r>
        <w:rPr>
          <w:color w:val="404040"/>
          <w:u w:color="FF0000"/>
        </w:rPr>
        <w:t xml:space="preserve">to </w:t>
      </w:r>
      <w:r w:rsidRPr="0063068F">
        <w:rPr>
          <w:color w:val="404040"/>
          <w:u w:color="FF0000"/>
        </w:rPr>
        <w:t xml:space="preserve">address the protection and 16 and 17 year olds is disappointing and NICCY recommends </w:t>
      </w:r>
      <w:r w:rsidR="00AA2494">
        <w:rPr>
          <w:color w:val="404040"/>
          <w:u w:color="FF0000"/>
        </w:rPr>
        <w:t xml:space="preserve">that </w:t>
      </w:r>
      <w:r w:rsidRPr="0063068F">
        <w:rPr>
          <w:color w:val="404040"/>
          <w:u w:color="FF0000"/>
        </w:rPr>
        <w:t xml:space="preserve">this </w:t>
      </w:r>
      <w:proofErr w:type="gramStart"/>
      <w:r w:rsidRPr="0063068F">
        <w:rPr>
          <w:color w:val="404040"/>
          <w:u w:color="FF0000"/>
        </w:rPr>
        <w:t>is</w:t>
      </w:r>
      <w:proofErr w:type="gramEnd"/>
      <w:r w:rsidRPr="0063068F">
        <w:rPr>
          <w:color w:val="404040"/>
          <w:u w:color="FF0000"/>
        </w:rPr>
        <w:t xml:space="preserve"> reconsidered.</w:t>
      </w:r>
    </w:p>
    <w:p w14:paraId="7D365171" w14:textId="77777777" w:rsidR="007516B9" w:rsidRDefault="007516B9" w:rsidP="00B7545D">
      <w:pPr>
        <w:pStyle w:val="NICCYSubline"/>
        <w:rPr>
          <w:b w:val="0"/>
          <w:color w:val="FF0000"/>
          <w:u w:color="FF0000"/>
        </w:rPr>
      </w:pPr>
    </w:p>
    <w:p w14:paraId="27DF57E9" w14:textId="77777777" w:rsidR="00E51AF9" w:rsidRPr="002D72D2" w:rsidRDefault="00E51AF9" w:rsidP="00B7545D">
      <w:pPr>
        <w:pStyle w:val="NICCYSubline"/>
        <w:rPr>
          <w:b w:val="0"/>
          <w:color w:val="FF0000"/>
          <w:u w:color="FF0000"/>
        </w:rPr>
      </w:pPr>
      <w:r w:rsidRPr="002D72D2">
        <w:rPr>
          <w:b w:val="0"/>
          <w:color w:val="FF0000"/>
          <w:u w:color="FF0000"/>
        </w:rPr>
        <w:t>Indecent ‘self’ images of children under 18</w:t>
      </w:r>
    </w:p>
    <w:p w14:paraId="3E3C42DD" w14:textId="153F8BE4" w:rsidR="00E51AF9" w:rsidRDefault="00E51AF9" w:rsidP="00B7545D">
      <w:pPr>
        <w:pStyle w:val="NICCYSubline"/>
        <w:rPr>
          <w:b w:val="0"/>
          <w:color w:val="404040"/>
          <w:u w:color="FF0000"/>
        </w:rPr>
      </w:pPr>
      <w:r>
        <w:rPr>
          <w:b w:val="0"/>
          <w:color w:val="404040"/>
          <w:u w:color="FF0000"/>
        </w:rPr>
        <w:t xml:space="preserve">NICCY has repeatedly expressed concern about the current situation regarding user generated images whereby children and young people who share images of themselves by ‘sexting’ with no malicious intent are at risk of criminalisation which can consequently significantly inhibit their ability to report concerns and fears about the potential further </w:t>
      </w:r>
      <w:r>
        <w:rPr>
          <w:b w:val="0"/>
          <w:color w:val="404040"/>
          <w:u w:color="FF0000"/>
        </w:rPr>
        <w:lastRenderedPageBreak/>
        <w:t xml:space="preserve">sharing and use of the image by others. As the Department recognises, this can lead to children being increasingly vulnerable and isolated and, in turn, </w:t>
      </w:r>
      <w:r w:rsidR="00675400">
        <w:rPr>
          <w:b w:val="0"/>
          <w:color w:val="404040"/>
          <w:u w:color="FF0000"/>
        </w:rPr>
        <w:t>a</w:t>
      </w:r>
      <w:r>
        <w:rPr>
          <w:b w:val="0"/>
          <w:color w:val="404040"/>
          <w:u w:color="FF0000"/>
        </w:rPr>
        <w:t xml:space="preserve">t greater risk of further abuse, exploitation and harm. </w:t>
      </w:r>
    </w:p>
    <w:p w14:paraId="28DDDB1F" w14:textId="77777777" w:rsidR="00E51AF9" w:rsidRDefault="00E51AF9" w:rsidP="00B7545D">
      <w:pPr>
        <w:pStyle w:val="NICCYSubline"/>
        <w:rPr>
          <w:b w:val="0"/>
          <w:color w:val="404040"/>
          <w:u w:color="FF0000"/>
        </w:rPr>
      </w:pPr>
    </w:p>
    <w:p w14:paraId="622C0F00" w14:textId="46FC971B" w:rsidR="00E51AF9" w:rsidRDefault="00E51AF9" w:rsidP="00B7545D">
      <w:pPr>
        <w:pStyle w:val="NICCYSubline"/>
        <w:rPr>
          <w:b w:val="0"/>
          <w:color w:val="404040"/>
          <w:u w:color="FF0000"/>
        </w:rPr>
      </w:pPr>
      <w:proofErr w:type="gramStart"/>
      <w:r>
        <w:rPr>
          <w:b w:val="0"/>
          <w:color w:val="404040"/>
          <w:u w:color="FF0000"/>
        </w:rPr>
        <w:t xml:space="preserve">While we acknowledge that the stated position of PSNI is that such cases will be treated sensitively and </w:t>
      </w:r>
      <w:r w:rsidR="00675400">
        <w:rPr>
          <w:b w:val="0"/>
          <w:color w:val="404040"/>
          <w:u w:color="FF0000"/>
        </w:rPr>
        <w:t xml:space="preserve">on </w:t>
      </w:r>
      <w:r w:rsidR="00C23038">
        <w:rPr>
          <w:b w:val="0"/>
          <w:color w:val="404040"/>
          <w:u w:color="FF0000"/>
        </w:rPr>
        <w:t xml:space="preserve">an </w:t>
      </w:r>
      <w:r>
        <w:rPr>
          <w:b w:val="0"/>
          <w:color w:val="404040"/>
          <w:u w:color="FF0000"/>
        </w:rPr>
        <w:t>individual</w:t>
      </w:r>
      <w:r w:rsidR="00675400">
        <w:rPr>
          <w:b w:val="0"/>
          <w:color w:val="404040"/>
          <w:u w:color="FF0000"/>
        </w:rPr>
        <w:t xml:space="preserve"> </w:t>
      </w:r>
      <w:r w:rsidR="00C23038">
        <w:rPr>
          <w:b w:val="0"/>
          <w:color w:val="404040"/>
          <w:u w:color="FF0000"/>
        </w:rPr>
        <w:t xml:space="preserve">basis </w:t>
      </w:r>
      <w:r>
        <w:rPr>
          <w:b w:val="0"/>
          <w:color w:val="404040"/>
          <w:u w:color="FF0000"/>
        </w:rPr>
        <w:t xml:space="preserve">to minimise risks of criminalisation and that cases will be discussed with PPS at an early stage without a formal investigation being established, NICCY </w:t>
      </w:r>
      <w:r w:rsidR="005D63B7">
        <w:rPr>
          <w:b w:val="0"/>
          <w:color w:val="404040"/>
          <w:u w:color="FF0000"/>
        </w:rPr>
        <w:t xml:space="preserve">does not view this as an </w:t>
      </w:r>
      <w:r>
        <w:rPr>
          <w:b w:val="0"/>
          <w:color w:val="404040"/>
          <w:u w:color="FF0000"/>
        </w:rPr>
        <w:t>adequate response to ensuring that children feel safe to report concerns regarding the sharing of images or to seek support in cases of threat or blackmail.</w:t>
      </w:r>
      <w:proofErr w:type="gramEnd"/>
      <w:r>
        <w:rPr>
          <w:b w:val="0"/>
          <w:color w:val="404040"/>
          <w:u w:color="FF0000"/>
        </w:rPr>
        <w:t xml:space="preserve"> </w:t>
      </w:r>
      <w:r w:rsidR="005D63B7">
        <w:rPr>
          <w:b w:val="0"/>
          <w:color w:val="404040"/>
          <w:u w:color="FF0000"/>
        </w:rPr>
        <w:t>W</w:t>
      </w:r>
      <w:r>
        <w:rPr>
          <w:b w:val="0"/>
          <w:color w:val="404040"/>
          <w:u w:color="FF0000"/>
        </w:rPr>
        <w:t xml:space="preserve">e </w:t>
      </w:r>
      <w:r w:rsidR="005D63B7">
        <w:rPr>
          <w:b w:val="0"/>
          <w:color w:val="404040"/>
          <w:u w:color="FF0000"/>
        </w:rPr>
        <w:t xml:space="preserve">also </w:t>
      </w:r>
      <w:r>
        <w:rPr>
          <w:b w:val="0"/>
          <w:color w:val="404040"/>
          <w:u w:color="FF0000"/>
        </w:rPr>
        <w:t xml:space="preserve">note that the stated position of PSNI does not represent guidance which PPS are directed to follow in their decision making regarding prosecution.   </w:t>
      </w:r>
    </w:p>
    <w:p w14:paraId="4F484B91" w14:textId="77777777" w:rsidR="00E51AF9" w:rsidRDefault="00E51AF9" w:rsidP="00B7545D">
      <w:pPr>
        <w:pStyle w:val="NICCYSubline"/>
        <w:rPr>
          <w:b w:val="0"/>
          <w:color w:val="404040"/>
          <w:u w:color="FF0000"/>
        </w:rPr>
      </w:pPr>
    </w:p>
    <w:p w14:paraId="2387C7FA" w14:textId="04B835C6" w:rsidR="00E51AF9" w:rsidRDefault="005D63B7" w:rsidP="00B7545D">
      <w:pPr>
        <w:pStyle w:val="NICCYSubline"/>
        <w:rPr>
          <w:b w:val="0"/>
          <w:color w:val="404040"/>
          <w:u w:color="FF0000"/>
        </w:rPr>
      </w:pPr>
      <w:r>
        <w:rPr>
          <w:b w:val="0"/>
          <w:color w:val="404040"/>
          <w:u w:color="FF0000"/>
        </w:rPr>
        <w:t xml:space="preserve">NICCY </w:t>
      </w:r>
      <w:r w:rsidR="00E51AF9">
        <w:rPr>
          <w:b w:val="0"/>
          <w:color w:val="404040"/>
          <w:u w:color="FF0000"/>
        </w:rPr>
        <w:t>do</w:t>
      </w:r>
      <w:r>
        <w:rPr>
          <w:b w:val="0"/>
          <w:color w:val="404040"/>
          <w:u w:color="FF0000"/>
        </w:rPr>
        <w:t>es</w:t>
      </w:r>
      <w:r w:rsidR="00E51AF9">
        <w:rPr>
          <w:b w:val="0"/>
          <w:color w:val="404040"/>
          <w:u w:color="FF0000"/>
        </w:rPr>
        <w:t xml:space="preserve"> however </w:t>
      </w:r>
      <w:r>
        <w:rPr>
          <w:b w:val="0"/>
          <w:color w:val="404040"/>
          <w:u w:color="FF0000"/>
        </w:rPr>
        <w:t xml:space="preserve">recognise </w:t>
      </w:r>
      <w:r w:rsidR="00E51AF9">
        <w:rPr>
          <w:b w:val="0"/>
          <w:color w:val="404040"/>
          <w:u w:color="FF0000"/>
        </w:rPr>
        <w:t xml:space="preserve">the complexity of this </w:t>
      </w:r>
      <w:r w:rsidR="00C23038">
        <w:rPr>
          <w:b w:val="0"/>
          <w:color w:val="404040"/>
          <w:u w:color="FF0000"/>
        </w:rPr>
        <w:t>issue</w:t>
      </w:r>
      <w:r w:rsidR="00E51AF9">
        <w:rPr>
          <w:b w:val="0"/>
          <w:color w:val="404040"/>
          <w:u w:color="FF0000"/>
        </w:rPr>
        <w:t xml:space="preserve"> and note</w:t>
      </w:r>
      <w:r>
        <w:rPr>
          <w:b w:val="0"/>
          <w:color w:val="404040"/>
          <w:u w:color="FF0000"/>
        </w:rPr>
        <w:t>s</w:t>
      </w:r>
      <w:r w:rsidR="00E51AF9">
        <w:rPr>
          <w:b w:val="0"/>
          <w:color w:val="404040"/>
          <w:u w:color="FF0000"/>
        </w:rPr>
        <w:t xml:space="preserve"> the importance of</w:t>
      </w:r>
      <w:r w:rsidR="00C23038">
        <w:rPr>
          <w:b w:val="0"/>
          <w:color w:val="404040"/>
          <w:u w:color="FF0000"/>
        </w:rPr>
        <w:t>, for instance,</w:t>
      </w:r>
      <w:r w:rsidR="00E51AF9">
        <w:rPr>
          <w:b w:val="0"/>
          <w:color w:val="404040"/>
          <w:u w:color="FF0000"/>
        </w:rPr>
        <w:t xml:space="preserve"> ensuring that young people who share images</w:t>
      </w:r>
      <w:r>
        <w:rPr>
          <w:b w:val="0"/>
          <w:color w:val="404040"/>
          <w:u w:color="FF0000"/>
        </w:rPr>
        <w:t xml:space="preserve"> </w:t>
      </w:r>
      <w:r w:rsidR="00E51AF9">
        <w:rPr>
          <w:b w:val="0"/>
          <w:color w:val="404040"/>
          <w:u w:color="FF0000"/>
        </w:rPr>
        <w:t xml:space="preserve">with malicious intent and/or to cause distress are appropriately responded to and </w:t>
      </w:r>
      <w:proofErr w:type="gramStart"/>
      <w:r w:rsidR="00E51AF9">
        <w:rPr>
          <w:b w:val="0"/>
          <w:color w:val="404040"/>
          <w:u w:color="FF0000"/>
        </w:rPr>
        <w:t>that children</w:t>
      </w:r>
      <w:proofErr w:type="gramEnd"/>
      <w:r w:rsidR="00E51AF9">
        <w:rPr>
          <w:b w:val="0"/>
          <w:color w:val="404040"/>
          <w:u w:color="FF0000"/>
        </w:rPr>
        <w:t xml:space="preserve"> are protected from being bullied or groomed into sharing images by young people under 18 years old. We also recognise concerns that images taken by children ‘sexting’ could then be acquired and distributed by adults who pose a risk to children.</w:t>
      </w:r>
    </w:p>
    <w:p w14:paraId="2B0F948B" w14:textId="77777777" w:rsidR="00E51AF9" w:rsidRDefault="00E51AF9" w:rsidP="00B7545D">
      <w:pPr>
        <w:pStyle w:val="NICCYSubline"/>
        <w:rPr>
          <w:b w:val="0"/>
          <w:color w:val="404040"/>
          <w:u w:color="FF0000"/>
        </w:rPr>
      </w:pPr>
    </w:p>
    <w:p w14:paraId="11E4AF03" w14:textId="14E9FF0C" w:rsidR="00414236" w:rsidRDefault="00E51AF9" w:rsidP="00D331BC">
      <w:pPr>
        <w:pStyle w:val="NICCYSubline"/>
        <w:rPr>
          <w:b w:val="0"/>
          <w:color w:val="404040"/>
          <w:u w:color="FF0000"/>
        </w:rPr>
      </w:pPr>
      <w:r>
        <w:rPr>
          <w:b w:val="0"/>
          <w:color w:val="404040"/>
          <w:u w:color="FF0000"/>
        </w:rPr>
        <w:t>NICCY followed the debate of the Justice Committee on this issue with interest, particularly in regard to the use of a ‘malicious intent’ requirement.</w:t>
      </w:r>
      <w:r w:rsidR="005D63B7">
        <w:rPr>
          <w:rStyle w:val="FootnoteReference"/>
          <w:b w:val="0"/>
          <w:color w:val="404040"/>
          <w:u w:color="FF0000"/>
        </w:rPr>
        <w:footnoteReference w:id="18"/>
      </w:r>
      <w:r>
        <w:rPr>
          <w:b w:val="0"/>
          <w:color w:val="404040"/>
          <w:u w:color="FF0000"/>
        </w:rPr>
        <w:t xml:space="preserve"> </w:t>
      </w:r>
      <w:r w:rsidRPr="00012056">
        <w:rPr>
          <w:b w:val="0"/>
          <w:color w:val="404040"/>
          <w:u w:color="FF0000"/>
        </w:rPr>
        <w:t>We note that the Department has explored the potential application of such a requirement with PSNI and PPS and are disappointed th</w:t>
      </w:r>
      <w:r w:rsidR="00DB1C8E" w:rsidRPr="00012056">
        <w:rPr>
          <w:b w:val="0"/>
          <w:color w:val="404040"/>
          <w:u w:color="FF0000"/>
        </w:rPr>
        <w:t>at neither this</w:t>
      </w:r>
      <w:r w:rsidR="00932E43" w:rsidRPr="00012056">
        <w:rPr>
          <w:b w:val="0"/>
          <w:color w:val="404040"/>
          <w:u w:color="FF0000"/>
        </w:rPr>
        <w:t>, or other exceptions,</w:t>
      </w:r>
      <w:r w:rsidRPr="00012056">
        <w:rPr>
          <w:b w:val="0"/>
          <w:color w:val="404040"/>
          <w:u w:color="FF0000"/>
        </w:rPr>
        <w:t xml:space="preserve"> </w:t>
      </w:r>
      <w:r w:rsidR="00DB1C8E" w:rsidRPr="00012056">
        <w:rPr>
          <w:b w:val="0"/>
          <w:color w:val="404040"/>
          <w:u w:color="FF0000"/>
        </w:rPr>
        <w:t>are b</w:t>
      </w:r>
      <w:r w:rsidRPr="00012056">
        <w:rPr>
          <w:b w:val="0"/>
          <w:color w:val="404040"/>
          <w:u w:color="FF0000"/>
        </w:rPr>
        <w:t xml:space="preserve">eing further examined. </w:t>
      </w:r>
      <w:r w:rsidR="00D331BC">
        <w:rPr>
          <w:b w:val="0"/>
          <w:color w:val="404040"/>
          <w:u w:color="FF0000"/>
        </w:rPr>
        <w:t xml:space="preserve">We also seek clarification on whether the Department has examined the development of PPS guidance to provide further clarity on this </w:t>
      </w:r>
      <w:r w:rsidR="00C23038">
        <w:rPr>
          <w:b w:val="0"/>
          <w:color w:val="404040"/>
          <w:u w:color="FF0000"/>
        </w:rPr>
        <w:t>area</w:t>
      </w:r>
      <w:r w:rsidR="00D331BC">
        <w:rPr>
          <w:b w:val="0"/>
          <w:color w:val="404040"/>
          <w:u w:color="FF0000"/>
        </w:rPr>
        <w:t xml:space="preserve">. </w:t>
      </w:r>
      <w:proofErr w:type="gramStart"/>
      <w:r w:rsidR="00D331BC">
        <w:rPr>
          <w:b w:val="0"/>
          <w:color w:val="404040"/>
          <w:u w:color="FF0000"/>
        </w:rPr>
        <w:t xml:space="preserve">Such guidance could highlight that the intention of legislation is to protect (rather than inappropriately punish) children and that it would generally not be in the public interest to prosecute the consensual sharing of images </w:t>
      </w:r>
      <w:r w:rsidR="00C23038">
        <w:rPr>
          <w:b w:val="0"/>
          <w:color w:val="404040"/>
          <w:u w:color="FF0000"/>
        </w:rPr>
        <w:t>(</w:t>
      </w:r>
      <w:r w:rsidR="00D331BC">
        <w:rPr>
          <w:b w:val="0"/>
          <w:color w:val="404040"/>
          <w:u w:color="FF0000"/>
        </w:rPr>
        <w:t>where ‘sexting’ was not abusive or persistent and there was no evidence of bullying, grooming, exploitation or malicious intent</w:t>
      </w:r>
      <w:r w:rsidR="00C23038">
        <w:rPr>
          <w:b w:val="0"/>
          <w:color w:val="404040"/>
          <w:u w:color="FF0000"/>
        </w:rPr>
        <w:t>)</w:t>
      </w:r>
      <w:r w:rsidR="00D331BC">
        <w:rPr>
          <w:b w:val="0"/>
          <w:color w:val="404040"/>
          <w:u w:color="FF0000"/>
        </w:rPr>
        <w:t xml:space="preserve"> as has been issued by the Crown Prosecution Service in England and Wales.</w:t>
      </w:r>
      <w:r w:rsidR="00D331BC">
        <w:rPr>
          <w:rStyle w:val="FootnoteReference"/>
          <w:b w:val="0"/>
          <w:color w:val="404040"/>
          <w:u w:color="FF0000"/>
        </w:rPr>
        <w:footnoteReference w:id="19"/>
      </w:r>
      <w:proofErr w:type="gramEnd"/>
      <w:r w:rsidR="00D331BC">
        <w:rPr>
          <w:b w:val="0"/>
          <w:color w:val="404040"/>
          <w:u w:color="FF0000"/>
        </w:rPr>
        <w:t xml:space="preserve"> </w:t>
      </w:r>
    </w:p>
    <w:p w14:paraId="762D5D28" w14:textId="77777777" w:rsidR="00414236" w:rsidRDefault="00414236" w:rsidP="00D331BC">
      <w:pPr>
        <w:pStyle w:val="NICCYSubline"/>
        <w:rPr>
          <w:b w:val="0"/>
          <w:color w:val="404040"/>
          <w:u w:color="FF0000"/>
        </w:rPr>
      </w:pPr>
    </w:p>
    <w:p w14:paraId="1DD1791C" w14:textId="0C96583C" w:rsidR="00695454" w:rsidRDefault="00414236" w:rsidP="00695454">
      <w:pPr>
        <w:pStyle w:val="NICCYSubline"/>
        <w:rPr>
          <w:b w:val="0"/>
          <w:color w:val="404040"/>
          <w:u w:color="FF0000"/>
        </w:rPr>
      </w:pPr>
      <w:r>
        <w:rPr>
          <w:b w:val="0"/>
          <w:color w:val="404040"/>
          <w:u w:color="FF0000"/>
        </w:rPr>
        <w:t>NICCY also r</w:t>
      </w:r>
      <w:r w:rsidR="00D331BC">
        <w:rPr>
          <w:b w:val="0"/>
          <w:color w:val="404040"/>
          <w:u w:color="FF0000"/>
        </w:rPr>
        <w:t>equest</w:t>
      </w:r>
      <w:r>
        <w:rPr>
          <w:b w:val="0"/>
          <w:color w:val="404040"/>
          <w:u w:color="FF0000"/>
        </w:rPr>
        <w:t>s</w:t>
      </w:r>
      <w:r w:rsidR="00D331BC">
        <w:rPr>
          <w:b w:val="0"/>
          <w:color w:val="404040"/>
          <w:u w:color="FF0000"/>
        </w:rPr>
        <w:t xml:space="preserve"> information on whether </w:t>
      </w:r>
      <w:proofErr w:type="spellStart"/>
      <w:r w:rsidR="00D331BC">
        <w:rPr>
          <w:b w:val="0"/>
          <w:color w:val="404040"/>
          <w:u w:color="FF0000"/>
        </w:rPr>
        <w:t>DoJ</w:t>
      </w:r>
      <w:proofErr w:type="spellEnd"/>
      <w:r w:rsidR="00D331BC">
        <w:rPr>
          <w:b w:val="0"/>
          <w:color w:val="404040"/>
          <w:u w:color="FF0000"/>
        </w:rPr>
        <w:t xml:space="preserve"> has consulted with colleagues in </w:t>
      </w:r>
      <w:r w:rsidR="00D331BC">
        <w:rPr>
          <w:b w:val="0"/>
          <w:color w:val="404040"/>
          <w:u w:color="FF0000"/>
        </w:rPr>
        <w:lastRenderedPageBreak/>
        <w:t>England and Wales on the application of ‘outcome 21’ which was introduced by the Home Office, supported by the Policing College, to enable reported incidents of ‘sexting’ to be recorded without formal action being taken and the record being unlikely to be disclosed in criminal records checks.</w:t>
      </w:r>
      <w:r w:rsidR="00D331BC">
        <w:rPr>
          <w:rStyle w:val="FootnoteReference"/>
          <w:b w:val="0"/>
          <w:color w:val="404040"/>
          <w:u w:color="FF0000"/>
        </w:rPr>
        <w:footnoteReference w:id="20"/>
      </w:r>
      <w:r w:rsidR="00D331BC">
        <w:rPr>
          <w:b w:val="0"/>
          <w:color w:val="404040"/>
          <w:u w:color="FF0000"/>
        </w:rPr>
        <w:t xml:space="preserve"> Finally, we ask that the Department </w:t>
      </w:r>
      <w:proofErr w:type="gramStart"/>
      <w:r w:rsidR="00D331BC">
        <w:rPr>
          <w:b w:val="0"/>
          <w:color w:val="404040"/>
          <w:u w:color="FF0000"/>
        </w:rPr>
        <w:t>updates</w:t>
      </w:r>
      <w:proofErr w:type="gramEnd"/>
      <w:r w:rsidR="00D331BC">
        <w:rPr>
          <w:b w:val="0"/>
          <w:color w:val="404040"/>
          <w:u w:color="FF0000"/>
        </w:rPr>
        <w:t xml:space="preserve"> NICCY on consideration being given to the development of a contact point, as recommended by the UN Committee on the Rights of the Child, which </w:t>
      </w:r>
      <w:r w:rsidR="00C23038">
        <w:rPr>
          <w:b w:val="0"/>
          <w:color w:val="404040"/>
          <w:u w:color="FF0000"/>
        </w:rPr>
        <w:t xml:space="preserve">would </w:t>
      </w:r>
      <w:r w:rsidR="00D331BC">
        <w:rPr>
          <w:b w:val="0"/>
          <w:color w:val="404040"/>
          <w:u w:color="FF0000"/>
        </w:rPr>
        <w:t>allow children to report self-generated sexual content to a relevant authority which then ensures the removal of prejudicial or harmful content involving children.</w:t>
      </w:r>
      <w:r w:rsidR="00D331BC">
        <w:rPr>
          <w:rStyle w:val="FootnoteReference"/>
          <w:b w:val="0"/>
          <w:color w:val="404040"/>
          <w:u w:color="FF0000"/>
        </w:rPr>
        <w:footnoteReference w:id="21"/>
      </w:r>
      <w:r w:rsidR="00D331BC">
        <w:rPr>
          <w:b w:val="0"/>
          <w:color w:val="404040"/>
          <w:u w:color="FF0000"/>
        </w:rPr>
        <w:t xml:space="preserve"> </w:t>
      </w:r>
    </w:p>
    <w:p w14:paraId="5189D18A" w14:textId="77777777" w:rsidR="00695454" w:rsidRDefault="00695454" w:rsidP="00695454">
      <w:pPr>
        <w:pStyle w:val="NICCYSubline"/>
        <w:rPr>
          <w:b w:val="0"/>
          <w:color w:val="404040"/>
          <w:u w:color="FF0000"/>
        </w:rPr>
      </w:pPr>
    </w:p>
    <w:p w14:paraId="7B6917F7" w14:textId="7FC04741" w:rsidR="00695454" w:rsidRPr="00012056" w:rsidRDefault="007F73AB" w:rsidP="00695454">
      <w:pPr>
        <w:pStyle w:val="NICCYSubline"/>
        <w:rPr>
          <w:b w:val="0"/>
          <w:color w:val="404040" w:themeColor="text1" w:themeTint="BF"/>
        </w:rPr>
      </w:pPr>
      <w:r w:rsidRPr="00012056">
        <w:rPr>
          <w:b w:val="0"/>
          <w:color w:val="404040" w:themeColor="text1" w:themeTint="BF"/>
          <w:u w:color="FF0000"/>
        </w:rPr>
        <w:t>I</w:t>
      </w:r>
      <w:r w:rsidR="00414236" w:rsidRPr="00012056">
        <w:rPr>
          <w:b w:val="0"/>
          <w:color w:val="404040" w:themeColor="text1" w:themeTint="BF"/>
          <w:u w:color="FF0000"/>
        </w:rPr>
        <w:t xml:space="preserve">t is the Commissioner’s view that the current position </w:t>
      </w:r>
      <w:r w:rsidR="00C23038">
        <w:rPr>
          <w:b w:val="0"/>
          <w:color w:val="404040" w:themeColor="text1" w:themeTint="BF"/>
          <w:u w:color="FF0000"/>
        </w:rPr>
        <w:t xml:space="preserve">on indecent ‘self’ images </w:t>
      </w:r>
      <w:r w:rsidR="00414236" w:rsidRPr="00012056">
        <w:rPr>
          <w:b w:val="0"/>
          <w:color w:val="404040" w:themeColor="text1" w:themeTint="BF"/>
          <w:u w:color="FF0000"/>
        </w:rPr>
        <w:t>does not achieve balance between protecting children and ensuring th</w:t>
      </w:r>
      <w:r w:rsidR="00695454" w:rsidRPr="00012056">
        <w:rPr>
          <w:b w:val="0"/>
          <w:color w:val="404040" w:themeColor="text1" w:themeTint="BF"/>
          <w:u w:color="FF0000"/>
        </w:rPr>
        <w:t>at they</w:t>
      </w:r>
      <w:r w:rsidR="00414236" w:rsidRPr="00012056">
        <w:rPr>
          <w:b w:val="0"/>
          <w:color w:val="404040" w:themeColor="text1" w:themeTint="BF"/>
          <w:u w:color="FF0000"/>
        </w:rPr>
        <w:t xml:space="preserve"> can be confident in seeking help while allowing </w:t>
      </w:r>
      <w:proofErr w:type="gramStart"/>
      <w:r w:rsidR="00414236" w:rsidRPr="00012056">
        <w:rPr>
          <w:b w:val="0"/>
          <w:color w:val="404040" w:themeColor="text1" w:themeTint="BF"/>
          <w:u w:color="FF0000"/>
        </w:rPr>
        <w:t>offences which</w:t>
      </w:r>
      <w:proofErr w:type="gramEnd"/>
      <w:r w:rsidR="00414236" w:rsidRPr="00012056">
        <w:rPr>
          <w:b w:val="0"/>
          <w:color w:val="404040" w:themeColor="text1" w:themeTint="BF"/>
          <w:u w:color="FF0000"/>
        </w:rPr>
        <w:t xml:space="preserve"> should be investigated to be progressed. </w:t>
      </w:r>
      <w:proofErr w:type="gramStart"/>
      <w:r w:rsidR="00695454" w:rsidRPr="00012056">
        <w:rPr>
          <w:b w:val="0"/>
          <w:color w:val="404040" w:themeColor="text1" w:themeTint="BF"/>
          <w:u w:color="FF0000"/>
        </w:rPr>
        <w:t>W</w:t>
      </w:r>
      <w:r w:rsidRPr="00012056">
        <w:rPr>
          <w:b w:val="0"/>
          <w:color w:val="404040" w:themeColor="text1" w:themeTint="BF"/>
          <w:u w:color="FF0000"/>
        </w:rPr>
        <w:t>hile w</w:t>
      </w:r>
      <w:r w:rsidR="00695454" w:rsidRPr="00012056">
        <w:rPr>
          <w:b w:val="0"/>
          <w:color w:val="404040" w:themeColor="text1" w:themeTint="BF"/>
          <w:u w:color="FF0000"/>
        </w:rPr>
        <w:t xml:space="preserve">e are </w:t>
      </w:r>
      <w:r w:rsidR="00695454" w:rsidRPr="00012056">
        <w:rPr>
          <w:b w:val="0"/>
          <w:color w:val="404040" w:themeColor="text1" w:themeTint="BF"/>
        </w:rPr>
        <w:t xml:space="preserve">mindful of the need to </w:t>
      </w:r>
      <w:r w:rsidR="00386982" w:rsidRPr="00012056">
        <w:rPr>
          <w:b w:val="0"/>
          <w:color w:val="404040" w:themeColor="text1" w:themeTint="BF"/>
        </w:rPr>
        <w:t xml:space="preserve">make sure </w:t>
      </w:r>
      <w:r w:rsidR="00695454" w:rsidRPr="00012056">
        <w:rPr>
          <w:b w:val="0"/>
          <w:color w:val="404040" w:themeColor="text1" w:themeTint="BF"/>
        </w:rPr>
        <w:t xml:space="preserve">that any proposals do not create an unintended legislative </w:t>
      </w:r>
      <w:r w:rsidRPr="00012056">
        <w:rPr>
          <w:b w:val="0"/>
          <w:color w:val="404040" w:themeColor="text1" w:themeTint="BF"/>
        </w:rPr>
        <w:t>gap and that statutory agencies</w:t>
      </w:r>
      <w:r w:rsidR="00386982" w:rsidRPr="00012056">
        <w:rPr>
          <w:b w:val="0"/>
          <w:color w:val="404040" w:themeColor="text1" w:themeTint="BF"/>
        </w:rPr>
        <w:t xml:space="preserve"> should </w:t>
      </w:r>
      <w:r w:rsidRPr="00012056">
        <w:rPr>
          <w:b w:val="0"/>
          <w:color w:val="404040" w:themeColor="text1" w:themeTint="BF"/>
        </w:rPr>
        <w:t xml:space="preserve">be able to act in cases where images </w:t>
      </w:r>
      <w:r w:rsidR="00386982" w:rsidRPr="00012056">
        <w:rPr>
          <w:b w:val="0"/>
          <w:color w:val="404040" w:themeColor="text1" w:themeTint="BF"/>
        </w:rPr>
        <w:t xml:space="preserve">have been </w:t>
      </w:r>
      <w:r w:rsidRPr="00012056">
        <w:rPr>
          <w:b w:val="0"/>
          <w:color w:val="404040" w:themeColor="text1" w:themeTint="BF"/>
        </w:rPr>
        <w:t xml:space="preserve">shared on an unsolicited basis with </w:t>
      </w:r>
      <w:r w:rsidR="00C23038">
        <w:rPr>
          <w:b w:val="0"/>
          <w:color w:val="404040" w:themeColor="text1" w:themeTint="BF"/>
        </w:rPr>
        <w:t xml:space="preserve">other </w:t>
      </w:r>
      <w:r w:rsidRPr="00012056">
        <w:rPr>
          <w:b w:val="0"/>
          <w:color w:val="404040" w:themeColor="text1" w:themeTint="BF"/>
        </w:rPr>
        <w:t xml:space="preserve">children or malicious intent or exploitation is a factor, NICCY does not feel that full range of possible measures to ensure </w:t>
      </w:r>
      <w:r w:rsidR="00E07017" w:rsidRPr="00012056">
        <w:rPr>
          <w:b w:val="0"/>
          <w:color w:val="404040" w:themeColor="text1" w:themeTint="BF"/>
        </w:rPr>
        <w:t xml:space="preserve">that </w:t>
      </w:r>
      <w:r w:rsidRPr="00012056">
        <w:rPr>
          <w:b w:val="0"/>
          <w:color w:val="404040" w:themeColor="text1" w:themeTint="BF"/>
        </w:rPr>
        <w:t>children can be confident that they can seek help and report the sharing of images without fear of criminalisation has been considered.</w:t>
      </w:r>
      <w:proofErr w:type="gramEnd"/>
      <w:r w:rsidRPr="00012056">
        <w:rPr>
          <w:b w:val="0"/>
          <w:color w:val="404040" w:themeColor="text1" w:themeTint="BF"/>
        </w:rPr>
        <w:t xml:space="preserve"> </w:t>
      </w:r>
      <w:r w:rsidR="00695454" w:rsidRPr="00012056">
        <w:rPr>
          <w:b w:val="0"/>
          <w:color w:val="404040" w:themeColor="text1" w:themeTint="BF"/>
        </w:rPr>
        <w:t xml:space="preserve"> </w:t>
      </w:r>
    </w:p>
    <w:p w14:paraId="7E6D6504" w14:textId="77777777" w:rsidR="007F73AB" w:rsidRPr="00012056" w:rsidRDefault="007F73AB" w:rsidP="00B7545D">
      <w:pPr>
        <w:pStyle w:val="NICCYSubline"/>
        <w:rPr>
          <w:color w:val="404040"/>
          <w:u w:color="FF0000"/>
        </w:rPr>
      </w:pPr>
    </w:p>
    <w:p w14:paraId="0FC2605B" w14:textId="451B4B31" w:rsidR="00E51AF9" w:rsidRPr="007F73AB" w:rsidRDefault="00932E43" w:rsidP="00B7545D">
      <w:pPr>
        <w:pStyle w:val="NICCYSubline"/>
        <w:rPr>
          <w:b w:val="0"/>
          <w:color w:val="404040"/>
          <w:u w:color="FF0000"/>
        </w:rPr>
      </w:pPr>
      <w:r w:rsidRPr="00012056">
        <w:rPr>
          <w:color w:val="404040"/>
          <w:u w:color="FF0000"/>
        </w:rPr>
        <w:t>NICCY recommends that the Department reviews its position</w:t>
      </w:r>
      <w:r w:rsidR="00414236" w:rsidRPr="00012056">
        <w:rPr>
          <w:color w:val="404040"/>
          <w:u w:color="FF0000"/>
        </w:rPr>
        <w:t xml:space="preserve"> and p</w:t>
      </w:r>
      <w:r w:rsidRPr="00012056">
        <w:rPr>
          <w:color w:val="404040"/>
          <w:u w:color="FF0000"/>
        </w:rPr>
        <w:t xml:space="preserve">roperly considers the full range of </w:t>
      </w:r>
      <w:r w:rsidR="00D331BC" w:rsidRPr="00012056">
        <w:rPr>
          <w:color w:val="404040"/>
          <w:u w:color="FF0000"/>
        </w:rPr>
        <w:t>measures</w:t>
      </w:r>
      <w:r w:rsidRPr="00012056">
        <w:rPr>
          <w:color w:val="404040"/>
          <w:u w:color="FF0000"/>
        </w:rPr>
        <w:t xml:space="preserve"> that c</w:t>
      </w:r>
      <w:r w:rsidR="00414236" w:rsidRPr="00012056">
        <w:rPr>
          <w:color w:val="404040"/>
          <w:u w:color="FF0000"/>
        </w:rPr>
        <w:t xml:space="preserve">an be put in place to </w:t>
      </w:r>
      <w:r w:rsidRPr="00012056">
        <w:rPr>
          <w:color w:val="404040"/>
          <w:u w:color="FF0000"/>
        </w:rPr>
        <w:t xml:space="preserve">ensure </w:t>
      </w:r>
      <w:r w:rsidR="00414236" w:rsidRPr="00012056">
        <w:rPr>
          <w:color w:val="404040"/>
          <w:u w:color="FF0000"/>
        </w:rPr>
        <w:t xml:space="preserve">such </w:t>
      </w:r>
      <w:r w:rsidRPr="00012056">
        <w:rPr>
          <w:color w:val="404040"/>
          <w:u w:color="FF0000"/>
        </w:rPr>
        <w:t xml:space="preserve">balance </w:t>
      </w:r>
      <w:r w:rsidR="00414236" w:rsidRPr="00012056">
        <w:rPr>
          <w:color w:val="404040"/>
          <w:u w:color="FF0000"/>
        </w:rPr>
        <w:t xml:space="preserve">is better </w:t>
      </w:r>
      <w:r w:rsidRPr="00012056">
        <w:rPr>
          <w:color w:val="404040"/>
          <w:u w:color="FF0000"/>
        </w:rPr>
        <w:t xml:space="preserve">achieved. </w:t>
      </w:r>
      <w:r w:rsidR="007F73AB" w:rsidRPr="00012056">
        <w:rPr>
          <w:b w:val="0"/>
          <w:color w:val="404040"/>
          <w:u w:color="FF0000"/>
        </w:rPr>
        <w:t xml:space="preserve">The Commissioner requests further engagement with </w:t>
      </w:r>
      <w:proofErr w:type="spellStart"/>
      <w:r w:rsidR="007F73AB" w:rsidRPr="00012056">
        <w:rPr>
          <w:b w:val="0"/>
          <w:color w:val="404040"/>
          <w:u w:color="FF0000"/>
        </w:rPr>
        <w:t>DoJ</w:t>
      </w:r>
      <w:proofErr w:type="spellEnd"/>
      <w:r w:rsidR="007F73AB" w:rsidRPr="00012056">
        <w:rPr>
          <w:b w:val="0"/>
          <w:color w:val="404040"/>
          <w:u w:color="FF0000"/>
        </w:rPr>
        <w:t xml:space="preserve"> on this matter.</w:t>
      </w:r>
    </w:p>
    <w:p w14:paraId="2EF73DF4" w14:textId="77777777" w:rsidR="00E51AF9" w:rsidRDefault="00E51AF9" w:rsidP="00B7545D">
      <w:pPr>
        <w:pStyle w:val="NICCYSubline"/>
        <w:rPr>
          <w:b w:val="0"/>
          <w:color w:val="404040"/>
          <w:u w:color="FF0000"/>
        </w:rPr>
      </w:pPr>
    </w:p>
    <w:p w14:paraId="0624B0D8" w14:textId="77777777" w:rsidR="00E51AF9" w:rsidRPr="009444E3" w:rsidRDefault="00E51AF9" w:rsidP="00B7545D">
      <w:pPr>
        <w:pStyle w:val="NICCYSubline"/>
        <w:rPr>
          <w:b w:val="0"/>
          <w:color w:val="FF0000"/>
          <w:u w:color="FF0000"/>
        </w:rPr>
      </w:pPr>
      <w:r w:rsidRPr="009444E3">
        <w:rPr>
          <w:b w:val="0"/>
          <w:color w:val="FF0000"/>
          <w:u w:color="FF0000"/>
        </w:rPr>
        <w:t>Up-skirting</w:t>
      </w:r>
    </w:p>
    <w:p w14:paraId="48A0F728" w14:textId="77777777" w:rsidR="00E51AF9" w:rsidRDefault="00E51AF9" w:rsidP="00B7545D">
      <w:pPr>
        <w:pStyle w:val="NICCYSubline"/>
        <w:rPr>
          <w:b w:val="0"/>
          <w:color w:val="404040"/>
          <w:u w:color="FF0000"/>
        </w:rPr>
      </w:pPr>
      <w:r w:rsidRPr="009444E3">
        <w:rPr>
          <w:color w:val="404040"/>
          <w:u w:color="FF0000"/>
        </w:rPr>
        <w:t>NICCY welcomes proposals to ensure this is recognised as a sexual offence</w:t>
      </w:r>
      <w:r>
        <w:rPr>
          <w:b w:val="0"/>
          <w:color w:val="404040"/>
          <w:u w:color="FF0000"/>
        </w:rPr>
        <w:t xml:space="preserve"> and that victims and perpetrators will therefore by subject to appropriate measures, for example victim anonymity and civil prevention orders for perpetrators of sexual harm. </w:t>
      </w:r>
    </w:p>
    <w:p w14:paraId="62368535" w14:textId="77777777" w:rsidR="00E51AF9" w:rsidRDefault="00E51AF9" w:rsidP="00B7545D">
      <w:pPr>
        <w:pStyle w:val="NICCYSubline"/>
        <w:rPr>
          <w:b w:val="0"/>
          <w:color w:val="404040"/>
          <w:u w:color="FF0000"/>
        </w:rPr>
      </w:pPr>
    </w:p>
    <w:p w14:paraId="60A12DA0" w14:textId="77777777" w:rsidR="00E51AF9" w:rsidRPr="009444E3" w:rsidRDefault="00E51AF9" w:rsidP="00B7545D">
      <w:pPr>
        <w:pStyle w:val="NICCYSubline"/>
        <w:rPr>
          <w:b w:val="0"/>
          <w:color w:val="FF0000"/>
          <w:u w:color="FF0000"/>
        </w:rPr>
      </w:pPr>
      <w:r w:rsidRPr="009444E3">
        <w:rPr>
          <w:b w:val="0"/>
          <w:color w:val="FF0000"/>
          <w:u w:color="FF0000"/>
        </w:rPr>
        <w:t>Child sex dolls</w:t>
      </w:r>
    </w:p>
    <w:p w14:paraId="22603821" w14:textId="0FBD5F62" w:rsidR="00E51AF9" w:rsidRDefault="00E51AF9" w:rsidP="00B7545D">
      <w:pPr>
        <w:pStyle w:val="NICCYSubline"/>
        <w:rPr>
          <w:b w:val="0"/>
          <w:color w:val="404040"/>
          <w:u w:color="FF0000"/>
        </w:rPr>
      </w:pPr>
      <w:proofErr w:type="gramStart"/>
      <w:r>
        <w:rPr>
          <w:b w:val="0"/>
          <w:color w:val="404040"/>
          <w:u w:color="FF0000"/>
        </w:rPr>
        <w:t xml:space="preserve">Whilst </w:t>
      </w:r>
      <w:r w:rsidR="009A0AA0">
        <w:rPr>
          <w:b w:val="0"/>
          <w:color w:val="404040"/>
          <w:u w:color="FF0000"/>
        </w:rPr>
        <w:t xml:space="preserve">acknowledging </w:t>
      </w:r>
      <w:r>
        <w:rPr>
          <w:b w:val="0"/>
          <w:color w:val="404040"/>
          <w:u w:color="FF0000"/>
        </w:rPr>
        <w:t xml:space="preserve">recognising the importance of a UK wide response to concerns </w:t>
      </w:r>
      <w:r>
        <w:rPr>
          <w:b w:val="0"/>
          <w:color w:val="404040"/>
          <w:u w:color="FF0000"/>
        </w:rPr>
        <w:lastRenderedPageBreak/>
        <w:t xml:space="preserve">about the manufacturing, importation and possession of ‘child sex dolls’ NICCY notes with concern that a recognised legislative gap exists and urges the Department </w:t>
      </w:r>
      <w:r w:rsidRPr="009444E3">
        <w:rPr>
          <w:color w:val="404040"/>
          <w:u w:color="FF0000"/>
        </w:rPr>
        <w:t>to ensure this is addressed (whether within a specific Northern Ireland context or more broadly with other UK jurisdictions through Westminster legislation) as a matter of urgency.</w:t>
      </w:r>
      <w:proofErr w:type="gramEnd"/>
      <w:r>
        <w:rPr>
          <w:b w:val="0"/>
          <w:color w:val="404040"/>
          <w:u w:color="FF0000"/>
        </w:rPr>
        <w:t xml:space="preserve"> </w:t>
      </w:r>
    </w:p>
    <w:p w14:paraId="60561E22" w14:textId="77777777" w:rsidR="00E51AF9" w:rsidRDefault="00E51AF9" w:rsidP="00B7545D">
      <w:pPr>
        <w:pStyle w:val="NICCYSubline"/>
        <w:rPr>
          <w:b w:val="0"/>
          <w:color w:val="404040"/>
          <w:u w:color="FF0000"/>
        </w:rPr>
      </w:pPr>
      <w:r>
        <w:rPr>
          <w:b w:val="0"/>
          <w:color w:val="404040"/>
          <w:u w:color="FF0000"/>
        </w:rPr>
        <w:t xml:space="preserve">  </w:t>
      </w:r>
    </w:p>
    <w:p w14:paraId="62CED784" w14:textId="77777777" w:rsidR="00E51AF9" w:rsidRPr="009444E3" w:rsidRDefault="00E51AF9" w:rsidP="00B7545D">
      <w:pPr>
        <w:pStyle w:val="NICCYSubline"/>
        <w:rPr>
          <w:b w:val="0"/>
          <w:color w:val="FF0000"/>
          <w:u w:color="FF0000"/>
        </w:rPr>
      </w:pPr>
      <w:r w:rsidRPr="009444E3">
        <w:rPr>
          <w:b w:val="0"/>
          <w:color w:val="FF0000"/>
          <w:u w:color="FF0000"/>
        </w:rPr>
        <w:t xml:space="preserve">Abduction offences </w:t>
      </w:r>
    </w:p>
    <w:p w14:paraId="342EC2A3" w14:textId="03043949" w:rsidR="00E51AF9" w:rsidRDefault="00E51AF9" w:rsidP="00B7545D">
      <w:pPr>
        <w:pStyle w:val="NICCYSubline"/>
        <w:rPr>
          <w:b w:val="0"/>
          <w:color w:val="404040"/>
          <w:u w:color="FF0000"/>
        </w:rPr>
      </w:pPr>
      <w:r>
        <w:rPr>
          <w:b w:val="0"/>
          <w:color w:val="404040"/>
          <w:u w:color="FF0000"/>
        </w:rPr>
        <w:t xml:space="preserve">As noted by the Department, the Independent Inquiry into CSE recommended that protections for children up to 18 years were strengthened by ensuring 16 and 17 year olds were within the scope of abduction offences and PSNI are supportive of this in recognition it can provide additional measure to protect children from sexual abuse and exploitation. </w:t>
      </w:r>
    </w:p>
    <w:p w14:paraId="00EDBF56" w14:textId="77777777" w:rsidR="00E51AF9" w:rsidRDefault="00E51AF9" w:rsidP="00B7545D">
      <w:pPr>
        <w:pStyle w:val="NICCYSubline"/>
        <w:rPr>
          <w:b w:val="0"/>
          <w:color w:val="404040"/>
          <w:u w:color="FF0000"/>
        </w:rPr>
      </w:pPr>
    </w:p>
    <w:p w14:paraId="3BD1EABC" w14:textId="158507CE" w:rsidR="00E51AF9" w:rsidRDefault="00E51AF9" w:rsidP="00B7545D">
      <w:pPr>
        <w:pStyle w:val="NICCYSubline"/>
        <w:rPr>
          <w:b w:val="0"/>
          <w:color w:val="404040"/>
          <w:u w:color="FF0000"/>
        </w:rPr>
      </w:pPr>
      <w:r>
        <w:rPr>
          <w:b w:val="0"/>
          <w:color w:val="404040"/>
          <w:u w:color="FF0000"/>
        </w:rPr>
        <w:t xml:space="preserve">We have already highlighted that the legislative framework for safeguarding in Northern Ireland should reflect the standards and obligations of, for example, the UNCRC, the UN Optional Protocol on the sale of children, child prostitution and child pornography and the </w:t>
      </w:r>
      <w:r w:rsidR="00717CA7">
        <w:rPr>
          <w:b w:val="0"/>
          <w:color w:val="404040"/>
          <w:u w:color="FF0000"/>
        </w:rPr>
        <w:t xml:space="preserve">Council of Europe </w:t>
      </w:r>
      <w:r>
        <w:rPr>
          <w:b w:val="0"/>
          <w:color w:val="404040"/>
          <w:u w:color="FF0000"/>
        </w:rPr>
        <w:t>Lanzarote Convention</w:t>
      </w:r>
      <w:r w:rsidR="00717CA7">
        <w:rPr>
          <w:b w:val="0"/>
          <w:color w:val="404040"/>
          <w:u w:color="FF0000"/>
        </w:rPr>
        <w:t>. We have discussed that</w:t>
      </w:r>
      <w:r>
        <w:rPr>
          <w:b w:val="0"/>
          <w:color w:val="404040"/>
          <w:u w:color="FF0000"/>
        </w:rPr>
        <w:t xml:space="preserve">, while taking account of the evolving capacity of the child, the age of consent and young people’s increased decision making as they move towards adulthood and independence, </w:t>
      </w:r>
      <w:r w:rsidR="00717CA7">
        <w:rPr>
          <w:b w:val="0"/>
          <w:color w:val="404040"/>
          <w:u w:color="FF0000"/>
        </w:rPr>
        <w:t xml:space="preserve">Government </w:t>
      </w:r>
      <w:r>
        <w:rPr>
          <w:b w:val="0"/>
          <w:color w:val="404040"/>
          <w:u w:color="FF0000"/>
        </w:rPr>
        <w:t xml:space="preserve">should afford protection to all children under 18 years. </w:t>
      </w:r>
      <w:proofErr w:type="gramStart"/>
      <w:r>
        <w:rPr>
          <w:b w:val="0"/>
          <w:color w:val="404040"/>
          <w:u w:color="FF0000"/>
        </w:rPr>
        <w:t>This should be reflected in all relevant legislation including the Child Abduction (Northern Ireland) Order 1985 and we again note that it is not the view of NICCY, the UN Committee on the Rights of the Child or the Lanzarote Co</w:t>
      </w:r>
      <w:r w:rsidR="00717CA7">
        <w:rPr>
          <w:b w:val="0"/>
          <w:color w:val="404040"/>
          <w:u w:color="FF0000"/>
        </w:rPr>
        <w:t xml:space="preserve">mmittee </w:t>
      </w:r>
      <w:r>
        <w:rPr>
          <w:b w:val="0"/>
          <w:color w:val="404040"/>
          <w:u w:color="FF0000"/>
        </w:rPr>
        <w:t>that such protection</w:t>
      </w:r>
      <w:r w:rsidR="00315505">
        <w:rPr>
          <w:b w:val="0"/>
          <w:color w:val="404040"/>
          <w:u w:color="FF0000"/>
        </w:rPr>
        <w:t>s would either contravene or are</w:t>
      </w:r>
      <w:r>
        <w:rPr>
          <w:b w:val="0"/>
          <w:color w:val="404040"/>
          <w:u w:color="FF0000"/>
        </w:rPr>
        <w:t xml:space="preserve"> unnecessary due to the evolving capacity and increasing autonomy of 16 and 17 year olds</w:t>
      </w:r>
      <w:r w:rsidR="00717CA7">
        <w:rPr>
          <w:b w:val="0"/>
          <w:color w:val="404040"/>
          <w:u w:color="FF0000"/>
        </w:rPr>
        <w:t>, as suggested in the Department’s consultation document</w:t>
      </w:r>
      <w:r>
        <w:rPr>
          <w:b w:val="0"/>
          <w:color w:val="404040"/>
          <w:u w:color="FF0000"/>
        </w:rPr>
        <w:t>.</w:t>
      </w:r>
      <w:proofErr w:type="gramEnd"/>
      <w:r>
        <w:rPr>
          <w:b w:val="0"/>
          <w:color w:val="404040"/>
          <w:u w:color="FF0000"/>
        </w:rPr>
        <w:t xml:space="preserve"> </w:t>
      </w:r>
      <w:r w:rsidR="00717CA7" w:rsidRPr="00012056">
        <w:rPr>
          <w:b w:val="0"/>
          <w:color w:val="404040"/>
          <w:u w:color="FF0000"/>
        </w:rPr>
        <w:t xml:space="preserve">We request further detail on </w:t>
      </w:r>
      <w:proofErr w:type="spellStart"/>
      <w:r w:rsidR="00717CA7" w:rsidRPr="00012056">
        <w:rPr>
          <w:b w:val="0"/>
          <w:color w:val="404040"/>
          <w:u w:color="FF0000"/>
        </w:rPr>
        <w:t>DoJ’s</w:t>
      </w:r>
      <w:proofErr w:type="spellEnd"/>
      <w:r w:rsidR="00717CA7" w:rsidRPr="00012056">
        <w:rPr>
          <w:b w:val="0"/>
          <w:color w:val="404040"/>
          <w:u w:color="FF0000"/>
        </w:rPr>
        <w:t xml:space="preserve"> assessment </w:t>
      </w:r>
      <w:r w:rsidR="009E4505" w:rsidRPr="00012056">
        <w:rPr>
          <w:b w:val="0"/>
          <w:color w:val="404040"/>
          <w:u w:color="FF0000"/>
        </w:rPr>
        <w:t>of this proposal.</w:t>
      </w:r>
      <w:r>
        <w:rPr>
          <w:b w:val="0"/>
          <w:color w:val="404040"/>
          <w:u w:color="FF0000"/>
        </w:rPr>
        <w:t xml:space="preserve"> </w:t>
      </w:r>
    </w:p>
    <w:p w14:paraId="7F26F361" w14:textId="77777777" w:rsidR="00E51AF9" w:rsidRDefault="00E51AF9" w:rsidP="00B7545D">
      <w:pPr>
        <w:pStyle w:val="NICCYSubline"/>
        <w:rPr>
          <w:b w:val="0"/>
          <w:color w:val="404040"/>
          <w:u w:color="FF0000"/>
        </w:rPr>
      </w:pPr>
    </w:p>
    <w:p w14:paraId="1453C7AD" w14:textId="4F69F195" w:rsidR="00E51AF9" w:rsidRDefault="00E51AF9" w:rsidP="00B7545D">
      <w:pPr>
        <w:pStyle w:val="NICCYSubline"/>
        <w:rPr>
          <w:b w:val="0"/>
          <w:color w:val="404040"/>
          <w:u w:color="FF0000"/>
        </w:rPr>
      </w:pPr>
      <w:r>
        <w:rPr>
          <w:b w:val="0"/>
          <w:color w:val="404040"/>
          <w:u w:color="FF0000"/>
        </w:rPr>
        <w:t xml:space="preserve">In relation to the issue of early marriage (for children aged 16 and 17 years) which is cited by the Department as a factor in </w:t>
      </w:r>
      <w:r w:rsidR="009E4505">
        <w:rPr>
          <w:b w:val="0"/>
          <w:color w:val="404040"/>
          <w:u w:color="FF0000"/>
        </w:rPr>
        <w:t xml:space="preserve">considering </w:t>
      </w:r>
      <w:r>
        <w:rPr>
          <w:b w:val="0"/>
          <w:color w:val="404040"/>
          <w:u w:color="FF0000"/>
        </w:rPr>
        <w:t xml:space="preserve">that no legislative change is necessary, </w:t>
      </w:r>
      <w:proofErr w:type="spellStart"/>
      <w:r>
        <w:rPr>
          <w:b w:val="0"/>
          <w:color w:val="404040"/>
          <w:u w:color="FF0000"/>
        </w:rPr>
        <w:t>DoJ</w:t>
      </w:r>
      <w:proofErr w:type="spellEnd"/>
      <w:r>
        <w:rPr>
          <w:b w:val="0"/>
          <w:color w:val="404040"/>
          <w:u w:color="FF0000"/>
        </w:rPr>
        <w:t xml:space="preserve"> should be aware of the </w:t>
      </w:r>
      <w:r w:rsidR="009E4505">
        <w:rPr>
          <w:b w:val="0"/>
          <w:color w:val="404040"/>
          <w:u w:color="FF0000"/>
        </w:rPr>
        <w:t xml:space="preserve">standard </w:t>
      </w:r>
      <w:r>
        <w:rPr>
          <w:b w:val="0"/>
          <w:color w:val="404040"/>
          <w:u w:color="FF0000"/>
        </w:rPr>
        <w:t xml:space="preserve">expressed by the UN Committee on the Rights of the Child </w:t>
      </w:r>
      <w:r w:rsidR="009E4505">
        <w:rPr>
          <w:b w:val="0"/>
          <w:color w:val="404040"/>
          <w:u w:color="FF0000"/>
        </w:rPr>
        <w:t xml:space="preserve">that the minimum age for marriage should be 18 years and </w:t>
      </w:r>
      <w:r>
        <w:rPr>
          <w:b w:val="0"/>
          <w:color w:val="404040"/>
          <w:u w:color="FF0000"/>
        </w:rPr>
        <w:t xml:space="preserve">their 2016 recommendation </w:t>
      </w:r>
      <w:r w:rsidR="009E4505">
        <w:rPr>
          <w:b w:val="0"/>
          <w:color w:val="404040"/>
          <w:u w:color="FF0000"/>
        </w:rPr>
        <w:t xml:space="preserve">that the UK has in place </w:t>
      </w:r>
      <w:r>
        <w:rPr>
          <w:b w:val="0"/>
          <w:color w:val="404040"/>
          <w:u w:color="FF0000"/>
        </w:rPr>
        <w:t xml:space="preserve">effective measures to ensure marriages </w:t>
      </w:r>
      <w:r w:rsidR="009E4505">
        <w:rPr>
          <w:b w:val="0"/>
          <w:color w:val="404040"/>
          <w:u w:color="FF0000"/>
        </w:rPr>
        <w:t xml:space="preserve">at earlier ages </w:t>
      </w:r>
      <w:r>
        <w:rPr>
          <w:b w:val="0"/>
          <w:color w:val="404040"/>
          <w:u w:color="FF0000"/>
        </w:rPr>
        <w:t>only take place in exceptional circumstances and are based on the full, free and informed consent of the children concerned.</w:t>
      </w:r>
      <w:r w:rsidR="00941C25">
        <w:rPr>
          <w:rStyle w:val="FootnoteReference"/>
          <w:b w:val="0"/>
          <w:color w:val="404040"/>
          <w:u w:color="FF0000"/>
        </w:rPr>
        <w:footnoteReference w:id="22"/>
      </w:r>
      <w:r w:rsidR="00941C25">
        <w:rPr>
          <w:b w:val="0"/>
          <w:color w:val="404040"/>
          <w:u w:color="FF0000"/>
        </w:rPr>
        <w:t xml:space="preserve"> </w:t>
      </w:r>
    </w:p>
    <w:p w14:paraId="7D6A9728" w14:textId="77777777" w:rsidR="00376021" w:rsidRDefault="00376021" w:rsidP="00376021">
      <w:pPr>
        <w:pStyle w:val="NICCYSubline"/>
        <w:rPr>
          <w:color w:val="404040"/>
          <w:u w:color="FF0000"/>
        </w:rPr>
      </w:pPr>
    </w:p>
    <w:p w14:paraId="6D200000" w14:textId="6EEC61A3" w:rsidR="00E51AF9" w:rsidRDefault="00376021" w:rsidP="00376021">
      <w:pPr>
        <w:pStyle w:val="NICCYSubline"/>
        <w:rPr>
          <w:b w:val="0"/>
          <w:color w:val="404040"/>
          <w:u w:color="FF0000"/>
        </w:rPr>
      </w:pPr>
      <w:r w:rsidRPr="00941C25">
        <w:rPr>
          <w:color w:val="404040"/>
          <w:u w:color="FF0000"/>
        </w:rPr>
        <w:t xml:space="preserve">NICCY is of the view that the current inconsistency in legislative protections, </w:t>
      </w:r>
      <w:r w:rsidRPr="00941C25">
        <w:rPr>
          <w:color w:val="404040"/>
          <w:u w:color="FF0000"/>
        </w:rPr>
        <w:lastRenderedPageBreak/>
        <w:t>whereby some 16 and 17 year olds (for example based on care status) are within scope of current arrangements and others are not, does not recognise the vulnerability of all children to sexual abuse and exploitation.</w:t>
      </w:r>
    </w:p>
    <w:p w14:paraId="7C647B84" w14:textId="77777777" w:rsidR="00717CA7" w:rsidRDefault="00717CA7" w:rsidP="00B7545D">
      <w:pPr>
        <w:pStyle w:val="NICCYSubline"/>
        <w:rPr>
          <w:b w:val="0"/>
          <w:color w:val="FF0000"/>
          <w:u w:color="FF0000"/>
        </w:rPr>
      </w:pPr>
    </w:p>
    <w:p w14:paraId="7FACFD20" w14:textId="3C96B32C" w:rsidR="00E51AF9" w:rsidRPr="00941C25" w:rsidRDefault="00E51AF9" w:rsidP="00B7545D">
      <w:pPr>
        <w:pStyle w:val="NICCYSubline"/>
        <w:rPr>
          <w:b w:val="0"/>
          <w:color w:val="404040"/>
          <w:u w:color="FF0000"/>
        </w:rPr>
      </w:pPr>
      <w:r w:rsidRPr="00941C25">
        <w:rPr>
          <w:b w:val="0"/>
          <w:color w:val="FF0000"/>
          <w:u w:color="FF0000"/>
        </w:rPr>
        <w:t>Recovery orders</w:t>
      </w:r>
    </w:p>
    <w:p w14:paraId="2A77C204" w14:textId="4B07BCD9" w:rsidR="00E51AF9" w:rsidRDefault="00E51AF9" w:rsidP="00B7545D">
      <w:pPr>
        <w:pStyle w:val="NICCYSubline"/>
        <w:rPr>
          <w:b w:val="0"/>
          <w:color w:val="404040"/>
          <w:u w:color="FF0000"/>
        </w:rPr>
      </w:pPr>
      <w:r>
        <w:rPr>
          <w:b w:val="0"/>
          <w:color w:val="404040"/>
          <w:u w:color="FF0000"/>
        </w:rPr>
        <w:t xml:space="preserve">Following on from our comments regarding abduction offences, in relation to the use of recovery orders under the Child Abduction (Northern Ireland) Order 1985, </w:t>
      </w:r>
      <w:r w:rsidRPr="0009082E">
        <w:rPr>
          <w:color w:val="404040"/>
          <w:u w:color="FF0000"/>
        </w:rPr>
        <w:t>NICCY is not of the view that the case for not extending these to all children under 18 has been made.</w:t>
      </w:r>
      <w:r>
        <w:rPr>
          <w:b w:val="0"/>
          <w:color w:val="404040"/>
          <w:u w:color="FF0000"/>
        </w:rPr>
        <w:t xml:space="preserve"> We are keen to understand the evidence which underpins the Department’s concerns that such orders, in exception to other similar measures, would be subject to vexatious claim and/or that statutory agencies would not be in a position to ensure that only orders with a credible basis were pursued. We are also unclear that concern about application of orders in jurisdictions beyond Northern Ireland would, in itself, provide the basis of a decision not to further consider the proposal.</w:t>
      </w:r>
    </w:p>
    <w:p w14:paraId="4F5AE400" w14:textId="77777777" w:rsidR="00E51AF9" w:rsidRDefault="00E51AF9" w:rsidP="00B7545D">
      <w:pPr>
        <w:pStyle w:val="NICCYSubline"/>
        <w:rPr>
          <w:b w:val="0"/>
          <w:color w:val="404040"/>
          <w:u w:color="FF0000"/>
        </w:rPr>
      </w:pPr>
    </w:p>
    <w:p w14:paraId="6CE9B7F4" w14:textId="77777777" w:rsidR="00E51AF9" w:rsidRPr="00941C25" w:rsidRDefault="00E51AF9" w:rsidP="00B7545D">
      <w:pPr>
        <w:pStyle w:val="NICCYSubline"/>
        <w:rPr>
          <w:b w:val="0"/>
          <w:color w:val="404040"/>
          <w:u w:color="FF0000"/>
        </w:rPr>
      </w:pPr>
      <w:r w:rsidRPr="00941C25">
        <w:rPr>
          <w:b w:val="0"/>
          <w:color w:val="FF0000"/>
          <w:u w:color="FF0000"/>
        </w:rPr>
        <w:t>Hotel type accommodation information requests concerning guests</w:t>
      </w:r>
    </w:p>
    <w:p w14:paraId="5D42F151" w14:textId="516BD2F8" w:rsidR="00E51AF9" w:rsidRDefault="0009082E" w:rsidP="00B7545D">
      <w:pPr>
        <w:pStyle w:val="NICCYSubline"/>
        <w:rPr>
          <w:b w:val="0"/>
          <w:color w:val="404040"/>
          <w:u w:color="FF0000"/>
        </w:rPr>
      </w:pPr>
      <w:r w:rsidRPr="0009082E">
        <w:rPr>
          <w:color w:val="404040"/>
          <w:u w:color="FF0000"/>
        </w:rPr>
        <w:t xml:space="preserve">NICCY </w:t>
      </w:r>
      <w:r w:rsidR="00E51AF9" w:rsidRPr="0009082E">
        <w:rPr>
          <w:color w:val="404040"/>
          <w:u w:color="FF0000"/>
        </w:rPr>
        <w:t>welcome</w:t>
      </w:r>
      <w:r w:rsidRPr="0009082E">
        <w:rPr>
          <w:color w:val="404040"/>
          <w:u w:color="FF0000"/>
        </w:rPr>
        <w:t>s</w:t>
      </w:r>
      <w:r w:rsidR="00E51AF9" w:rsidRPr="0009082E">
        <w:rPr>
          <w:color w:val="404040"/>
          <w:u w:color="FF0000"/>
        </w:rPr>
        <w:t xml:space="preserve"> the proposal </w:t>
      </w:r>
      <w:r w:rsidR="00E51AF9" w:rsidRPr="0009082E">
        <w:rPr>
          <w:b w:val="0"/>
          <w:color w:val="404040"/>
          <w:u w:color="FF0000"/>
        </w:rPr>
        <w:t>to introduce similar powers to those contained in the Anti-Social Behaviour, Crime and Policing Act 2014</w:t>
      </w:r>
      <w:r w:rsidR="00E51AF9">
        <w:rPr>
          <w:b w:val="0"/>
          <w:color w:val="404040"/>
          <w:u w:color="FF0000"/>
        </w:rPr>
        <w:t xml:space="preserve"> (Sections 116-118) to enable police to request information regarding guests where it is suspected that the accommodation is or will be used for the purposes of the sexual abuse and exploitation of children.</w:t>
      </w:r>
    </w:p>
    <w:p w14:paraId="6C309CFF" w14:textId="77777777" w:rsidR="00E51AF9" w:rsidRDefault="00E51AF9" w:rsidP="00B7545D">
      <w:pPr>
        <w:pStyle w:val="NICCYSubline"/>
        <w:rPr>
          <w:b w:val="0"/>
          <w:color w:val="404040"/>
          <w:u w:color="FF0000"/>
        </w:rPr>
      </w:pPr>
    </w:p>
    <w:p w14:paraId="2003C40C" w14:textId="77777777" w:rsidR="00E51AF9" w:rsidRPr="00941C25" w:rsidRDefault="00E51AF9" w:rsidP="00B7545D">
      <w:pPr>
        <w:pStyle w:val="NICCYSubline"/>
        <w:rPr>
          <w:color w:val="FF0000"/>
          <w:u w:color="FF0000"/>
        </w:rPr>
      </w:pPr>
      <w:r w:rsidRPr="00941C25">
        <w:rPr>
          <w:color w:val="FF0000"/>
          <w:u w:color="FF0000"/>
        </w:rPr>
        <w:t>Other comments</w:t>
      </w:r>
    </w:p>
    <w:p w14:paraId="4B84B8EE" w14:textId="68D689F9" w:rsidR="00E51AF9" w:rsidRDefault="00E51AF9" w:rsidP="00B7545D">
      <w:pPr>
        <w:pStyle w:val="NICCYSubline"/>
        <w:rPr>
          <w:b w:val="0"/>
          <w:color w:val="404040"/>
          <w:u w:color="FF0000"/>
        </w:rPr>
      </w:pPr>
      <w:r>
        <w:rPr>
          <w:b w:val="0"/>
          <w:color w:val="404040"/>
          <w:u w:color="FF0000"/>
        </w:rPr>
        <w:t xml:space="preserve">NICCY seeks clarification from the Department that the Sexual Offences (Northern Ireland) Order 2008 properly reflects the full range of circumstances and </w:t>
      </w:r>
      <w:r w:rsidR="00315505">
        <w:rPr>
          <w:b w:val="0"/>
          <w:color w:val="404040"/>
          <w:u w:color="FF0000"/>
        </w:rPr>
        <w:t xml:space="preserve">aggravating </w:t>
      </w:r>
      <w:r>
        <w:rPr>
          <w:b w:val="0"/>
          <w:color w:val="404040"/>
          <w:u w:color="FF0000"/>
        </w:rPr>
        <w:t>factors required by the Lanzarote Convention, including that the offence was committed within the framework of a criminal organisation</w:t>
      </w:r>
      <w:r w:rsidR="0009082E">
        <w:rPr>
          <w:b w:val="0"/>
          <w:color w:val="404040"/>
          <w:u w:color="FF0000"/>
        </w:rPr>
        <w:t>.</w:t>
      </w:r>
      <w:r w:rsidR="0009082E">
        <w:rPr>
          <w:rStyle w:val="FootnoteReference"/>
          <w:b w:val="0"/>
          <w:color w:val="404040"/>
          <w:u w:color="FF0000"/>
        </w:rPr>
        <w:footnoteReference w:id="23"/>
      </w:r>
      <w:r w:rsidR="00315505">
        <w:rPr>
          <w:b w:val="0"/>
          <w:color w:val="404040"/>
          <w:u w:color="FF0000"/>
        </w:rPr>
        <w:t xml:space="preserve"> </w:t>
      </w:r>
    </w:p>
    <w:p w14:paraId="3DB7619F" w14:textId="77777777" w:rsidR="00E51AF9" w:rsidRDefault="00E51AF9" w:rsidP="00B7545D">
      <w:pPr>
        <w:pStyle w:val="NICCYSubline"/>
        <w:rPr>
          <w:b w:val="0"/>
          <w:color w:val="404040"/>
          <w:u w:color="FF0000"/>
        </w:rPr>
      </w:pPr>
    </w:p>
    <w:p w14:paraId="3F28DE76" w14:textId="1D68DDE3" w:rsidR="00902E59" w:rsidRPr="00941C25" w:rsidRDefault="00902E59" w:rsidP="003A0BCC">
      <w:pPr>
        <w:spacing w:line="288" w:lineRule="auto"/>
        <w:rPr>
          <w:rFonts w:ascii="Arial" w:hAnsi="Arial" w:cs="Arial"/>
          <w:color w:val="404040" w:themeColor="text1" w:themeTint="BF"/>
          <w:sz w:val="24"/>
          <w:szCs w:val="24"/>
          <w:lang w:eastAsia="en-GB"/>
        </w:rPr>
      </w:pPr>
      <w:r w:rsidRPr="00941C25">
        <w:rPr>
          <w:rFonts w:ascii="Arial" w:hAnsi="Arial" w:cs="Arial"/>
          <w:color w:val="404040" w:themeColor="text1" w:themeTint="BF"/>
          <w:sz w:val="24"/>
          <w:szCs w:val="24"/>
        </w:rPr>
        <w:t>NICCY notes that Government has previously committed to undertaking a legislative review of the full range of the current uneven patchwork of safeguards, protections and legal liabilities that children up to the age of 18, and particularly 16 and 17 year old</w:t>
      </w:r>
      <w:r w:rsidR="00315505">
        <w:rPr>
          <w:rFonts w:ascii="Arial" w:hAnsi="Arial" w:cs="Arial"/>
          <w:color w:val="404040" w:themeColor="text1" w:themeTint="BF"/>
          <w:sz w:val="24"/>
          <w:szCs w:val="24"/>
        </w:rPr>
        <w:t xml:space="preserve">, </w:t>
      </w:r>
      <w:r w:rsidRPr="00941C25">
        <w:rPr>
          <w:rFonts w:ascii="Arial" w:hAnsi="Arial" w:cs="Arial"/>
          <w:color w:val="404040" w:themeColor="text1" w:themeTint="BF"/>
          <w:sz w:val="24"/>
          <w:szCs w:val="24"/>
        </w:rPr>
        <w:t xml:space="preserve">are subject to. This was most notably discussed during the early stages of the joint Mental Capacity Act </w:t>
      </w:r>
      <w:r w:rsidR="0086207F">
        <w:rPr>
          <w:rFonts w:ascii="Arial" w:hAnsi="Arial" w:cs="Arial"/>
          <w:color w:val="404040" w:themeColor="text1" w:themeTint="BF"/>
          <w:sz w:val="24"/>
          <w:szCs w:val="24"/>
        </w:rPr>
        <w:t xml:space="preserve">Northern Ireland) 2016 </w:t>
      </w:r>
      <w:r w:rsidRPr="00941C25">
        <w:rPr>
          <w:rFonts w:ascii="Arial" w:hAnsi="Arial" w:cs="Arial"/>
          <w:color w:val="404040" w:themeColor="text1" w:themeTint="BF"/>
          <w:sz w:val="24"/>
          <w:szCs w:val="24"/>
        </w:rPr>
        <w:t xml:space="preserve">legislative scrutiny process and we request an urgent update </w:t>
      </w:r>
      <w:r w:rsidR="00941C25">
        <w:rPr>
          <w:rFonts w:ascii="Arial" w:hAnsi="Arial" w:cs="Arial"/>
          <w:color w:val="404040" w:themeColor="text1" w:themeTint="BF"/>
          <w:sz w:val="24"/>
          <w:szCs w:val="24"/>
        </w:rPr>
        <w:t>o</w:t>
      </w:r>
      <w:r w:rsidRPr="00941C25">
        <w:rPr>
          <w:rFonts w:ascii="Arial" w:hAnsi="Arial" w:cs="Arial"/>
          <w:color w:val="404040" w:themeColor="text1" w:themeTint="BF"/>
          <w:sz w:val="24"/>
          <w:szCs w:val="24"/>
        </w:rPr>
        <w:t>n the status of this review.</w:t>
      </w:r>
    </w:p>
    <w:p w14:paraId="1DEB3C92" w14:textId="77777777" w:rsidR="00E51AF9" w:rsidRDefault="00E51AF9" w:rsidP="00B7545D">
      <w:pPr>
        <w:pStyle w:val="NICCYSubline"/>
        <w:rPr>
          <w:b w:val="0"/>
          <w:color w:val="404040"/>
          <w:u w:color="FF0000"/>
        </w:rPr>
      </w:pPr>
    </w:p>
    <w:p w14:paraId="647F6F80" w14:textId="2C6A3673" w:rsidR="00E51AF9" w:rsidRDefault="0086207F" w:rsidP="00B7545D">
      <w:pPr>
        <w:pStyle w:val="NICCYSubline"/>
        <w:rPr>
          <w:b w:val="0"/>
          <w:color w:val="404040"/>
          <w:u w:color="FF0000"/>
        </w:rPr>
      </w:pPr>
      <w:r>
        <w:rPr>
          <w:b w:val="0"/>
          <w:color w:val="404040"/>
          <w:u w:color="FF0000"/>
        </w:rPr>
        <w:lastRenderedPageBreak/>
        <w:t>Finally, the Commissioner again wishes to remind the Dep</w:t>
      </w:r>
      <w:r w:rsidR="00E257BB">
        <w:rPr>
          <w:b w:val="0"/>
          <w:color w:val="404040"/>
          <w:u w:color="FF0000"/>
        </w:rPr>
        <w:t>a</w:t>
      </w:r>
      <w:r>
        <w:rPr>
          <w:b w:val="0"/>
          <w:color w:val="404040"/>
          <w:u w:color="FF0000"/>
        </w:rPr>
        <w:t xml:space="preserve">rtment of the importance of including </w:t>
      </w:r>
      <w:r w:rsidR="00E257BB">
        <w:rPr>
          <w:b w:val="0"/>
          <w:color w:val="404040"/>
          <w:u w:color="FF0000"/>
        </w:rPr>
        <w:t>the legislative proposals resulting from Sir John Gillen’s Review in the next stages of this process.</w:t>
      </w:r>
    </w:p>
    <w:p w14:paraId="07E55FC3" w14:textId="77777777" w:rsidR="00E51AF9" w:rsidRDefault="00E51AF9" w:rsidP="00A9135C">
      <w:pPr>
        <w:pStyle w:val="NICCYSubline"/>
        <w:rPr>
          <w:color w:val="FF0000"/>
          <w:u w:color="FF0000"/>
        </w:rPr>
      </w:pPr>
    </w:p>
    <w:p w14:paraId="059782A7" w14:textId="77777777" w:rsidR="00E51AF9" w:rsidRDefault="00E51AF9" w:rsidP="00A9135C">
      <w:pPr>
        <w:pStyle w:val="NICCYSubline"/>
        <w:rPr>
          <w:color w:val="FF0000"/>
          <w:u w:color="FF0000"/>
        </w:rPr>
      </w:pPr>
    </w:p>
    <w:sectPr w:rsidR="00E51AF9" w:rsidSect="005A1D37">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7F72" w14:textId="77777777" w:rsidR="00675400" w:rsidRDefault="00675400" w:rsidP="00280C3B">
      <w:r>
        <w:separator/>
      </w:r>
    </w:p>
  </w:endnote>
  <w:endnote w:type="continuationSeparator" w:id="0">
    <w:p w14:paraId="68208B34" w14:textId="77777777" w:rsidR="00675400" w:rsidRDefault="00675400"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A36A" w14:textId="77777777" w:rsidR="00675400" w:rsidRDefault="00675400"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ADDC6" w14:textId="77777777" w:rsidR="00675400" w:rsidRDefault="0067540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323F" w14:textId="7599052F" w:rsidR="00675400" w:rsidRPr="008C32B9" w:rsidRDefault="00675400"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B845A4">
      <w:rPr>
        <w:rStyle w:val="PageNumber"/>
        <w:rFonts w:ascii="Arial" w:hAnsi="Arial" w:cs="Arial"/>
        <w:noProof/>
        <w:color w:val="414042"/>
        <w:sz w:val="16"/>
        <w:szCs w:val="16"/>
      </w:rPr>
      <w:t>6</w:t>
    </w:r>
    <w:r w:rsidRPr="008C32B9">
      <w:rPr>
        <w:rStyle w:val="PageNumber"/>
        <w:rFonts w:ascii="Arial" w:hAnsi="Arial" w:cs="Arial"/>
        <w:color w:val="414042"/>
        <w:sz w:val="16"/>
        <w:szCs w:val="16"/>
      </w:rPr>
      <w:fldChar w:fldCharType="end"/>
    </w:r>
  </w:p>
  <w:p w14:paraId="7E3249F0" w14:textId="77777777" w:rsidR="00675400" w:rsidRPr="008C32B9" w:rsidRDefault="0067540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noProof/>
        <w:lang w:val="en-GB" w:eastAsia="en-GB"/>
      </w:rPr>
      <mc:AlternateContent>
        <mc:Choice Requires="wpg">
          <w:drawing>
            <wp:anchor distT="0" distB="0" distL="114300" distR="114300" simplePos="0" relativeHeight="251662336" behindDoc="0" locked="0" layoutInCell="1" allowOverlap="1" wp14:anchorId="57717191" wp14:editId="361EA184">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D62936" w14:textId="77777777" w:rsidR="00675400" w:rsidRDefault="0067540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2A0DEDA5" w14:textId="77777777" w:rsidR="00675400" w:rsidRDefault="0067540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A82D23A" w14:textId="77777777" w:rsidR="00675400" w:rsidRDefault="0067540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787C898" w14:textId="77777777" w:rsidR="00675400" w:rsidRDefault="0067540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671EEA" w14:textId="77777777" w:rsidR="00675400" w:rsidRDefault="0067540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2336"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E51AF9" w:rsidRDefault="00E51AF9"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E51AF9" w:rsidRDefault="00E51AF9"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E51AF9" w:rsidRDefault="00E51AF9"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E51AF9" w:rsidRDefault="00E51AF9"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E51AF9" w:rsidRDefault="00E51AF9"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DB43" w14:textId="77777777" w:rsidR="00675400" w:rsidRDefault="00675400" w:rsidP="00280C3B">
      <w:r>
        <w:separator/>
      </w:r>
    </w:p>
  </w:footnote>
  <w:footnote w:type="continuationSeparator" w:id="0">
    <w:p w14:paraId="51129951" w14:textId="77777777" w:rsidR="00675400" w:rsidRDefault="00675400" w:rsidP="00280C3B">
      <w:r>
        <w:continuationSeparator/>
      </w:r>
    </w:p>
  </w:footnote>
  <w:footnote w:id="1">
    <w:p w14:paraId="502716A0" w14:textId="17F1A831" w:rsidR="00675400" w:rsidRPr="00596DCD" w:rsidRDefault="00675400" w:rsidP="00D6426A">
      <w:pPr>
        <w:pStyle w:val="FootnoteText"/>
        <w:rPr>
          <w:rFonts w:ascii="Arial" w:hAnsi="Arial"/>
          <w:color w:val="404040"/>
          <w:sz w:val="20"/>
          <w:szCs w:val="20"/>
          <w:u w:color="404040"/>
        </w:rPr>
      </w:pPr>
      <w:r>
        <w:rPr>
          <w:rFonts w:ascii="Arial" w:hAnsi="Arial" w:cs="Arial"/>
          <w:color w:val="404241"/>
          <w:u w:color="404241"/>
          <w:vertAlign w:val="superscript"/>
        </w:rPr>
        <w:footnoteRef/>
      </w:r>
      <w:r>
        <w:rPr>
          <w:rFonts w:ascii="Arial" w:hAnsi="Arial"/>
          <w:color w:val="595959"/>
          <w:sz w:val="20"/>
          <w:szCs w:val="20"/>
          <w:u w:color="595959"/>
        </w:rPr>
        <w:t xml:space="preserve"> </w:t>
      </w:r>
      <w:r w:rsidRPr="00596DCD">
        <w:rPr>
          <w:rFonts w:ascii="Arial" w:hAnsi="Arial"/>
          <w:color w:val="404040"/>
          <w:sz w:val="20"/>
          <w:szCs w:val="20"/>
          <w:u w:color="404040"/>
        </w:rPr>
        <w:t>Committee on the Rights of the Child (2016) Concluding observations on the fifth periodic report of the United Kingdom of Great Britain and Northern Ireland</w:t>
      </w:r>
      <w:r>
        <w:rPr>
          <w:rFonts w:ascii="Arial" w:hAnsi="Arial"/>
          <w:color w:val="404040"/>
          <w:sz w:val="20"/>
          <w:szCs w:val="20"/>
          <w:u w:color="404040"/>
        </w:rPr>
        <w:t xml:space="preserve">, </w:t>
      </w:r>
      <w:r w:rsidRPr="00596DCD">
        <w:rPr>
          <w:rFonts w:ascii="Arial" w:hAnsi="Arial"/>
          <w:color w:val="404040"/>
          <w:sz w:val="20"/>
          <w:szCs w:val="20"/>
          <w:u w:color="404040"/>
        </w:rPr>
        <w:t>paras 45 and 81</w:t>
      </w:r>
      <w:r>
        <w:rPr>
          <w:rFonts w:ascii="Arial" w:hAnsi="Arial"/>
          <w:color w:val="404040"/>
          <w:sz w:val="20"/>
          <w:szCs w:val="20"/>
          <w:u w:color="404040"/>
        </w:rPr>
        <w:t>.</w:t>
      </w:r>
      <w:r w:rsidR="00C259B0">
        <w:rPr>
          <w:rFonts w:ascii="Arial" w:hAnsi="Arial"/>
          <w:color w:val="404040"/>
          <w:sz w:val="20"/>
          <w:szCs w:val="20"/>
          <w:u w:color="404040"/>
        </w:rPr>
        <w:t xml:space="preserve"> Available at:</w:t>
      </w:r>
    </w:p>
    <w:p w14:paraId="069BD185" w14:textId="77777777" w:rsidR="00675400" w:rsidRDefault="00B845A4" w:rsidP="00D6426A">
      <w:pPr>
        <w:pStyle w:val="FootnoteText"/>
      </w:pPr>
      <w:hyperlink r:id="rId1" w:history="1">
        <w:r w:rsidR="00675400" w:rsidRPr="00596DCD">
          <w:rPr>
            <w:rStyle w:val="Hyperlink"/>
            <w:rFonts w:ascii="Arial" w:hAnsi="Arial"/>
            <w:sz w:val="20"/>
            <w:szCs w:val="20"/>
            <w:u w:color="404040"/>
          </w:rPr>
          <w:t>https://www.ohchr.org/en/countries/enacaregion/pages/gbindex.aspx</w:t>
        </w:r>
      </w:hyperlink>
    </w:p>
  </w:footnote>
  <w:footnote w:id="2">
    <w:p w14:paraId="62A2F06A" w14:textId="77777777" w:rsidR="00C259B0" w:rsidRPr="00BA2DF2" w:rsidRDefault="00C259B0" w:rsidP="00C259B0">
      <w:pPr>
        <w:pStyle w:val="FootnoteText"/>
        <w:rPr>
          <w:rFonts w:ascii="Arial" w:hAnsi="Arial" w:cs="Arial"/>
          <w:color w:val="404040" w:themeColor="text1" w:themeTint="BF"/>
          <w:sz w:val="20"/>
          <w:szCs w:val="20"/>
        </w:rPr>
      </w:pPr>
      <w:r w:rsidRPr="00BA2DF2">
        <w:rPr>
          <w:rStyle w:val="FootnoteReference"/>
          <w:rFonts w:ascii="Arial" w:hAnsi="Arial" w:cs="Arial"/>
          <w:color w:val="404040" w:themeColor="text1" w:themeTint="BF"/>
          <w:sz w:val="20"/>
          <w:szCs w:val="20"/>
        </w:rPr>
        <w:footnoteRef/>
      </w:r>
      <w:r w:rsidRPr="00BA2DF2">
        <w:rPr>
          <w:rFonts w:ascii="Arial" w:hAnsi="Arial" w:cs="Arial"/>
          <w:color w:val="404040" w:themeColor="text1" w:themeTint="BF"/>
          <w:sz w:val="20"/>
          <w:szCs w:val="20"/>
        </w:rPr>
        <w:t xml:space="preserve"> NICCY (2018) </w:t>
      </w:r>
      <w:r>
        <w:rPr>
          <w:rFonts w:ascii="Arial" w:hAnsi="Arial" w:cs="Arial"/>
          <w:color w:val="404040" w:themeColor="text1" w:themeTint="BF"/>
          <w:sz w:val="20"/>
          <w:szCs w:val="20"/>
        </w:rPr>
        <w:t xml:space="preserve">Advice to the </w:t>
      </w:r>
      <w:r w:rsidRPr="00BA2DF2">
        <w:rPr>
          <w:rFonts w:ascii="Arial" w:hAnsi="Arial" w:cs="Arial"/>
          <w:color w:val="404040" w:themeColor="text1" w:themeTint="BF"/>
          <w:sz w:val="20"/>
          <w:szCs w:val="20"/>
        </w:rPr>
        <w:t>Review of arrangements to deliver justice in serious sexual offences cases. Available at:</w:t>
      </w:r>
    </w:p>
    <w:p w14:paraId="1FEDFF02" w14:textId="77777777" w:rsidR="00C259B0" w:rsidRPr="00902E59" w:rsidRDefault="00C259B0" w:rsidP="00C259B0">
      <w:pPr>
        <w:pStyle w:val="FootnoteText"/>
        <w:rPr>
          <w:rFonts w:ascii="Arial" w:hAnsi="Arial" w:cs="Arial"/>
          <w:color w:val="404040" w:themeColor="text1" w:themeTint="BF"/>
          <w:sz w:val="20"/>
          <w:szCs w:val="20"/>
          <w:lang w:val="en-GB"/>
        </w:rPr>
      </w:pPr>
      <w:r w:rsidRPr="00902E59">
        <w:rPr>
          <w:rFonts w:ascii="Arial" w:hAnsi="Arial" w:cs="Arial"/>
          <w:color w:val="404040" w:themeColor="text1" w:themeTint="BF"/>
          <w:sz w:val="20"/>
          <w:szCs w:val="20"/>
        </w:rPr>
        <w:t>https://www.niccy.org/publications/2018/september/07/review-of-sexual-offences-cases/</w:t>
      </w:r>
    </w:p>
  </w:footnote>
  <w:footnote w:id="3">
    <w:p w14:paraId="420C6C35" w14:textId="77777777" w:rsidR="00675400" w:rsidRPr="00902E59" w:rsidRDefault="00675400">
      <w:pPr>
        <w:pStyle w:val="FootnoteText"/>
        <w:rPr>
          <w:rFonts w:ascii="Arial" w:hAnsi="Arial" w:cs="Arial"/>
          <w:color w:val="404040" w:themeColor="text1" w:themeTint="BF"/>
          <w:sz w:val="20"/>
          <w:szCs w:val="20"/>
          <w:lang w:val="en-GB"/>
        </w:rPr>
      </w:pPr>
      <w:r w:rsidRPr="00902E59">
        <w:rPr>
          <w:rStyle w:val="FootnoteReference"/>
          <w:rFonts w:ascii="Arial" w:hAnsi="Arial" w:cs="Arial"/>
          <w:color w:val="404040" w:themeColor="text1" w:themeTint="BF"/>
          <w:sz w:val="20"/>
          <w:szCs w:val="20"/>
        </w:rPr>
        <w:footnoteRef/>
      </w:r>
      <w:r w:rsidRPr="00902E59">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NICCY (2018) Reflections on Government CSE Progress Reports (Third and Fourth Composite Reports) Available at: </w:t>
      </w:r>
      <w:r w:rsidRPr="00902E59">
        <w:rPr>
          <w:rFonts w:ascii="Arial" w:hAnsi="Arial" w:cs="Arial"/>
          <w:color w:val="404040" w:themeColor="text1" w:themeTint="BF"/>
          <w:sz w:val="20"/>
          <w:szCs w:val="20"/>
        </w:rPr>
        <w:t>https://www.niccy.org/publications/2018/december/14/niccy-review-cse-progress-reports/</w:t>
      </w:r>
    </w:p>
  </w:footnote>
  <w:footnote w:id="4">
    <w:p w14:paraId="71A00E49" w14:textId="77777777" w:rsidR="00675400" w:rsidRDefault="00675400" w:rsidP="003A1A50">
      <w:pPr>
        <w:pStyle w:val="FootnoteText"/>
        <w:rPr>
          <w:rFonts w:ascii="Arial"/>
          <w:color w:val="404040"/>
          <w:sz w:val="20"/>
          <w:szCs w:val="20"/>
        </w:rPr>
      </w:pPr>
      <w:r>
        <w:rPr>
          <w:rStyle w:val="FootnoteReference"/>
        </w:rPr>
        <w:footnoteRef/>
      </w:r>
      <w:r>
        <w:t xml:space="preserve"> </w:t>
      </w:r>
      <w:r w:rsidRPr="00B72BE9">
        <w:rPr>
          <w:rFonts w:ascii="Arial"/>
          <w:color w:val="404040"/>
          <w:sz w:val="20"/>
          <w:szCs w:val="20"/>
        </w:rPr>
        <w:t>Committee on the Rights of the Child (2014) Concluding observations on the UK report on the Optional Protocol on the Rights of the Child on the sale of children, child prostitution and child pornography</w:t>
      </w:r>
      <w:r>
        <w:rPr>
          <w:rFonts w:ascii="Arial"/>
          <w:color w:val="404040"/>
          <w:sz w:val="20"/>
          <w:szCs w:val="20"/>
        </w:rPr>
        <w:t>, para 12(b)</w:t>
      </w:r>
      <w:r w:rsidRPr="00B72BE9">
        <w:rPr>
          <w:rFonts w:ascii="Arial"/>
          <w:color w:val="404040"/>
          <w:sz w:val="20"/>
          <w:szCs w:val="20"/>
        </w:rPr>
        <w:t>.</w:t>
      </w:r>
    </w:p>
    <w:p w14:paraId="2450E8FA" w14:textId="77777777" w:rsidR="00675400" w:rsidRDefault="00675400" w:rsidP="003A1A50">
      <w:pPr>
        <w:pStyle w:val="FootnoteText"/>
      </w:pPr>
      <w:r w:rsidRPr="00596DCD">
        <w:rPr>
          <w:rFonts w:ascii="Arial" w:hAnsi="Arial"/>
          <w:color w:val="404040"/>
          <w:sz w:val="20"/>
          <w:szCs w:val="20"/>
          <w:u w:color="404040"/>
        </w:rPr>
        <w:t>Committee on the Rights of the Child (2016) Concluding observations on the fifth periodic report of the United Kingdom of Great Britain and Northern Ireland</w:t>
      </w:r>
      <w:r>
        <w:rPr>
          <w:rFonts w:ascii="Arial" w:hAnsi="Arial"/>
          <w:color w:val="404040"/>
          <w:sz w:val="20"/>
          <w:szCs w:val="20"/>
          <w:u w:color="404040"/>
        </w:rPr>
        <w:t xml:space="preserve">, para 83. </w:t>
      </w:r>
    </w:p>
  </w:footnote>
  <w:footnote w:id="5">
    <w:p w14:paraId="4F068C5F" w14:textId="77777777" w:rsidR="00675400" w:rsidRPr="00902E59" w:rsidRDefault="00675400">
      <w:pPr>
        <w:pStyle w:val="FootnoteText"/>
        <w:rPr>
          <w:rFonts w:ascii="Arial" w:hAnsi="Arial" w:cs="Arial"/>
          <w:color w:val="404040" w:themeColor="text1" w:themeTint="BF"/>
          <w:sz w:val="20"/>
          <w:szCs w:val="20"/>
          <w:lang w:val="en-GB"/>
        </w:rPr>
      </w:pPr>
      <w:r w:rsidRPr="00902E59">
        <w:rPr>
          <w:rStyle w:val="FootnoteReference"/>
          <w:rFonts w:ascii="Arial" w:hAnsi="Arial" w:cs="Arial"/>
          <w:color w:val="404040" w:themeColor="text1" w:themeTint="BF"/>
          <w:sz w:val="20"/>
          <w:szCs w:val="20"/>
        </w:rPr>
        <w:footnoteRef/>
      </w:r>
      <w:r w:rsidRPr="00902E59">
        <w:rPr>
          <w:rFonts w:ascii="Arial" w:hAnsi="Arial" w:cs="Arial"/>
          <w:color w:val="404040" w:themeColor="text1" w:themeTint="BF"/>
          <w:sz w:val="20"/>
          <w:szCs w:val="20"/>
        </w:rPr>
        <w:t xml:space="preserve"> https://www.coe.int/en/web/children/lanzarote-convention</w:t>
      </w:r>
    </w:p>
  </w:footnote>
  <w:footnote w:id="6">
    <w:p w14:paraId="4943F247" w14:textId="77777777" w:rsidR="00675400" w:rsidRDefault="00675400">
      <w:pPr>
        <w:pStyle w:val="FootnoteText"/>
        <w:rPr>
          <w:rFonts w:ascii="Arial" w:hAnsi="Arial" w:cs="Arial"/>
          <w:color w:val="404040" w:themeColor="text1" w:themeTint="BF"/>
          <w:sz w:val="20"/>
          <w:szCs w:val="20"/>
        </w:rPr>
      </w:pPr>
      <w:r>
        <w:rPr>
          <w:rStyle w:val="FootnoteReference"/>
        </w:rPr>
        <w:footnoteRef/>
      </w:r>
      <w:r>
        <w:t xml:space="preserve"> </w:t>
      </w:r>
      <w:r w:rsidRPr="00902E59">
        <w:rPr>
          <w:rFonts w:ascii="Arial" w:hAnsi="Arial" w:cs="Arial"/>
          <w:color w:val="404040" w:themeColor="text1" w:themeTint="BF"/>
          <w:sz w:val="20"/>
          <w:szCs w:val="20"/>
        </w:rPr>
        <w:t>Committee on the Rights of the Child (2016) General Comment 20: On the implementation of the rights of the child during adolescence</w:t>
      </w:r>
      <w:r>
        <w:rPr>
          <w:rFonts w:ascii="Arial" w:hAnsi="Arial" w:cs="Arial"/>
          <w:color w:val="404040" w:themeColor="text1" w:themeTint="BF"/>
          <w:sz w:val="20"/>
          <w:szCs w:val="20"/>
        </w:rPr>
        <w:t xml:space="preserve">. Available at: </w:t>
      </w:r>
    </w:p>
    <w:p w14:paraId="4EB2587F" w14:textId="77777777" w:rsidR="00675400" w:rsidRPr="00902E59" w:rsidRDefault="00B845A4">
      <w:pPr>
        <w:pStyle w:val="FootnoteText"/>
        <w:rPr>
          <w:rFonts w:ascii="Arial" w:hAnsi="Arial" w:cs="Arial"/>
          <w:color w:val="404040" w:themeColor="text1" w:themeTint="BF"/>
          <w:sz w:val="20"/>
          <w:szCs w:val="20"/>
          <w:lang w:val="en-GB"/>
        </w:rPr>
      </w:pPr>
      <w:hyperlink r:id="rId2" w:history="1">
        <w:r w:rsidR="00675400" w:rsidRPr="0091122B">
          <w:rPr>
            <w:rStyle w:val="Hyperlink"/>
            <w:rFonts w:ascii="Arial" w:hAnsi="Arial" w:cs="Arial"/>
            <w:sz w:val="20"/>
            <w:szCs w:val="20"/>
            <w:lang w:val="en-GB"/>
          </w:rPr>
          <w:t>https://tbinternet.ohchr.org/_layouts/treatybodyexternal/TBSearch.aspx?Lang=en&amp;TreatyID=5&amp;DocTypeID=11</w:t>
        </w:r>
      </w:hyperlink>
    </w:p>
  </w:footnote>
  <w:footnote w:id="7">
    <w:p w14:paraId="2AF9DDA6" w14:textId="77777777" w:rsidR="00675400" w:rsidRPr="00902E59" w:rsidRDefault="00675400">
      <w:pPr>
        <w:pStyle w:val="FootnoteText"/>
        <w:rPr>
          <w:lang w:val="en-GB"/>
        </w:rPr>
      </w:pPr>
      <w:r>
        <w:rPr>
          <w:rStyle w:val="FootnoteReference"/>
        </w:rPr>
        <w:footnoteRef/>
      </w:r>
      <w:r>
        <w:t xml:space="preserve"> </w:t>
      </w:r>
      <w:r w:rsidRPr="00902E59">
        <w:rPr>
          <w:rFonts w:ascii="Arial" w:hAnsi="Arial" w:cs="Arial"/>
          <w:color w:val="404040" w:themeColor="text1" w:themeTint="BF"/>
          <w:sz w:val="20"/>
          <w:szCs w:val="20"/>
        </w:rPr>
        <w:t>Committee on the Rights of the Child (2016) General Comment 20: On the implementation of the rights of the child during adolescence,</w:t>
      </w:r>
      <w:r>
        <w:rPr>
          <w:rFonts w:ascii="Arial" w:hAnsi="Arial" w:cs="Arial"/>
          <w:color w:val="404040" w:themeColor="text1" w:themeTint="BF"/>
          <w:sz w:val="20"/>
          <w:szCs w:val="20"/>
        </w:rPr>
        <w:t xml:space="preserve"> para 19. </w:t>
      </w:r>
      <w:r w:rsidRPr="00902E59">
        <w:rPr>
          <w:rFonts w:ascii="Arial" w:hAnsi="Arial" w:cs="Arial"/>
          <w:color w:val="404040" w:themeColor="text1" w:themeTint="BF"/>
          <w:sz w:val="20"/>
          <w:szCs w:val="20"/>
          <w:lang w:val="en-GB"/>
        </w:rPr>
        <w:t xml:space="preserve"> </w:t>
      </w:r>
    </w:p>
  </w:footnote>
  <w:footnote w:id="8">
    <w:p w14:paraId="3015AEC8" w14:textId="77777777" w:rsidR="00C259B0" w:rsidRDefault="00C259B0" w:rsidP="00C259B0">
      <w:pPr>
        <w:pStyle w:val="FootnoteText"/>
        <w:rPr>
          <w:rFonts w:ascii="Arial" w:hAnsi="Arial" w:cs="Arial"/>
          <w:color w:val="404040" w:themeColor="text1" w:themeTint="BF"/>
          <w:sz w:val="20"/>
          <w:szCs w:val="20"/>
        </w:rPr>
      </w:pPr>
      <w:r w:rsidRPr="005C3A60">
        <w:rPr>
          <w:rStyle w:val="FootnoteReference"/>
          <w:rFonts w:ascii="Arial" w:hAnsi="Arial" w:cs="Arial"/>
          <w:color w:val="404040" w:themeColor="text1" w:themeTint="BF"/>
          <w:sz w:val="20"/>
          <w:szCs w:val="20"/>
        </w:rPr>
        <w:footnoteRef/>
      </w:r>
      <w:r w:rsidRPr="005C3A60">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DoH</w:t>
      </w:r>
      <w:proofErr w:type="spellEnd"/>
      <w:r>
        <w:rPr>
          <w:rFonts w:ascii="Arial" w:hAnsi="Arial" w:cs="Arial"/>
          <w:color w:val="404040" w:themeColor="text1" w:themeTint="BF"/>
          <w:sz w:val="20"/>
          <w:szCs w:val="20"/>
        </w:rPr>
        <w:t xml:space="preserve"> (2017) Co-operating to Safeguard Children in Northern Ireland, section 7.2.7. Available at:</w:t>
      </w:r>
    </w:p>
    <w:p w14:paraId="4ADF099E" w14:textId="77777777" w:rsidR="00C259B0" w:rsidRPr="005C3A60" w:rsidRDefault="00B845A4" w:rsidP="00C259B0">
      <w:pPr>
        <w:pStyle w:val="FootnoteText"/>
        <w:rPr>
          <w:rFonts w:ascii="Arial" w:hAnsi="Arial" w:cs="Arial"/>
          <w:color w:val="404040" w:themeColor="text1" w:themeTint="BF"/>
          <w:sz w:val="20"/>
          <w:szCs w:val="20"/>
          <w:lang w:val="en-GB"/>
        </w:rPr>
      </w:pPr>
      <w:hyperlink r:id="rId3" w:history="1">
        <w:r w:rsidR="00C259B0" w:rsidRPr="0091122B">
          <w:rPr>
            <w:rStyle w:val="Hyperlink"/>
            <w:rFonts w:ascii="Arial" w:hAnsi="Arial" w:cs="Arial"/>
            <w:sz w:val="20"/>
            <w:szCs w:val="20"/>
          </w:rPr>
          <w:t>https://www.health-ni.gov.uk/publications/co-operating-safeguard-children-and-young-people-northern-ireland</w:t>
        </w:r>
      </w:hyperlink>
    </w:p>
  </w:footnote>
  <w:footnote w:id="9">
    <w:p w14:paraId="7985AE0F" w14:textId="0F15AD99" w:rsidR="005C009E" w:rsidRPr="005C009E" w:rsidRDefault="005C009E">
      <w:pPr>
        <w:pStyle w:val="FootnoteText"/>
        <w:rPr>
          <w:rFonts w:ascii="Arial" w:hAnsi="Arial" w:cs="Arial"/>
          <w:color w:val="404040" w:themeColor="text1" w:themeTint="BF"/>
          <w:sz w:val="20"/>
          <w:szCs w:val="20"/>
          <w:lang w:val="en-GB"/>
        </w:rPr>
      </w:pPr>
      <w:r w:rsidRPr="005C009E">
        <w:rPr>
          <w:rStyle w:val="FootnoteReference"/>
          <w:rFonts w:ascii="Arial" w:hAnsi="Arial" w:cs="Arial"/>
          <w:color w:val="404040" w:themeColor="text1" w:themeTint="BF"/>
          <w:sz w:val="20"/>
          <w:szCs w:val="20"/>
        </w:rPr>
        <w:footnoteRef/>
      </w:r>
      <w:r w:rsidRPr="005C009E">
        <w:rPr>
          <w:rFonts w:ascii="Arial" w:hAnsi="Arial" w:cs="Arial"/>
          <w:color w:val="404040" w:themeColor="text1" w:themeTint="BF"/>
          <w:sz w:val="20"/>
          <w:szCs w:val="20"/>
        </w:rPr>
        <w:t xml:space="preserve"> </w:t>
      </w:r>
      <w:r w:rsidRPr="005C009E">
        <w:rPr>
          <w:rFonts w:ascii="Arial" w:hAnsi="Arial" w:cs="Arial"/>
          <w:color w:val="404040" w:themeColor="text1" w:themeTint="BF"/>
          <w:sz w:val="20"/>
          <w:szCs w:val="20"/>
          <w:lang w:val="en-GB"/>
        </w:rPr>
        <w:t>Beckett H. and Walker J. (201</w:t>
      </w:r>
      <w:r>
        <w:rPr>
          <w:rFonts w:ascii="Arial" w:hAnsi="Arial" w:cs="Arial"/>
          <w:color w:val="404040" w:themeColor="text1" w:themeTint="BF"/>
          <w:sz w:val="20"/>
          <w:szCs w:val="20"/>
          <w:lang w:val="en-GB"/>
        </w:rPr>
        <w:t>7</w:t>
      </w:r>
      <w:r w:rsidRPr="005C009E">
        <w:rPr>
          <w:rFonts w:ascii="Arial" w:hAnsi="Arial" w:cs="Arial"/>
          <w:color w:val="404040" w:themeColor="text1" w:themeTint="BF"/>
          <w:sz w:val="20"/>
          <w:szCs w:val="20"/>
          <w:lang w:val="en-GB"/>
        </w:rPr>
        <w:t xml:space="preserve">) </w:t>
      </w:r>
      <w:r w:rsidR="00B845A4">
        <w:rPr>
          <w:rFonts w:ascii="Arial" w:hAnsi="Arial" w:cs="Arial"/>
          <w:color w:val="404040" w:themeColor="text1" w:themeTint="BF"/>
          <w:sz w:val="20"/>
          <w:szCs w:val="20"/>
          <w:lang w:val="en-GB"/>
        </w:rPr>
        <w:t xml:space="preserve">Words Matter: </w:t>
      </w:r>
      <w:r w:rsidRPr="005C009E">
        <w:rPr>
          <w:rFonts w:ascii="Arial" w:hAnsi="Arial" w:cs="Arial"/>
          <w:color w:val="404040" w:themeColor="text1" w:themeTint="BF"/>
          <w:sz w:val="20"/>
          <w:szCs w:val="20"/>
          <w:lang w:val="en-GB"/>
        </w:rPr>
        <w:t>Reconceptualising the conceptualisation of child sexual exploitation in (</w:t>
      </w:r>
      <w:proofErr w:type="spellStart"/>
      <w:proofErr w:type="gramStart"/>
      <w:r w:rsidRPr="005C009E">
        <w:rPr>
          <w:rFonts w:ascii="Arial" w:hAnsi="Arial" w:cs="Arial"/>
          <w:color w:val="404040" w:themeColor="text1" w:themeTint="BF"/>
          <w:sz w:val="20"/>
          <w:szCs w:val="20"/>
          <w:lang w:val="en-GB"/>
        </w:rPr>
        <w:t>eds</w:t>
      </w:r>
      <w:proofErr w:type="spellEnd"/>
      <w:proofErr w:type="gramEnd"/>
      <w:r w:rsidRPr="005C009E">
        <w:rPr>
          <w:rFonts w:ascii="Arial" w:hAnsi="Arial" w:cs="Arial"/>
          <w:color w:val="404040" w:themeColor="text1" w:themeTint="BF"/>
          <w:sz w:val="20"/>
          <w:szCs w:val="20"/>
          <w:lang w:val="en-GB"/>
        </w:rPr>
        <w:t xml:space="preserve">) Beckett H. and Pearce J. </w:t>
      </w:r>
      <w:r w:rsidR="00B845A4">
        <w:rPr>
          <w:rFonts w:ascii="Arial" w:hAnsi="Arial" w:cs="Arial"/>
          <w:color w:val="404040" w:themeColor="text1" w:themeTint="BF"/>
          <w:sz w:val="20"/>
          <w:szCs w:val="20"/>
          <w:lang w:val="en-GB"/>
        </w:rPr>
        <w:t xml:space="preserve">(2017) </w:t>
      </w:r>
      <w:r w:rsidRPr="005C009E">
        <w:rPr>
          <w:rFonts w:ascii="Arial" w:hAnsi="Arial" w:cs="Arial"/>
          <w:color w:val="404040" w:themeColor="text1" w:themeTint="BF"/>
          <w:sz w:val="20"/>
          <w:szCs w:val="20"/>
          <w:lang w:val="en-GB"/>
        </w:rPr>
        <w:t xml:space="preserve">Understanding and Responding to Child Sexual Exploitation. </w:t>
      </w:r>
      <w:r>
        <w:rPr>
          <w:rFonts w:ascii="Arial" w:hAnsi="Arial" w:cs="Arial"/>
          <w:color w:val="404040" w:themeColor="text1" w:themeTint="BF"/>
          <w:sz w:val="20"/>
          <w:szCs w:val="20"/>
          <w:lang w:val="en-GB"/>
        </w:rPr>
        <w:t xml:space="preserve">London: </w:t>
      </w:r>
      <w:r w:rsidRPr="005C009E">
        <w:rPr>
          <w:rFonts w:ascii="Arial" w:hAnsi="Arial" w:cs="Arial"/>
          <w:color w:val="404040" w:themeColor="text1" w:themeTint="BF"/>
          <w:sz w:val="20"/>
          <w:szCs w:val="20"/>
          <w:lang w:val="en-GB"/>
        </w:rPr>
        <w:t>Routledge</w:t>
      </w:r>
      <w:r>
        <w:rPr>
          <w:rFonts w:ascii="Arial" w:hAnsi="Arial" w:cs="Arial"/>
          <w:color w:val="404040" w:themeColor="text1" w:themeTint="BF"/>
          <w:sz w:val="20"/>
          <w:szCs w:val="20"/>
          <w:lang w:val="en-GB"/>
        </w:rPr>
        <w:t>.</w:t>
      </w:r>
    </w:p>
  </w:footnote>
  <w:footnote w:id="10">
    <w:p w14:paraId="6203276B" w14:textId="77777777" w:rsidR="00675400" w:rsidRPr="00411321" w:rsidRDefault="00675400" w:rsidP="00596024">
      <w:pPr>
        <w:pStyle w:val="FootnoteText"/>
        <w:rPr>
          <w:rFonts w:ascii="Arial" w:hAnsi="Arial" w:cs="Arial"/>
          <w:color w:val="404040" w:themeColor="text1" w:themeTint="BF"/>
          <w:sz w:val="20"/>
          <w:szCs w:val="20"/>
        </w:rPr>
      </w:pPr>
      <w:r w:rsidRPr="00411321">
        <w:rPr>
          <w:rStyle w:val="FootnoteReference"/>
          <w:rFonts w:ascii="Arial" w:hAnsi="Arial" w:cs="Arial"/>
          <w:color w:val="404040" w:themeColor="text1" w:themeTint="BF"/>
          <w:sz w:val="20"/>
          <w:szCs w:val="20"/>
        </w:rPr>
        <w:footnoteRef/>
      </w:r>
      <w:r w:rsidRPr="00411321">
        <w:rPr>
          <w:rFonts w:ascii="Arial" w:hAnsi="Arial" w:cs="Arial"/>
          <w:color w:val="404040" w:themeColor="text1" w:themeTint="BF"/>
          <w:sz w:val="20"/>
          <w:szCs w:val="20"/>
        </w:rPr>
        <w:t xml:space="preserve"> Beckett H., Holmes D., and Walker J. (2017) D</w:t>
      </w:r>
      <w:bookmarkStart w:id="0" w:name="_GoBack"/>
      <w:bookmarkEnd w:id="0"/>
      <w:r w:rsidRPr="00411321">
        <w:rPr>
          <w:rFonts w:ascii="Arial" w:hAnsi="Arial" w:cs="Arial"/>
          <w:color w:val="404040" w:themeColor="text1" w:themeTint="BF"/>
          <w:sz w:val="20"/>
          <w:szCs w:val="20"/>
        </w:rPr>
        <w:t>efini</w:t>
      </w:r>
      <w:r>
        <w:rPr>
          <w:rFonts w:ascii="Arial" w:hAnsi="Arial" w:cs="Arial"/>
          <w:color w:val="404040" w:themeColor="text1" w:themeTint="BF"/>
          <w:sz w:val="20"/>
          <w:szCs w:val="20"/>
        </w:rPr>
        <w:t>ti</w:t>
      </w:r>
      <w:r w:rsidRPr="00411321">
        <w:rPr>
          <w:rFonts w:ascii="Arial" w:hAnsi="Arial" w:cs="Arial"/>
          <w:color w:val="404040" w:themeColor="text1" w:themeTint="BF"/>
          <w:sz w:val="20"/>
          <w:szCs w:val="20"/>
        </w:rPr>
        <w:t>on and Guide for professionals: Extended Text, University of Bedfor</w:t>
      </w:r>
      <w:r>
        <w:rPr>
          <w:rFonts w:ascii="Arial" w:hAnsi="Arial" w:cs="Arial"/>
          <w:color w:val="404040" w:themeColor="text1" w:themeTint="BF"/>
          <w:sz w:val="20"/>
          <w:szCs w:val="20"/>
        </w:rPr>
        <w:t>d</w:t>
      </w:r>
      <w:r w:rsidRPr="00411321">
        <w:rPr>
          <w:rFonts w:ascii="Arial" w:hAnsi="Arial" w:cs="Arial"/>
          <w:color w:val="404040" w:themeColor="text1" w:themeTint="BF"/>
          <w:sz w:val="20"/>
          <w:szCs w:val="20"/>
        </w:rPr>
        <w:t>shire. Available at:</w:t>
      </w:r>
    </w:p>
    <w:p w14:paraId="2E0C12E2" w14:textId="5BF5CE17" w:rsidR="00675400" w:rsidRDefault="00B845A4" w:rsidP="00596024">
      <w:pPr>
        <w:pStyle w:val="FootnoteText"/>
        <w:rPr>
          <w:rStyle w:val="Hyperlink"/>
          <w:rFonts w:ascii="Arial" w:hAnsi="Arial" w:cs="Arial"/>
          <w:sz w:val="20"/>
          <w:szCs w:val="20"/>
          <w:lang w:val="en-GB"/>
        </w:rPr>
      </w:pPr>
      <w:hyperlink r:id="rId4" w:history="1">
        <w:r w:rsidR="00675400" w:rsidRPr="0091122B">
          <w:rPr>
            <w:rStyle w:val="Hyperlink"/>
            <w:rFonts w:ascii="Arial" w:hAnsi="Arial" w:cs="Arial"/>
            <w:sz w:val="20"/>
            <w:szCs w:val="20"/>
            <w:lang w:val="en-GB"/>
          </w:rPr>
          <w:t>https://www.beds.ac.uk/ic/publications</w:t>
        </w:r>
      </w:hyperlink>
    </w:p>
    <w:p w14:paraId="7FF0385F" w14:textId="77777777" w:rsidR="005C009E" w:rsidRDefault="005C009E" w:rsidP="00596024">
      <w:pPr>
        <w:pStyle w:val="FootnoteText"/>
        <w:rPr>
          <w:rFonts w:ascii="Arial" w:hAnsi="Arial" w:cs="Arial"/>
          <w:sz w:val="20"/>
          <w:szCs w:val="20"/>
          <w:lang w:val="en-GB"/>
        </w:rPr>
      </w:pPr>
    </w:p>
    <w:p w14:paraId="203D27DE" w14:textId="77777777" w:rsidR="00675400" w:rsidRPr="00941C25" w:rsidRDefault="00675400" w:rsidP="00596024">
      <w:pPr>
        <w:pStyle w:val="FootnoteText"/>
        <w:rPr>
          <w:rFonts w:ascii="Arial" w:hAnsi="Arial" w:cs="Arial"/>
          <w:sz w:val="20"/>
          <w:szCs w:val="20"/>
          <w:lang w:val="en-GB"/>
        </w:rPr>
      </w:pPr>
    </w:p>
  </w:footnote>
  <w:footnote w:id="11">
    <w:p w14:paraId="652F393A" w14:textId="77777777" w:rsidR="00675400" w:rsidRPr="00A040C6" w:rsidRDefault="00675400">
      <w:pPr>
        <w:pStyle w:val="FootnoteText"/>
        <w:rPr>
          <w:lang w:val="en-GB"/>
        </w:rPr>
      </w:pPr>
      <w:r>
        <w:rPr>
          <w:rStyle w:val="FootnoteReference"/>
        </w:rPr>
        <w:footnoteRef/>
      </w:r>
      <w:r>
        <w:t xml:space="preserve"> </w:t>
      </w:r>
      <w:r w:rsidRPr="00B72BE9">
        <w:rPr>
          <w:rFonts w:ascii="Arial"/>
          <w:color w:val="404040"/>
          <w:sz w:val="20"/>
          <w:szCs w:val="20"/>
        </w:rPr>
        <w:t>Committee on the Rights of the Child (2014) Concluding observations on the UK report on the Optional Protocol on the Rights of the Child on the sale of children, child prostitution and child pornography</w:t>
      </w:r>
      <w:r>
        <w:rPr>
          <w:rFonts w:ascii="Arial"/>
          <w:color w:val="404040"/>
          <w:sz w:val="20"/>
          <w:szCs w:val="20"/>
        </w:rPr>
        <w:t>, para 27</w:t>
      </w:r>
      <w:r w:rsidRPr="00B72BE9">
        <w:rPr>
          <w:rFonts w:ascii="Arial"/>
          <w:color w:val="404040"/>
          <w:sz w:val="20"/>
          <w:szCs w:val="20"/>
        </w:rPr>
        <w:t>.</w:t>
      </w:r>
    </w:p>
  </w:footnote>
  <w:footnote w:id="12">
    <w:p w14:paraId="5FB34E25" w14:textId="77777777" w:rsidR="00675400" w:rsidRPr="002C0677" w:rsidRDefault="00675400">
      <w:pPr>
        <w:pStyle w:val="FootnoteText"/>
        <w:rPr>
          <w:lang w:val="en-GB"/>
        </w:rPr>
      </w:pPr>
      <w:r>
        <w:rPr>
          <w:rStyle w:val="FootnoteReference"/>
        </w:rPr>
        <w:footnoteRef/>
      </w:r>
      <w:r>
        <w:t xml:space="preserve"> </w:t>
      </w:r>
      <w:r w:rsidRPr="00A040C6">
        <w:rPr>
          <w:rFonts w:ascii="Arial" w:hAnsi="Arial" w:cs="Arial"/>
          <w:color w:val="404040"/>
          <w:sz w:val="20"/>
          <w:szCs w:val="20"/>
          <w:u w:color="FF0000"/>
        </w:rPr>
        <w:t>AB v Her Majesty’s Advocate (Scotland) [2017] UKSC</w:t>
      </w:r>
      <w:r>
        <w:rPr>
          <w:rFonts w:ascii="Arial" w:hAnsi="Arial" w:cs="Arial"/>
          <w:color w:val="404040"/>
          <w:sz w:val="20"/>
          <w:szCs w:val="20"/>
          <w:u w:color="FF0000"/>
        </w:rPr>
        <w:t xml:space="preserve"> </w:t>
      </w:r>
      <w:r w:rsidRPr="00A040C6">
        <w:rPr>
          <w:rFonts w:ascii="Arial" w:hAnsi="Arial" w:cs="Arial"/>
          <w:color w:val="404040"/>
          <w:sz w:val="20"/>
          <w:szCs w:val="20"/>
          <w:u w:color="FF0000"/>
        </w:rPr>
        <w:t>25</w:t>
      </w:r>
      <w:r>
        <w:rPr>
          <w:rFonts w:ascii="Arial" w:hAnsi="Arial" w:cs="Arial"/>
          <w:color w:val="404040"/>
          <w:sz w:val="20"/>
          <w:szCs w:val="20"/>
          <w:u w:color="FF0000"/>
        </w:rPr>
        <w:t>.</w:t>
      </w:r>
    </w:p>
  </w:footnote>
  <w:footnote w:id="13">
    <w:p w14:paraId="7CC9C6BE" w14:textId="77777777" w:rsidR="00675400" w:rsidRPr="00871ED3" w:rsidRDefault="00675400">
      <w:pPr>
        <w:pStyle w:val="FootnoteText"/>
        <w:rPr>
          <w:rFonts w:ascii="Arial" w:hAnsi="Arial" w:cs="Arial"/>
          <w:color w:val="404040" w:themeColor="text1" w:themeTint="BF"/>
          <w:sz w:val="20"/>
          <w:szCs w:val="20"/>
          <w:lang w:val="en-GB"/>
        </w:rPr>
      </w:pPr>
      <w:r w:rsidRPr="0063068F">
        <w:rPr>
          <w:rStyle w:val="FootnoteReference"/>
          <w:rFonts w:ascii="Arial" w:hAnsi="Arial" w:cs="Arial"/>
          <w:sz w:val="20"/>
          <w:szCs w:val="20"/>
        </w:rPr>
        <w:footnoteRef/>
      </w:r>
      <w:r w:rsidRPr="0063068F">
        <w:rPr>
          <w:rFonts w:ascii="Arial" w:hAnsi="Arial" w:cs="Arial"/>
          <w:sz w:val="20"/>
          <w:szCs w:val="20"/>
        </w:rPr>
        <w:t xml:space="preserve"> </w:t>
      </w:r>
      <w:r w:rsidRPr="00871ED3">
        <w:rPr>
          <w:rFonts w:ascii="Arial" w:hAnsi="Arial" w:cs="Arial"/>
          <w:color w:val="404040" w:themeColor="text1" w:themeTint="BF"/>
          <w:sz w:val="20"/>
          <w:szCs w:val="20"/>
        </w:rPr>
        <w:t>https://www.nspcc.org.uk/what-we-do/news-opinion/abuse-of-position-of-trust/</w:t>
      </w:r>
    </w:p>
  </w:footnote>
  <w:footnote w:id="14">
    <w:p w14:paraId="63DA570A" w14:textId="77777777" w:rsidR="00675400" w:rsidRPr="00871ED3" w:rsidRDefault="00675400">
      <w:pPr>
        <w:pStyle w:val="FootnoteText"/>
        <w:rPr>
          <w:rFonts w:ascii="Arial" w:hAnsi="Arial" w:cs="Arial"/>
          <w:color w:val="404040" w:themeColor="text1" w:themeTint="BF"/>
          <w:sz w:val="20"/>
          <w:szCs w:val="20"/>
          <w:lang w:val="en-GB"/>
        </w:rPr>
      </w:pPr>
      <w:r w:rsidRPr="00871ED3">
        <w:rPr>
          <w:rStyle w:val="FootnoteReference"/>
          <w:rFonts w:ascii="Arial" w:hAnsi="Arial" w:cs="Arial"/>
          <w:color w:val="404040" w:themeColor="text1" w:themeTint="BF"/>
          <w:sz w:val="20"/>
          <w:szCs w:val="20"/>
        </w:rPr>
        <w:footnoteRef/>
      </w:r>
      <w:r w:rsidRPr="00871ED3">
        <w:rPr>
          <w:rFonts w:ascii="Arial" w:hAnsi="Arial" w:cs="Arial"/>
          <w:color w:val="404040" w:themeColor="text1" w:themeTint="BF"/>
          <w:sz w:val="20"/>
          <w:szCs w:val="20"/>
        </w:rPr>
        <w:t xml:space="preserve"> https://www.iicsa.org.uk/</w:t>
      </w:r>
    </w:p>
  </w:footnote>
  <w:footnote w:id="15">
    <w:p w14:paraId="4A4A09C0" w14:textId="77777777" w:rsidR="00675400" w:rsidRDefault="00675400">
      <w:pPr>
        <w:pStyle w:val="FootnoteText"/>
      </w:pPr>
      <w:r>
        <w:rPr>
          <w:rStyle w:val="FootnoteReference"/>
        </w:rPr>
        <w:footnoteRef/>
      </w:r>
      <w:r>
        <w:t xml:space="preserve"> </w:t>
      </w:r>
      <w:hyperlink r:id="rId5" w:history="1">
        <w:r w:rsidRPr="00013FEF">
          <w:rPr>
            <w:rStyle w:val="Hyperlink"/>
            <w:rFonts w:ascii="Arial" w:hAnsi="Arial" w:cs="Arial"/>
            <w:sz w:val="20"/>
            <w:szCs w:val="20"/>
          </w:rPr>
          <w:t>https://www.dcya.gov.ie/docs/EN/Press-Releases-copy-dcya-gov-ie-2019/81/5071.htm</w:t>
        </w:r>
      </w:hyperlink>
    </w:p>
    <w:p w14:paraId="1564F2E7" w14:textId="77777777" w:rsidR="00675400" w:rsidRPr="002D72D2" w:rsidRDefault="00B845A4">
      <w:pPr>
        <w:pStyle w:val="FootnoteText"/>
        <w:rPr>
          <w:rFonts w:ascii="Arial" w:hAnsi="Arial" w:cs="Arial"/>
          <w:color w:val="404040" w:themeColor="text1" w:themeTint="BF"/>
          <w:sz w:val="20"/>
          <w:szCs w:val="20"/>
          <w:lang w:val="en-GB"/>
        </w:rPr>
      </w:pPr>
      <w:hyperlink r:id="rId6" w:history="1">
        <w:r w:rsidR="00675400" w:rsidRPr="0091122B">
          <w:rPr>
            <w:rStyle w:val="Hyperlink"/>
            <w:rFonts w:ascii="Arial" w:hAnsi="Arial" w:cs="Arial"/>
            <w:sz w:val="20"/>
            <w:szCs w:val="20"/>
            <w:lang w:val="en-GB"/>
          </w:rPr>
          <w:t>https://www.thejournal.ie/scouting-ireland-abuse-cases-4351408-Nov2018/</w:t>
        </w:r>
      </w:hyperlink>
    </w:p>
  </w:footnote>
  <w:footnote w:id="16">
    <w:p w14:paraId="5CC74DD3" w14:textId="77777777" w:rsidR="00675400" w:rsidRPr="0022486D" w:rsidRDefault="00675400">
      <w:pPr>
        <w:pStyle w:val="FootnoteText"/>
        <w:rPr>
          <w:lang w:val="en-GB"/>
        </w:rPr>
      </w:pPr>
      <w:r>
        <w:rPr>
          <w:rStyle w:val="FootnoteReference"/>
        </w:rPr>
        <w:footnoteRef/>
      </w:r>
      <w:r>
        <w:t xml:space="preserve"> </w:t>
      </w:r>
      <w:r w:rsidRPr="00902E59">
        <w:rPr>
          <w:rFonts w:ascii="Arial" w:hAnsi="Arial" w:cs="Arial"/>
          <w:color w:val="404040" w:themeColor="text1" w:themeTint="BF"/>
          <w:sz w:val="20"/>
          <w:szCs w:val="20"/>
        </w:rPr>
        <w:t>https://www.coe.int/en/web/children/lanzarote-convention</w:t>
      </w:r>
    </w:p>
  </w:footnote>
  <w:footnote w:id="17">
    <w:p w14:paraId="6501838C" w14:textId="77777777" w:rsidR="00675400" w:rsidRPr="008257AF" w:rsidRDefault="00675400">
      <w:pPr>
        <w:pStyle w:val="FootnoteText"/>
        <w:rPr>
          <w:rFonts w:ascii="Arial" w:hAnsi="Arial" w:cs="Arial"/>
          <w:color w:val="404040" w:themeColor="text1" w:themeTint="BF"/>
          <w:sz w:val="20"/>
          <w:szCs w:val="20"/>
          <w:lang w:val="en-GB"/>
        </w:rPr>
      </w:pPr>
      <w:r>
        <w:rPr>
          <w:rStyle w:val="FootnoteReference"/>
        </w:rPr>
        <w:footnoteRef/>
      </w:r>
      <w:r>
        <w:t xml:space="preserve"> </w:t>
      </w:r>
      <w:r w:rsidRPr="008257AF">
        <w:rPr>
          <w:rFonts w:ascii="Arial" w:hAnsi="Arial" w:cs="Arial"/>
          <w:color w:val="404040" w:themeColor="text1" w:themeTint="BF"/>
          <w:sz w:val="20"/>
          <w:szCs w:val="20"/>
        </w:rPr>
        <w:t xml:space="preserve">Council of Europe (2007) Explanatory report to the Council of Europe Convention on the Protection of Children against sexual exploitation and Sexual Abuse, </w:t>
      </w:r>
      <w:r w:rsidRPr="008257AF">
        <w:rPr>
          <w:rFonts w:ascii="Arial" w:hAnsi="Arial" w:cs="Arial"/>
          <w:color w:val="404040" w:themeColor="text1" w:themeTint="BF"/>
          <w:sz w:val="20"/>
          <w:szCs w:val="20"/>
          <w:u w:color="FF0000"/>
        </w:rPr>
        <w:t>para 123 and 124.</w:t>
      </w:r>
    </w:p>
  </w:footnote>
  <w:footnote w:id="18">
    <w:p w14:paraId="003803CF" w14:textId="4A97B479" w:rsidR="005D63B7" w:rsidRPr="005D63B7" w:rsidRDefault="005D63B7">
      <w:pPr>
        <w:pStyle w:val="FootnoteText"/>
        <w:rPr>
          <w:rFonts w:ascii="Arial" w:hAnsi="Arial" w:cs="Arial"/>
          <w:color w:val="404040" w:themeColor="text1" w:themeTint="BF"/>
          <w:sz w:val="20"/>
          <w:szCs w:val="20"/>
        </w:rPr>
      </w:pPr>
      <w:r>
        <w:rPr>
          <w:rStyle w:val="FootnoteReference"/>
        </w:rPr>
        <w:footnoteRef/>
      </w:r>
      <w:r>
        <w:t xml:space="preserve"> </w:t>
      </w:r>
      <w:r w:rsidRPr="005D63B7">
        <w:rPr>
          <w:rFonts w:ascii="Arial" w:hAnsi="Arial" w:cs="Arial"/>
          <w:color w:val="404040" w:themeColor="text1" w:themeTint="BF"/>
          <w:sz w:val="20"/>
          <w:szCs w:val="20"/>
        </w:rPr>
        <w:t>Committee of Justice (2016) Justice in the 21</w:t>
      </w:r>
      <w:r w:rsidRPr="005D63B7">
        <w:rPr>
          <w:rFonts w:ascii="Arial" w:hAnsi="Arial" w:cs="Arial"/>
          <w:color w:val="404040" w:themeColor="text1" w:themeTint="BF"/>
          <w:sz w:val="20"/>
          <w:szCs w:val="20"/>
          <w:vertAlign w:val="superscript"/>
        </w:rPr>
        <w:t>st</w:t>
      </w:r>
      <w:r w:rsidRPr="005D63B7">
        <w:rPr>
          <w:rFonts w:ascii="Arial" w:hAnsi="Arial" w:cs="Arial"/>
          <w:color w:val="404040" w:themeColor="text1" w:themeTint="BF"/>
          <w:sz w:val="20"/>
          <w:szCs w:val="20"/>
        </w:rPr>
        <w:t xml:space="preserve"> Century (NIA313/11-16). Available at:</w:t>
      </w:r>
    </w:p>
    <w:p w14:paraId="0D801332" w14:textId="1A8BCCAF" w:rsidR="005D63B7" w:rsidRPr="005D63B7" w:rsidRDefault="005D63B7">
      <w:pPr>
        <w:pStyle w:val="FootnoteText"/>
        <w:rPr>
          <w:rFonts w:ascii="Arial" w:hAnsi="Arial" w:cs="Arial"/>
          <w:color w:val="404040" w:themeColor="text1" w:themeTint="BF"/>
          <w:sz w:val="20"/>
          <w:szCs w:val="20"/>
          <w:lang w:val="en-GB"/>
        </w:rPr>
      </w:pPr>
      <w:r w:rsidRPr="005D63B7">
        <w:rPr>
          <w:rFonts w:ascii="Arial" w:hAnsi="Arial" w:cs="Arial"/>
          <w:color w:val="404040" w:themeColor="text1" w:themeTint="BF"/>
          <w:sz w:val="20"/>
          <w:szCs w:val="20"/>
        </w:rPr>
        <w:t>http://www.niassembly.gov.uk/assembly-business/committees/2016-2017/justice-2/reports/</w:t>
      </w:r>
    </w:p>
  </w:footnote>
  <w:footnote w:id="19">
    <w:p w14:paraId="6278FBCF" w14:textId="77777777" w:rsidR="00D331BC" w:rsidRPr="002D72D2" w:rsidRDefault="00D331BC" w:rsidP="00D331BC">
      <w:pPr>
        <w:pStyle w:val="FootnoteText"/>
        <w:rPr>
          <w:rFonts w:ascii="Arial" w:hAnsi="Arial" w:cs="Arial"/>
          <w:color w:val="404040" w:themeColor="text1" w:themeTint="BF"/>
          <w:sz w:val="20"/>
          <w:szCs w:val="20"/>
          <w:lang w:val="en-GB"/>
        </w:rPr>
      </w:pPr>
      <w:r>
        <w:rPr>
          <w:rStyle w:val="FootnoteReference"/>
        </w:rPr>
        <w:footnoteRef/>
      </w:r>
      <w:r>
        <w:t xml:space="preserve"> </w:t>
      </w:r>
      <w:r>
        <w:rPr>
          <w:lang w:val="en-GB"/>
        </w:rPr>
        <w:t xml:space="preserve"> </w:t>
      </w:r>
      <w:r w:rsidRPr="002D72D2">
        <w:rPr>
          <w:rFonts w:ascii="Arial" w:hAnsi="Arial" w:cs="Arial"/>
          <w:color w:val="404040" w:themeColor="text1" w:themeTint="BF"/>
          <w:sz w:val="20"/>
          <w:szCs w:val="20"/>
          <w:lang w:val="en-GB"/>
        </w:rPr>
        <w:t>https://www.cps.gov.uk/legal-guidance/social-media-guidelines-prosecuting-cases-involving-communications-sent-social-media</w:t>
      </w:r>
    </w:p>
  </w:footnote>
  <w:footnote w:id="20">
    <w:p w14:paraId="56612172" w14:textId="77777777" w:rsidR="00D331BC" w:rsidRPr="009444E3" w:rsidRDefault="00D331BC" w:rsidP="00D331BC">
      <w:pPr>
        <w:pStyle w:val="FootnoteText"/>
        <w:rPr>
          <w:rFonts w:ascii="Arial" w:hAnsi="Arial" w:cs="Arial"/>
          <w:color w:val="404040" w:themeColor="text1" w:themeTint="BF"/>
          <w:sz w:val="20"/>
          <w:szCs w:val="20"/>
          <w:lang w:val="en-GB"/>
        </w:rPr>
      </w:pPr>
      <w:r w:rsidRPr="009444E3">
        <w:rPr>
          <w:rStyle w:val="FootnoteReference"/>
          <w:rFonts w:ascii="Arial" w:hAnsi="Arial" w:cs="Arial"/>
          <w:color w:val="404040" w:themeColor="text1" w:themeTint="BF"/>
          <w:sz w:val="20"/>
          <w:szCs w:val="20"/>
        </w:rPr>
        <w:footnoteRef/>
      </w:r>
      <w:r w:rsidRPr="009444E3">
        <w:rPr>
          <w:rFonts w:ascii="Arial" w:hAnsi="Arial" w:cs="Arial"/>
          <w:color w:val="404040" w:themeColor="text1" w:themeTint="BF"/>
          <w:sz w:val="20"/>
          <w:szCs w:val="20"/>
        </w:rPr>
        <w:t xml:space="preserve"> https://news.npcc.police.uk/releases/police-responding-proportionately-to-rising-number-of-sexting-incidents</w:t>
      </w:r>
    </w:p>
  </w:footnote>
  <w:footnote w:id="21">
    <w:p w14:paraId="0DF08DC2" w14:textId="266701A8" w:rsidR="00376021" w:rsidRDefault="00D331BC" w:rsidP="00D331BC">
      <w:pPr>
        <w:rPr>
          <w:rFonts w:ascii="Arial" w:hAnsi="Arial" w:cs="Arial"/>
          <w:color w:val="404040" w:themeColor="text1" w:themeTint="BF"/>
        </w:rPr>
      </w:pPr>
      <w:r w:rsidRPr="009444E3">
        <w:rPr>
          <w:rStyle w:val="FootnoteReference"/>
          <w:rFonts w:ascii="Arial" w:hAnsi="Arial" w:cs="Arial"/>
          <w:color w:val="404040" w:themeColor="text1" w:themeTint="BF"/>
        </w:rPr>
        <w:footnoteRef/>
      </w:r>
      <w:r w:rsidRPr="009444E3">
        <w:rPr>
          <w:rFonts w:ascii="Arial" w:hAnsi="Arial" w:cs="Arial"/>
          <w:color w:val="404040" w:themeColor="text1" w:themeTint="BF"/>
        </w:rPr>
        <w:t xml:space="preserve"> </w:t>
      </w:r>
      <w:r w:rsidR="006A185E" w:rsidRPr="00B72BE9">
        <w:rPr>
          <w:rFonts w:ascii="Arial"/>
          <w:color w:val="404040"/>
        </w:rPr>
        <w:t>Committee on the Rights of the Child (2014)</w:t>
      </w:r>
      <w:r w:rsidR="006A185E" w:rsidRPr="006A185E">
        <w:rPr>
          <w:rFonts w:ascii="Arial" w:hAnsi="Arial" w:cs="Arial"/>
          <w:color w:val="404040" w:themeColor="text1" w:themeTint="BF"/>
        </w:rPr>
        <w:t xml:space="preserve"> </w:t>
      </w:r>
      <w:r w:rsidR="006A185E">
        <w:rPr>
          <w:rFonts w:ascii="Arial" w:hAnsi="Arial" w:cs="Arial"/>
          <w:color w:val="404040" w:themeColor="text1" w:themeTint="BF"/>
        </w:rPr>
        <w:t xml:space="preserve">General Day of Discussion on children’s rights and digital media, para 105(g). </w:t>
      </w:r>
      <w:r w:rsidR="00376021">
        <w:rPr>
          <w:rFonts w:ascii="Arial" w:hAnsi="Arial" w:cs="Arial"/>
          <w:color w:val="404040" w:themeColor="text1" w:themeTint="BF"/>
        </w:rPr>
        <w:t>Available at:</w:t>
      </w:r>
    </w:p>
    <w:p w14:paraId="674CFCCF" w14:textId="3B480E41" w:rsidR="00D331BC" w:rsidRPr="009444E3" w:rsidRDefault="00B845A4" w:rsidP="00D331BC">
      <w:pPr>
        <w:rPr>
          <w:rFonts w:ascii="Arial" w:hAnsi="Arial" w:cs="Arial"/>
          <w:b/>
          <w:color w:val="404040" w:themeColor="text1" w:themeTint="BF"/>
          <w:u w:color="FF0000"/>
        </w:rPr>
      </w:pPr>
      <w:hyperlink r:id="rId7" w:history="1">
        <w:r w:rsidR="00D331BC" w:rsidRPr="009444E3">
          <w:rPr>
            <w:rStyle w:val="Hyperlink"/>
            <w:rFonts w:ascii="Arial" w:hAnsi="Arial" w:cs="Arial"/>
            <w:color w:val="404040" w:themeColor="text1" w:themeTint="BF"/>
          </w:rPr>
          <w:t>https://www.ohchr.org/en/hrbodies/crc/pages/discussion2014.aspx</w:t>
        </w:r>
      </w:hyperlink>
      <w:r w:rsidR="006A185E">
        <w:rPr>
          <w:rFonts w:ascii="Arial" w:hAnsi="Arial" w:cs="Arial"/>
          <w:color w:val="404040" w:themeColor="text1" w:themeTint="BF"/>
        </w:rPr>
        <w:t>)</w:t>
      </w:r>
    </w:p>
    <w:p w14:paraId="0F8B8EB5" w14:textId="77777777" w:rsidR="00D331BC" w:rsidRPr="009444E3" w:rsidRDefault="00D331BC" w:rsidP="00D331BC">
      <w:pPr>
        <w:pStyle w:val="FootnoteText"/>
        <w:rPr>
          <w:lang w:val="en-GB"/>
        </w:rPr>
      </w:pPr>
    </w:p>
  </w:footnote>
  <w:footnote w:id="22">
    <w:p w14:paraId="38F38B1B" w14:textId="5558A1C3" w:rsidR="00675400" w:rsidRPr="00941C25" w:rsidRDefault="00675400">
      <w:pPr>
        <w:pStyle w:val="FootnoteText"/>
        <w:rPr>
          <w:lang w:val="en-GB"/>
        </w:rPr>
      </w:pPr>
      <w:r>
        <w:rPr>
          <w:rStyle w:val="FootnoteReference"/>
        </w:rPr>
        <w:footnoteRef/>
      </w:r>
      <w:r>
        <w:t xml:space="preserve"> </w:t>
      </w:r>
      <w:r w:rsidRPr="00596DCD">
        <w:rPr>
          <w:rFonts w:ascii="Arial" w:hAnsi="Arial"/>
          <w:color w:val="404040"/>
          <w:sz w:val="20"/>
          <w:szCs w:val="20"/>
          <w:u w:color="404040"/>
        </w:rPr>
        <w:t>Committee on the Rights of the Child (2016) Concluding observations on the fifth periodic report of the United Kingdom of Great Britain and Northern Ireland</w:t>
      </w:r>
      <w:r w:rsidR="00315505">
        <w:rPr>
          <w:rFonts w:ascii="Arial" w:hAnsi="Arial"/>
          <w:color w:val="404040"/>
          <w:sz w:val="20"/>
          <w:szCs w:val="20"/>
          <w:u w:color="404040"/>
        </w:rPr>
        <w:t xml:space="preserve">, para 47(a). </w:t>
      </w:r>
    </w:p>
  </w:footnote>
  <w:footnote w:id="23">
    <w:p w14:paraId="6E3EC191" w14:textId="766B4555" w:rsidR="0009082E" w:rsidRPr="0009082E" w:rsidRDefault="0009082E">
      <w:pPr>
        <w:pStyle w:val="FootnoteText"/>
        <w:rPr>
          <w:lang w:val="en-GB"/>
        </w:rPr>
      </w:pPr>
      <w:r>
        <w:rPr>
          <w:rStyle w:val="FootnoteReference"/>
        </w:rPr>
        <w:footnoteRef/>
      </w:r>
      <w:r>
        <w:t xml:space="preserve"> </w:t>
      </w:r>
      <w:r w:rsidRPr="0009082E">
        <w:rPr>
          <w:rFonts w:ascii="Arial" w:hAnsi="Arial" w:cs="Arial"/>
          <w:color w:val="404040" w:themeColor="text1" w:themeTint="BF"/>
          <w:sz w:val="20"/>
          <w:szCs w:val="20"/>
        </w:rPr>
        <w:t>See Article 28(g)</w:t>
      </w:r>
      <w:r>
        <w:rPr>
          <w:rFonts w:ascii="Arial" w:hAnsi="Arial" w:cs="Arial"/>
          <w:color w:val="404040" w:themeColor="text1" w:themeTint="BF"/>
          <w:sz w:val="20"/>
          <w:szCs w:val="20"/>
        </w:rPr>
        <w:t>,</w:t>
      </w:r>
      <w:r w:rsidRPr="0009082E">
        <w:rPr>
          <w:color w:val="404040" w:themeColor="text1" w:themeTint="BF"/>
        </w:rPr>
        <w:t xml:space="preserve"> </w:t>
      </w:r>
      <w:r w:rsidRPr="00902E59">
        <w:rPr>
          <w:rFonts w:ascii="Arial" w:hAnsi="Arial" w:cs="Arial"/>
          <w:color w:val="404040" w:themeColor="text1" w:themeTint="BF"/>
          <w:sz w:val="20"/>
          <w:szCs w:val="20"/>
        </w:rPr>
        <w:t>https://www.coe.int/en/web/children/lanzarote-convention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0A0" w:firstRow="1" w:lastRow="0" w:firstColumn="1" w:lastColumn="0" w:noHBand="0" w:noVBand="0"/>
    </w:tblPr>
    <w:tblGrid>
      <w:gridCol w:w="4972"/>
      <w:gridCol w:w="4802"/>
    </w:tblGrid>
    <w:tr w:rsidR="00675400" w14:paraId="000EB54D" w14:textId="77777777" w:rsidTr="00EF13C5">
      <w:tc>
        <w:tcPr>
          <w:tcW w:w="5027" w:type="dxa"/>
        </w:tcPr>
        <w:p w14:paraId="01C7709B" w14:textId="77777777" w:rsidR="00675400" w:rsidRPr="00EF13C5" w:rsidRDefault="00675400" w:rsidP="000D52AB">
          <w:pPr>
            <w:pStyle w:val="CompanyName"/>
            <w:rPr>
              <w:rFonts w:ascii="Futura Book" w:hAnsi="Futura Book" w:cs="Arial"/>
              <w:lang w:val="en-GB"/>
            </w:rPr>
          </w:pPr>
        </w:p>
      </w:tc>
      <w:tc>
        <w:tcPr>
          <w:tcW w:w="4855" w:type="dxa"/>
        </w:tcPr>
        <w:p w14:paraId="5B37A055" w14:textId="77777777" w:rsidR="00675400" w:rsidRPr="00EF13C5" w:rsidRDefault="00675400" w:rsidP="000D52AB">
          <w:pPr>
            <w:pStyle w:val="CompanyName"/>
            <w:rPr>
              <w:rFonts w:ascii="Futura Book" w:hAnsi="Futura Book" w:cs="Arial"/>
              <w:lang w:val="en-GB"/>
            </w:rPr>
          </w:pPr>
        </w:p>
      </w:tc>
    </w:tr>
  </w:tbl>
  <w:p w14:paraId="4F4DFBFA" w14:textId="77777777" w:rsidR="00675400" w:rsidRDefault="00675400">
    <w:pPr>
      <w:pStyle w:val="Header"/>
    </w:pPr>
    <w:r>
      <w:rPr>
        <w:noProof/>
        <w:lang w:val="en-GB" w:eastAsia="en-GB"/>
      </w:rPr>
      <w:drawing>
        <wp:anchor distT="0" distB="0" distL="114300" distR="114300" simplePos="0" relativeHeight="251660288" behindDoc="0" locked="0" layoutInCell="1" allowOverlap="1" wp14:anchorId="4A74CF53" wp14:editId="7E427AE4">
          <wp:simplePos x="0" y="0"/>
          <wp:positionH relativeFrom="column">
            <wp:posOffset>4572000</wp:posOffset>
          </wp:positionH>
          <wp:positionV relativeFrom="paragraph">
            <wp:posOffset>190500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98A"/>
    <w:multiLevelType w:val="hybridMultilevel"/>
    <w:tmpl w:val="49D03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C45B94"/>
    <w:multiLevelType w:val="multilevel"/>
    <w:tmpl w:val="14788A64"/>
    <w:lvl w:ilvl="0">
      <w:numFmt w:val="bullet"/>
      <w:lvlText w:val="•"/>
      <w:lvlJc w:val="left"/>
      <w:rPr>
        <w:rFonts w:ascii="Arial" w:eastAsia="Times New Roman" w:hAnsi="Arial"/>
        <w:b w:val="0"/>
        <w:color w:val="414042"/>
        <w:position w:val="0"/>
        <w:u w:color="414042"/>
      </w:rPr>
    </w:lvl>
    <w:lvl w:ilvl="1">
      <w:start w:val="1"/>
      <w:numFmt w:val="bullet"/>
      <w:lvlText w:val="o"/>
      <w:lvlJc w:val="left"/>
      <w:rPr>
        <w:rFonts w:ascii="Arial" w:eastAsia="Times New Roman" w:hAnsi="Arial"/>
        <w:b w:val="0"/>
        <w:color w:val="414042"/>
        <w:position w:val="0"/>
        <w:u w:color="414042"/>
      </w:rPr>
    </w:lvl>
    <w:lvl w:ilvl="2">
      <w:start w:val="1"/>
      <w:numFmt w:val="bullet"/>
      <w:lvlText w:val="▪"/>
      <w:lvlJc w:val="left"/>
      <w:rPr>
        <w:rFonts w:ascii="Arial" w:eastAsia="Times New Roman" w:hAnsi="Arial"/>
        <w:b w:val="0"/>
        <w:color w:val="414042"/>
        <w:position w:val="0"/>
        <w:u w:color="414042"/>
      </w:rPr>
    </w:lvl>
    <w:lvl w:ilvl="3">
      <w:start w:val="1"/>
      <w:numFmt w:val="bullet"/>
      <w:lvlText w:val="•"/>
      <w:lvlJc w:val="left"/>
      <w:rPr>
        <w:rFonts w:ascii="Arial" w:eastAsia="Times New Roman" w:hAnsi="Arial"/>
        <w:b w:val="0"/>
        <w:color w:val="414042"/>
        <w:position w:val="0"/>
        <w:u w:color="414042"/>
      </w:rPr>
    </w:lvl>
    <w:lvl w:ilvl="4">
      <w:start w:val="1"/>
      <w:numFmt w:val="bullet"/>
      <w:lvlText w:val="o"/>
      <w:lvlJc w:val="left"/>
      <w:rPr>
        <w:rFonts w:ascii="Arial" w:eastAsia="Times New Roman" w:hAnsi="Arial"/>
        <w:b w:val="0"/>
        <w:color w:val="414042"/>
        <w:position w:val="0"/>
        <w:u w:color="414042"/>
      </w:rPr>
    </w:lvl>
    <w:lvl w:ilvl="5">
      <w:start w:val="1"/>
      <w:numFmt w:val="bullet"/>
      <w:lvlText w:val="▪"/>
      <w:lvlJc w:val="left"/>
      <w:rPr>
        <w:rFonts w:ascii="Arial" w:eastAsia="Times New Roman" w:hAnsi="Arial"/>
        <w:b w:val="0"/>
        <w:color w:val="414042"/>
        <w:position w:val="0"/>
        <w:u w:color="414042"/>
      </w:rPr>
    </w:lvl>
    <w:lvl w:ilvl="6">
      <w:start w:val="1"/>
      <w:numFmt w:val="bullet"/>
      <w:lvlText w:val="•"/>
      <w:lvlJc w:val="left"/>
      <w:rPr>
        <w:rFonts w:ascii="Arial" w:eastAsia="Times New Roman" w:hAnsi="Arial"/>
        <w:b w:val="0"/>
        <w:color w:val="414042"/>
        <w:position w:val="0"/>
        <w:u w:color="414042"/>
      </w:rPr>
    </w:lvl>
    <w:lvl w:ilvl="7">
      <w:start w:val="1"/>
      <w:numFmt w:val="bullet"/>
      <w:lvlText w:val="o"/>
      <w:lvlJc w:val="left"/>
      <w:rPr>
        <w:rFonts w:ascii="Arial" w:eastAsia="Times New Roman" w:hAnsi="Arial"/>
        <w:b w:val="0"/>
        <w:color w:val="414042"/>
        <w:position w:val="0"/>
        <w:u w:color="414042"/>
      </w:rPr>
    </w:lvl>
    <w:lvl w:ilvl="8">
      <w:start w:val="1"/>
      <w:numFmt w:val="bullet"/>
      <w:lvlText w:val="▪"/>
      <w:lvlJc w:val="left"/>
      <w:rPr>
        <w:rFonts w:ascii="Arial" w:eastAsia="Times New Roman" w:hAnsi="Arial"/>
        <w:b w:val="0"/>
        <w:color w:val="414042"/>
        <w:position w:val="0"/>
        <w:u w:color="414042"/>
      </w:rPr>
    </w:lvl>
  </w:abstractNum>
  <w:abstractNum w:abstractNumId="4"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56732"/>
    <w:multiLevelType w:val="hybridMultilevel"/>
    <w:tmpl w:val="8BB4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cs="Times New Roman" w:hint="default"/>
        <w:color w:val="auto"/>
      </w:rPr>
    </w:lvl>
    <w:lvl w:ilvl="1" w:tplc="08090019">
      <w:start w:val="1"/>
      <w:numFmt w:val="lowerLetter"/>
      <w:lvlText w:val="%2."/>
      <w:lvlJc w:val="left"/>
      <w:pPr>
        <w:tabs>
          <w:tab w:val="num" w:pos="1680"/>
        </w:tabs>
        <w:ind w:left="1680" w:hanging="360"/>
      </w:pPr>
      <w:rPr>
        <w:rFonts w:cs="Times New Roman"/>
      </w:rPr>
    </w:lvl>
    <w:lvl w:ilvl="2" w:tplc="0809001B" w:tentative="1">
      <w:start w:val="1"/>
      <w:numFmt w:val="lowerRoman"/>
      <w:lvlText w:val="%3."/>
      <w:lvlJc w:val="right"/>
      <w:pPr>
        <w:tabs>
          <w:tab w:val="num" w:pos="2400"/>
        </w:tabs>
        <w:ind w:left="2400" w:hanging="180"/>
      </w:pPr>
      <w:rPr>
        <w:rFonts w:cs="Times New Roman"/>
      </w:rPr>
    </w:lvl>
    <w:lvl w:ilvl="3" w:tplc="0809000F" w:tentative="1">
      <w:start w:val="1"/>
      <w:numFmt w:val="decimal"/>
      <w:lvlText w:val="%4."/>
      <w:lvlJc w:val="left"/>
      <w:pPr>
        <w:tabs>
          <w:tab w:val="num" w:pos="3120"/>
        </w:tabs>
        <w:ind w:left="3120" w:hanging="360"/>
      </w:pPr>
      <w:rPr>
        <w:rFonts w:cs="Times New Roman"/>
      </w:rPr>
    </w:lvl>
    <w:lvl w:ilvl="4" w:tplc="08090019" w:tentative="1">
      <w:start w:val="1"/>
      <w:numFmt w:val="lowerLetter"/>
      <w:lvlText w:val="%5."/>
      <w:lvlJc w:val="left"/>
      <w:pPr>
        <w:tabs>
          <w:tab w:val="num" w:pos="3840"/>
        </w:tabs>
        <w:ind w:left="3840" w:hanging="360"/>
      </w:pPr>
      <w:rPr>
        <w:rFonts w:cs="Times New Roman"/>
      </w:rPr>
    </w:lvl>
    <w:lvl w:ilvl="5" w:tplc="0809001B" w:tentative="1">
      <w:start w:val="1"/>
      <w:numFmt w:val="lowerRoman"/>
      <w:lvlText w:val="%6."/>
      <w:lvlJc w:val="right"/>
      <w:pPr>
        <w:tabs>
          <w:tab w:val="num" w:pos="4560"/>
        </w:tabs>
        <w:ind w:left="4560" w:hanging="180"/>
      </w:pPr>
      <w:rPr>
        <w:rFonts w:cs="Times New Roman"/>
      </w:rPr>
    </w:lvl>
    <w:lvl w:ilvl="6" w:tplc="0809000F" w:tentative="1">
      <w:start w:val="1"/>
      <w:numFmt w:val="decimal"/>
      <w:lvlText w:val="%7."/>
      <w:lvlJc w:val="left"/>
      <w:pPr>
        <w:tabs>
          <w:tab w:val="num" w:pos="5280"/>
        </w:tabs>
        <w:ind w:left="5280" w:hanging="360"/>
      </w:pPr>
      <w:rPr>
        <w:rFonts w:cs="Times New Roman"/>
      </w:rPr>
    </w:lvl>
    <w:lvl w:ilvl="7" w:tplc="08090019" w:tentative="1">
      <w:start w:val="1"/>
      <w:numFmt w:val="lowerLetter"/>
      <w:lvlText w:val="%8."/>
      <w:lvlJc w:val="left"/>
      <w:pPr>
        <w:tabs>
          <w:tab w:val="num" w:pos="6000"/>
        </w:tabs>
        <w:ind w:left="6000" w:hanging="360"/>
      </w:pPr>
      <w:rPr>
        <w:rFonts w:cs="Times New Roman"/>
      </w:rPr>
    </w:lvl>
    <w:lvl w:ilvl="8" w:tplc="0809001B" w:tentative="1">
      <w:start w:val="1"/>
      <w:numFmt w:val="lowerRoman"/>
      <w:lvlText w:val="%9."/>
      <w:lvlJc w:val="right"/>
      <w:pPr>
        <w:tabs>
          <w:tab w:val="num" w:pos="6720"/>
        </w:tabs>
        <w:ind w:left="6720" w:hanging="180"/>
      </w:pPr>
      <w:rPr>
        <w:rFonts w:cs="Times New Roman"/>
      </w:rPr>
    </w:lvl>
  </w:abstractNum>
  <w:abstractNum w:abstractNumId="10"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11"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B877E1"/>
    <w:multiLevelType w:val="singleLevel"/>
    <w:tmpl w:val="8EACDD0E"/>
    <w:lvl w:ilvl="0">
      <w:start w:val="1"/>
      <w:numFmt w:val="decimal"/>
      <w:lvlText w:val="%1."/>
      <w:lvlJc w:val="left"/>
      <w:pPr>
        <w:tabs>
          <w:tab w:val="num" w:pos="720"/>
        </w:tabs>
        <w:ind w:left="720" w:hanging="720"/>
      </w:pPr>
      <w:rPr>
        <w:rFonts w:cs="Times New Roman" w:hint="default"/>
        <w:b w:val="0"/>
        <w:i w:val="0"/>
        <w:color w:val="auto"/>
      </w:rPr>
    </w:lvl>
  </w:abstractNum>
  <w:abstractNum w:abstractNumId="14" w15:restartNumberingAfterBreak="0">
    <w:nsid w:val="45EB02DF"/>
    <w:multiLevelType w:val="hybridMultilevel"/>
    <w:tmpl w:val="A1A6F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716BE"/>
    <w:multiLevelType w:val="hybridMultilevel"/>
    <w:tmpl w:val="566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F92946"/>
    <w:multiLevelType w:val="hybridMultilevel"/>
    <w:tmpl w:val="C6E02968"/>
    <w:lvl w:ilvl="0" w:tplc="0120AB72">
      <w:start w:val="1"/>
      <w:numFmt w:val="decimal"/>
      <w:lvlText w:val="%1."/>
      <w:lvlJc w:val="left"/>
      <w:pPr>
        <w:ind w:left="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76C46"/>
    <w:multiLevelType w:val="hybridMultilevel"/>
    <w:tmpl w:val="12E2D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A04DB"/>
    <w:multiLevelType w:val="hybridMultilevel"/>
    <w:tmpl w:val="CA4C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
  </w:num>
  <w:num w:numId="3">
    <w:abstractNumId w:val="5"/>
  </w:num>
  <w:num w:numId="4">
    <w:abstractNumId w:val="17"/>
  </w:num>
  <w:num w:numId="5">
    <w:abstractNumId w:val="1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9"/>
  </w:num>
  <w:num w:numId="14">
    <w:abstractNumId w:val="7"/>
  </w:num>
  <w:num w:numId="15">
    <w:abstractNumId w:val="19"/>
  </w:num>
  <w:num w:numId="16">
    <w:abstractNumId w:val="21"/>
  </w:num>
  <w:num w:numId="17">
    <w:abstractNumId w:val="18"/>
  </w:num>
  <w:num w:numId="18">
    <w:abstractNumId w:val="8"/>
  </w:num>
  <w:num w:numId="19">
    <w:abstractNumId w:val="15"/>
  </w:num>
  <w:num w:numId="20">
    <w:abstractNumId w:val="0"/>
  </w:num>
  <w:num w:numId="21">
    <w:abstractNumId w:val="3"/>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18CD"/>
    <w:rsid w:val="00001E6D"/>
    <w:rsid w:val="00004715"/>
    <w:rsid w:val="00004C20"/>
    <w:rsid w:val="000075FA"/>
    <w:rsid w:val="0001153C"/>
    <w:rsid w:val="00012056"/>
    <w:rsid w:val="00013FEF"/>
    <w:rsid w:val="00023E33"/>
    <w:rsid w:val="00032FC9"/>
    <w:rsid w:val="0003468A"/>
    <w:rsid w:val="00036C32"/>
    <w:rsid w:val="0004654A"/>
    <w:rsid w:val="00047FA6"/>
    <w:rsid w:val="00054920"/>
    <w:rsid w:val="00057D46"/>
    <w:rsid w:val="00061945"/>
    <w:rsid w:val="000675D1"/>
    <w:rsid w:val="000716B9"/>
    <w:rsid w:val="00074D4A"/>
    <w:rsid w:val="00076BE9"/>
    <w:rsid w:val="0008135D"/>
    <w:rsid w:val="000813A2"/>
    <w:rsid w:val="00085F7A"/>
    <w:rsid w:val="0009082E"/>
    <w:rsid w:val="0009091F"/>
    <w:rsid w:val="0009191C"/>
    <w:rsid w:val="000A6243"/>
    <w:rsid w:val="000A7AF9"/>
    <w:rsid w:val="000B63A4"/>
    <w:rsid w:val="000C0CB7"/>
    <w:rsid w:val="000C1FA2"/>
    <w:rsid w:val="000C3AD9"/>
    <w:rsid w:val="000C6E80"/>
    <w:rsid w:val="000D47D5"/>
    <w:rsid w:val="000D52AB"/>
    <w:rsid w:val="000E1CEE"/>
    <w:rsid w:val="000E2DF0"/>
    <w:rsid w:val="000F1ACD"/>
    <w:rsid w:val="000F3047"/>
    <w:rsid w:val="000F585C"/>
    <w:rsid w:val="00101D72"/>
    <w:rsid w:val="001020BB"/>
    <w:rsid w:val="00110346"/>
    <w:rsid w:val="0011096A"/>
    <w:rsid w:val="00110EDB"/>
    <w:rsid w:val="00111E38"/>
    <w:rsid w:val="00116E2B"/>
    <w:rsid w:val="00124BBB"/>
    <w:rsid w:val="001419DE"/>
    <w:rsid w:val="00141B70"/>
    <w:rsid w:val="0014369E"/>
    <w:rsid w:val="00144F40"/>
    <w:rsid w:val="001507FD"/>
    <w:rsid w:val="00154D8D"/>
    <w:rsid w:val="0016572F"/>
    <w:rsid w:val="00166766"/>
    <w:rsid w:val="00166C2A"/>
    <w:rsid w:val="00171FD1"/>
    <w:rsid w:val="00182647"/>
    <w:rsid w:val="0018273D"/>
    <w:rsid w:val="0018447B"/>
    <w:rsid w:val="00190693"/>
    <w:rsid w:val="001936E2"/>
    <w:rsid w:val="00193D55"/>
    <w:rsid w:val="00194555"/>
    <w:rsid w:val="00194E6E"/>
    <w:rsid w:val="001A36B5"/>
    <w:rsid w:val="001A6A00"/>
    <w:rsid w:val="001B241B"/>
    <w:rsid w:val="001B36BB"/>
    <w:rsid w:val="001D0CA8"/>
    <w:rsid w:val="001D0F5E"/>
    <w:rsid w:val="001D1040"/>
    <w:rsid w:val="001D2AA2"/>
    <w:rsid w:val="001D3687"/>
    <w:rsid w:val="001D589A"/>
    <w:rsid w:val="001D5DEF"/>
    <w:rsid w:val="001D7645"/>
    <w:rsid w:val="001E566E"/>
    <w:rsid w:val="001F4210"/>
    <w:rsid w:val="001F7D5B"/>
    <w:rsid w:val="00201ED0"/>
    <w:rsid w:val="00205754"/>
    <w:rsid w:val="002114FA"/>
    <w:rsid w:val="00224183"/>
    <w:rsid w:val="0022486D"/>
    <w:rsid w:val="002272D0"/>
    <w:rsid w:val="00237A66"/>
    <w:rsid w:val="00240424"/>
    <w:rsid w:val="00241A07"/>
    <w:rsid w:val="0024387D"/>
    <w:rsid w:val="00243E46"/>
    <w:rsid w:val="00245153"/>
    <w:rsid w:val="00256081"/>
    <w:rsid w:val="00263AEB"/>
    <w:rsid w:val="002801DE"/>
    <w:rsid w:val="00280C3B"/>
    <w:rsid w:val="00284CEF"/>
    <w:rsid w:val="002918BC"/>
    <w:rsid w:val="00291CD9"/>
    <w:rsid w:val="002932DD"/>
    <w:rsid w:val="002A4414"/>
    <w:rsid w:val="002A5792"/>
    <w:rsid w:val="002A5FA0"/>
    <w:rsid w:val="002A62F7"/>
    <w:rsid w:val="002B2BC2"/>
    <w:rsid w:val="002B44A8"/>
    <w:rsid w:val="002B6EDC"/>
    <w:rsid w:val="002C0677"/>
    <w:rsid w:val="002C09C6"/>
    <w:rsid w:val="002C6B6A"/>
    <w:rsid w:val="002C789A"/>
    <w:rsid w:val="002D278A"/>
    <w:rsid w:val="002D72D2"/>
    <w:rsid w:val="002E64A8"/>
    <w:rsid w:val="002E7849"/>
    <w:rsid w:val="002F025E"/>
    <w:rsid w:val="002F64CB"/>
    <w:rsid w:val="00300D63"/>
    <w:rsid w:val="0030473C"/>
    <w:rsid w:val="00315505"/>
    <w:rsid w:val="00316CF3"/>
    <w:rsid w:val="003217C6"/>
    <w:rsid w:val="00322C0E"/>
    <w:rsid w:val="00324A8C"/>
    <w:rsid w:val="003257C6"/>
    <w:rsid w:val="00335781"/>
    <w:rsid w:val="003371F4"/>
    <w:rsid w:val="00341B14"/>
    <w:rsid w:val="00350901"/>
    <w:rsid w:val="00353E76"/>
    <w:rsid w:val="003630E6"/>
    <w:rsid w:val="00370FF8"/>
    <w:rsid w:val="00376021"/>
    <w:rsid w:val="00377531"/>
    <w:rsid w:val="00377FE1"/>
    <w:rsid w:val="003820E0"/>
    <w:rsid w:val="00384741"/>
    <w:rsid w:val="00384EF9"/>
    <w:rsid w:val="00385663"/>
    <w:rsid w:val="00386982"/>
    <w:rsid w:val="0039459A"/>
    <w:rsid w:val="003948B3"/>
    <w:rsid w:val="003956BF"/>
    <w:rsid w:val="00397835"/>
    <w:rsid w:val="003A008E"/>
    <w:rsid w:val="003A0BCC"/>
    <w:rsid w:val="003A1A50"/>
    <w:rsid w:val="003A2B95"/>
    <w:rsid w:val="003B1E65"/>
    <w:rsid w:val="003B59CE"/>
    <w:rsid w:val="003C1978"/>
    <w:rsid w:val="003C215C"/>
    <w:rsid w:val="003C57D3"/>
    <w:rsid w:val="003D14B5"/>
    <w:rsid w:val="003E1C09"/>
    <w:rsid w:val="003E292F"/>
    <w:rsid w:val="003E2BA7"/>
    <w:rsid w:val="003F167B"/>
    <w:rsid w:val="003F3682"/>
    <w:rsid w:val="003F5501"/>
    <w:rsid w:val="003F6493"/>
    <w:rsid w:val="003F6F0D"/>
    <w:rsid w:val="00401BD1"/>
    <w:rsid w:val="004038D1"/>
    <w:rsid w:val="004039EE"/>
    <w:rsid w:val="00411321"/>
    <w:rsid w:val="00414064"/>
    <w:rsid w:val="00414236"/>
    <w:rsid w:val="004156E6"/>
    <w:rsid w:val="004175D7"/>
    <w:rsid w:val="004177C2"/>
    <w:rsid w:val="00425863"/>
    <w:rsid w:val="00426DAD"/>
    <w:rsid w:val="00432B30"/>
    <w:rsid w:val="00435C96"/>
    <w:rsid w:val="00437096"/>
    <w:rsid w:val="00441001"/>
    <w:rsid w:val="0044384B"/>
    <w:rsid w:val="00443A38"/>
    <w:rsid w:val="00451456"/>
    <w:rsid w:val="0045241E"/>
    <w:rsid w:val="004565CF"/>
    <w:rsid w:val="00460D7F"/>
    <w:rsid w:val="00470F6F"/>
    <w:rsid w:val="00475921"/>
    <w:rsid w:val="0048312F"/>
    <w:rsid w:val="0048475E"/>
    <w:rsid w:val="00493E9C"/>
    <w:rsid w:val="004952C2"/>
    <w:rsid w:val="004A424A"/>
    <w:rsid w:val="004A5C4C"/>
    <w:rsid w:val="004B2E14"/>
    <w:rsid w:val="004B6CE3"/>
    <w:rsid w:val="004C026E"/>
    <w:rsid w:val="004C3357"/>
    <w:rsid w:val="004C7887"/>
    <w:rsid w:val="004D1516"/>
    <w:rsid w:val="004D27F6"/>
    <w:rsid w:val="004E2F65"/>
    <w:rsid w:val="004E7E56"/>
    <w:rsid w:val="004F1BC4"/>
    <w:rsid w:val="004F21FE"/>
    <w:rsid w:val="0050043B"/>
    <w:rsid w:val="005025DE"/>
    <w:rsid w:val="00504ACA"/>
    <w:rsid w:val="0050524B"/>
    <w:rsid w:val="00510D9C"/>
    <w:rsid w:val="00511F8C"/>
    <w:rsid w:val="0051467D"/>
    <w:rsid w:val="005146ED"/>
    <w:rsid w:val="0051618E"/>
    <w:rsid w:val="005244C6"/>
    <w:rsid w:val="005307F0"/>
    <w:rsid w:val="00546897"/>
    <w:rsid w:val="005567F8"/>
    <w:rsid w:val="00560968"/>
    <w:rsid w:val="005613A1"/>
    <w:rsid w:val="00564A69"/>
    <w:rsid w:val="00572F8F"/>
    <w:rsid w:val="005809C6"/>
    <w:rsid w:val="005836BA"/>
    <w:rsid w:val="00583C53"/>
    <w:rsid w:val="00584D46"/>
    <w:rsid w:val="00596024"/>
    <w:rsid w:val="00596DCD"/>
    <w:rsid w:val="00597B67"/>
    <w:rsid w:val="005A01CD"/>
    <w:rsid w:val="005A1D37"/>
    <w:rsid w:val="005A257B"/>
    <w:rsid w:val="005A2D38"/>
    <w:rsid w:val="005A5B01"/>
    <w:rsid w:val="005A69CD"/>
    <w:rsid w:val="005A7A06"/>
    <w:rsid w:val="005B2442"/>
    <w:rsid w:val="005B292C"/>
    <w:rsid w:val="005B461A"/>
    <w:rsid w:val="005B4AEF"/>
    <w:rsid w:val="005B52F4"/>
    <w:rsid w:val="005B61BB"/>
    <w:rsid w:val="005B626C"/>
    <w:rsid w:val="005C009E"/>
    <w:rsid w:val="005C3A60"/>
    <w:rsid w:val="005C425F"/>
    <w:rsid w:val="005D63B7"/>
    <w:rsid w:val="005D6A13"/>
    <w:rsid w:val="005E1541"/>
    <w:rsid w:val="005E1572"/>
    <w:rsid w:val="005E1DB0"/>
    <w:rsid w:val="005E206C"/>
    <w:rsid w:val="005F65FE"/>
    <w:rsid w:val="006013F5"/>
    <w:rsid w:val="00615520"/>
    <w:rsid w:val="00625972"/>
    <w:rsid w:val="0063068F"/>
    <w:rsid w:val="006315CC"/>
    <w:rsid w:val="00640853"/>
    <w:rsid w:val="00641FE0"/>
    <w:rsid w:val="00645C65"/>
    <w:rsid w:val="00645CAF"/>
    <w:rsid w:val="00647B05"/>
    <w:rsid w:val="00651F55"/>
    <w:rsid w:val="0065309D"/>
    <w:rsid w:val="00656BAA"/>
    <w:rsid w:val="006644BB"/>
    <w:rsid w:val="006735EE"/>
    <w:rsid w:val="00675400"/>
    <w:rsid w:val="00685025"/>
    <w:rsid w:val="0068506D"/>
    <w:rsid w:val="00690A24"/>
    <w:rsid w:val="00693139"/>
    <w:rsid w:val="00693353"/>
    <w:rsid w:val="00695454"/>
    <w:rsid w:val="006A185E"/>
    <w:rsid w:val="006A7D21"/>
    <w:rsid w:val="006C2566"/>
    <w:rsid w:val="006C5650"/>
    <w:rsid w:val="006D17F9"/>
    <w:rsid w:val="006D1D50"/>
    <w:rsid w:val="006E4290"/>
    <w:rsid w:val="006E5BA5"/>
    <w:rsid w:val="006F1369"/>
    <w:rsid w:val="006F60DF"/>
    <w:rsid w:val="006F65C2"/>
    <w:rsid w:val="0070411F"/>
    <w:rsid w:val="007172BF"/>
    <w:rsid w:val="00717CA7"/>
    <w:rsid w:val="00720077"/>
    <w:rsid w:val="007215F3"/>
    <w:rsid w:val="0072514C"/>
    <w:rsid w:val="00727D62"/>
    <w:rsid w:val="007516B9"/>
    <w:rsid w:val="007532CD"/>
    <w:rsid w:val="00753E31"/>
    <w:rsid w:val="007559B0"/>
    <w:rsid w:val="0075717B"/>
    <w:rsid w:val="00757F31"/>
    <w:rsid w:val="0076018E"/>
    <w:rsid w:val="00761562"/>
    <w:rsid w:val="00773B22"/>
    <w:rsid w:val="0077515B"/>
    <w:rsid w:val="0077781B"/>
    <w:rsid w:val="00791E93"/>
    <w:rsid w:val="00795330"/>
    <w:rsid w:val="00795FC3"/>
    <w:rsid w:val="00795FEB"/>
    <w:rsid w:val="007A5E2D"/>
    <w:rsid w:val="007B03A1"/>
    <w:rsid w:val="007B08A6"/>
    <w:rsid w:val="007B24D5"/>
    <w:rsid w:val="007B3FAE"/>
    <w:rsid w:val="007C1943"/>
    <w:rsid w:val="007C3735"/>
    <w:rsid w:val="007D171E"/>
    <w:rsid w:val="007D39C8"/>
    <w:rsid w:val="007D4CD7"/>
    <w:rsid w:val="007E1CD6"/>
    <w:rsid w:val="007E4838"/>
    <w:rsid w:val="007E52DB"/>
    <w:rsid w:val="007F500A"/>
    <w:rsid w:val="007F73AB"/>
    <w:rsid w:val="008150F5"/>
    <w:rsid w:val="00816A71"/>
    <w:rsid w:val="00816A74"/>
    <w:rsid w:val="008210EF"/>
    <w:rsid w:val="008257AF"/>
    <w:rsid w:val="0083157D"/>
    <w:rsid w:val="00831BDB"/>
    <w:rsid w:val="0083664A"/>
    <w:rsid w:val="008366F6"/>
    <w:rsid w:val="00837556"/>
    <w:rsid w:val="00845354"/>
    <w:rsid w:val="00845E5A"/>
    <w:rsid w:val="00846EC9"/>
    <w:rsid w:val="0086207F"/>
    <w:rsid w:val="00866A6F"/>
    <w:rsid w:val="00870403"/>
    <w:rsid w:val="00871ED3"/>
    <w:rsid w:val="00873EBD"/>
    <w:rsid w:val="008767D2"/>
    <w:rsid w:val="00882856"/>
    <w:rsid w:val="00883987"/>
    <w:rsid w:val="008850DD"/>
    <w:rsid w:val="00885713"/>
    <w:rsid w:val="0089135B"/>
    <w:rsid w:val="008921A7"/>
    <w:rsid w:val="00893F8D"/>
    <w:rsid w:val="008A06AF"/>
    <w:rsid w:val="008A0D19"/>
    <w:rsid w:val="008A31A5"/>
    <w:rsid w:val="008A32FE"/>
    <w:rsid w:val="008A56FB"/>
    <w:rsid w:val="008C32B9"/>
    <w:rsid w:val="008C32DA"/>
    <w:rsid w:val="008D5E63"/>
    <w:rsid w:val="008E07CC"/>
    <w:rsid w:val="008E0CA7"/>
    <w:rsid w:val="008E3945"/>
    <w:rsid w:val="008F1628"/>
    <w:rsid w:val="008F5F9C"/>
    <w:rsid w:val="00902E59"/>
    <w:rsid w:val="00903234"/>
    <w:rsid w:val="009052ED"/>
    <w:rsid w:val="00906389"/>
    <w:rsid w:val="009108C4"/>
    <w:rsid w:val="00911068"/>
    <w:rsid w:val="00915679"/>
    <w:rsid w:val="009212AA"/>
    <w:rsid w:val="009218FB"/>
    <w:rsid w:val="00922D60"/>
    <w:rsid w:val="00924428"/>
    <w:rsid w:val="00931263"/>
    <w:rsid w:val="00932E43"/>
    <w:rsid w:val="00933126"/>
    <w:rsid w:val="009405BC"/>
    <w:rsid w:val="0094134F"/>
    <w:rsid w:val="00941C25"/>
    <w:rsid w:val="00943B46"/>
    <w:rsid w:val="009444E3"/>
    <w:rsid w:val="009508CA"/>
    <w:rsid w:val="00953482"/>
    <w:rsid w:val="0095659F"/>
    <w:rsid w:val="0096304A"/>
    <w:rsid w:val="00964715"/>
    <w:rsid w:val="009675A2"/>
    <w:rsid w:val="00973603"/>
    <w:rsid w:val="00976173"/>
    <w:rsid w:val="0097727A"/>
    <w:rsid w:val="00982039"/>
    <w:rsid w:val="00987FE7"/>
    <w:rsid w:val="00990905"/>
    <w:rsid w:val="009910CA"/>
    <w:rsid w:val="009A0AA0"/>
    <w:rsid w:val="009A3C3F"/>
    <w:rsid w:val="009A5DED"/>
    <w:rsid w:val="009C1DEE"/>
    <w:rsid w:val="009C394B"/>
    <w:rsid w:val="009C585E"/>
    <w:rsid w:val="009C6C68"/>
    <w:rsid w:val="009E095A"/>
    <w:rsid w:val="009E4505"/>
    <w:rsid w:val="009E4A12"/>
    <w:rsid w:val="009E6D40"/>
    <w:rsid w:val="009E7CC6"/>
    <w:rsid w:val="009F0320"/>
    <w:rsid w:val="009F0A8D"/>
    <w:rsid w:val="009F1E0F"/>
    <w:rsid w:val="009F2391"/>
    <w:rsid w:val="009F31A0"/>
    <w:rsid w:val="00A018BA"/>
    <w:rsid w:val="00A03AF5"/>
    <w:rsid w:val="00A040C6"/>
    <w:rsid w:val="00A044C9"/>
    <w:rsid w:val="00A11196"/>
    <w:rsid w:val="00A13398"/>
    <w:rsid w:val="00A20FAA"/>
    <w:rsid w:val="00A21798"/>
    <w:rsid w:val="00A22BAC"/>
    <w:rsid w:val="00A31B64"/>
    <w:rsid w:val="00A3653F"/>
    <w:rsid w:val="00A36DBA"/>
    <w:rsid w:val="00A37AB5"/>
    <w:rsid w:val="00A46B45"/>
    <w:rsid w:val="00A537A5"/>
    <w:rsid w:val="00A53D00"/>
    <w:rsid w:val="00A566A8"/>
    <w:rsid w:val="00A61804"/>
    <w:rsid w:val="00A63A39"/>
    <w:rsid w:val="00A64609"/>
    <w:rsid w:val="00A64677"/>
    <w:rsid w:val="00A679A5"/>
    <w:rsid w:val="00A82F1F"/>
    <w:rsid w:val="00A83809"/>
    <w:rsid w:val="00A85DDA"/>
    <w:rsid w:val="00A87A88"/>
    <w:rsid w:val="00A9135C"/>
    <w:rsid w:val="00AA2494"/>
    <w:rsid w:val="00AA25CA"/>
    <w:rsid w:val="00AA7226"/>
    <w:rsid w:val="00AB0F81"/>
    <w:rsid w:val="00AB2EAB"/>
    <w:rsid w:val="00AB45AE"/>
    <w:rsid w:val="00AB5744"/>
    <w:rsid w:val="00AC07A3"/>
    <w:rsid w:val="00AC28F1"/>
    <w:rsid w:val="00AC51A7"/>
    <w:rsid w:val="00AC6036"/>
    <w:rsid w:val="00AC6695"/>
    <w:rsid w:val="00AD09F1"/>
    <w:rsid w:val="00AD4121"/>
    <w:rsid w:val="00AD5D62"/>
    <w:rsid w:val="00AD790D"/>
    <w:rsid w:val="00AD794B"/>
    <w:rsid w:val="00AE5155"/>
    <w:rsid w:val="00AF191E"/>
    <w:rsid w:val="00AF1D9D"/>
    <w:rsid w:val="00AF20CF"/>
    <w:rsid w:val="00AF3747"/>
    <w:rsid w:val="00AF5E3C"/>
    <w:rsid w:val="00B00901"/>
    <w:rsid w:val="00B01CDA"/>
    <w:rsid w:val="00B036EC"/>
    <w:rsid w:val="00B05169"/>
    <w:rsid w:val="00B070C2"/>
    <w:rsid w:val="00B077D5"/>
    <w:rsid w:val="00B10156"/>
    <w:rsid w:val="00B11CD5"/>
    <w:rsid w:val="00B13595"/>
    <w:rsid w:val="00B141AD"/>
    <w:rsid w:val="00B22824"/>
    <w:rsid w:val="00B26AD8"/>
    <w:rsid w:val="00B26FE1"/>
    <w:rsid w:val="00B33770"/>
    <w:rsid w:val="00B360C8"/>
    <w:rsid w:val="00B4158F"/>
    <w:rsid w:val="00B463CD"/>
    <w:rsid w:val="00B50701"/>
    <w:rsid w:val="00B50F9B"/>
    <w:rsid w:val="00B510E9"/>
    <w:rsid w:val="00B515D8"/>
    <w:rsid w:val="00B573A7"/>
    <w:rsid w:val="00B6354E"/>
    <w:rsid w:val="00B64A16"/>
    <w:rsid w:val="00B72BE9"/>
    <w:rsid w:val="00B73BA6"/>
    <w:rsid w:val="00B74A7F"/>
    <w:rsid w:val="00B7545D"/>
    <w:rsid w:val="00B84082"/>
    <w:rsid w:val="00B845A4"/>
    <w:rsid w:val="00B960FB"/>
    <w:rsid w:val="00B96B8A"/>
    <w:rsid w:val="00BA0CB5"/>
    <w:rsid w:val="00BA2A3F"/>
    <w:rsid w:val="00BA2DF2"/>
    <w:rsid w:val="00BA5EE5"/>
    <w:rsid w:val="00BB0A8D"/>
    <w:rsid w:val="00BB4106"/>
    <w:rsid w:val="00BB603F"/>
    <w:rsid w:val="00BB71B4"/>
    <w:rsid w:val="00BC4DDC"/>
    <w:rsid w:val="00BC7FEE"/>
    <w:rsid w:val="00BD09DE"/>
    <w:rsid w:val="00BD79CA"/>
    <w:rsid w:val="00BE0052"/>
    <w:rsid w:val="00BE467C"/>
    <w:rsid w:val="00BE7B96"/>
    <w:rsid w:val="00BF19A4"/>
    <w:rsid w:val="00C040F3"/>
    <w:rsid w:val="00C050E4"/>
    <w:rsid w:val="00C06BD6"/>
    <w:rsid w:val="00C06C99"/>
    <w:rsid w:val="00C11750"/>
    <w:rsid w:val="00C15E5C"/>
    <w:rsid w:val="00C17421"/>
    <w:rsid w:val="00C1756A"/>
    <w:rsid w:val="00C23038"/>
    <w:rsid w:val="00C254E3"/>
    <w:rsid w:val="00C259B0"/>
    <w:rsid w:val="00C25A5B"/>
    <w:rsid w:val="00C30E16"/>
    <w:rsid w:val="00C361E2"/>
    <w:rsid w:val="00C36F5C"/>
    <w:rsid w:val="00C4362A"/>
    <w:rsid w:val="00C46943"/>
    <w:rsid w:val="00C6199B"/>
    <w:rsid w:val="00C743DF"/>
    <w:rsid w:val="00C749C1"/>
    <w:rsid w:val="00C814FC"/>
    <w:rsid w:val="00C852D0"/>
    <w:rsid w:val="00C901C1"/>
    <w:rsid w:val="00C92FC1"/>
    <w:rsid w:val="00C94088"/>
    <w:rsid w:val="00CA098B"/>
    <w:rsid w:val="00CA1D49"/>
    <w:rsid w:val="00CA3068"/>
    <w:rsid w:val="00CA4024"/>
    <w:rsid w:val="00CA67AF"/>
    <w:rsid w:val="00CB2D46"/>
    <w:rsid w:val="00CB309C"/>
    <w:rsid w:val="00CC06CE"/>
    <w:rsid w:val="00CC1EB2"/>
    <w:rsid w:val="00CD52C2"/>
    <w:rsid w:val="00CE223E"/>
    <w:rsid w:val="00CE3431"/>
    <w:rsid w:val="00CE3F2C"/>
    <w:rsid w:val="00CE7054"/>
    <w:rsid w:val="00CF1E19"/>
    <w:rsid w:val="00CF7563"/>
    <w:rsid w:val="00CF7773"/>
    <w:rsid w:val="00D1017F"/>
    <w:rsid w:val="00D13408"/>
    <w:rsid w:val="00D220DF"/>
    <w:rsid w:val="00D22D02"/>
    <w:rsid w:val="00D22DA7"/>
    <w:rsid w:val="00D23618"/>
    <w:rsid w:val="00D25ABE"/>
    <w:rsid w:val="00D307FA"/>
    <w:rsid w:val="00D331BC"/>
    <w:rsid w:val="00D37051"/>
    <w:rsid w:val="00D40FE6"/>
    <w:rsid w:val="00D418E0"/>
    <w:rsid w:val="00D42788"/>
    <w:rsid w:val="00D47448"/>
    <w:rsid w:val="00D47A39"/>
    <w:rsid w:val="00D52069"/>
    <w:rsid w:val="00D56229"/>
    <w:rsid w:val="00D56DD0"/>
    <w:rsid w:val="00D600A1"/>
    <w:rsid w:val="00D60B2E"/>
    <w:rsid w:val="00D60DE1"/>
    <w:rsid w:val="00D61526"/>
    <w:rsid w:val="00D6426A"/>
    <w:rsid w:val="00D645FD"/>
    <w:rsid w:val="00D704D4"/>
    <w:rsid w:val="00D800E7"/>
    <w:rsid w:val="00D81956"/>
    <w:rsid w:val="00D83C38"/>
    <w:rsid w:val="00D84F34"/>
    <w:rsid w:val="00D92D9C"/>
    <w:rsid w:val="00D94AFF"/>
    <w:rsid w:val="00D94E0A"/>
    <w:rsid w:val="00D96846"/>
    <w:rsid w:val="00DA43C0"/>
    <w:rsid w:val="00DB0380"/>
    <w:rsid w:val="00DB1C8E"/>
    <w:rsid w:val="00DB210C"/>
    <w:rsid w:val="00DB41C6"/>
    <w:rsid w:val="00DB4B6C"/>
    <w:rsid w:val="00DB7E5C"/>
    <w:rsid w:val="00DB7E87"/>
    <w:rsid w:val="00DC3547"/>
    <w:rsid w:val="00DC45A8"/>
    <w:rsid w:val="00DD06A0"/>
    <w:rsid w:val="00DE2ECC"/>
    <w:rsid w:val="00DF20BC"/>
    <w:rsid w:val="00E03CDC"/>
    <w:rsid w:val="00E06F99"/>
    <w:rsid w:val="00E07017"/>
    <w:rsid w:val="00E10CA3"/>
    <w:rsid w:val="00E15EC1"/>
    <w:rsid w:val="00E168FE"/>
    <w:rsid w:val="00E20C68"/>
    <w:rsid w:val="00E257BB"/>
    <w:rsid w:val="00E32099"/>
    <w:rsid w:val="00E3216B"/>
    <w:rsid w:val="00E32DD6"/>
    <w:rsid w:val="00E33096"/>
    <w:rsid w:val="00E40FB2"/>
    <w:rsid w:val="00E425D8"/>
    <w:rsid w:val="00E50433"/>
    <w:rsid w:val="00E51AF9"/>
    <w:rsid w:val="00E535E2"/>
    <w:rsid w:val="00E612F9"/>
    <w:rsid w:val="00E614AC"/>
    <w:rsid w:val="00E725EE"/>
    <w:rsid w:val="00E74BA7"/>
    <w:rsid w:val="00E75972"/>
    <w:rsid w:val="00E75DD3"/>
    <w:rsid w:val="00E760EA"/>
    <w:rsid w:val="00E82784"/>
    <w:rsid w:val="00E852FA"/>
    <w:rsid w:val="00E90626"/>
    <w:rsid w:val="00E94E10"/>
    <w:rsid w:val="00EA099E"/>
    <w:rsid w:val="00EA1820"/>
    <w:rsid w:val="00EA55B7"/>
    <w:rsid w:val="00EB3C3F"/>
    <w:rsid w:val="00EB7CA5"/>
    <w:rsid w:val="00EC0410"/>
    <w:rsid w:val="00ED2806"/>
    <w:rsid w:val="00EE0C2D"/>
    <w:rsid w:val="00EE0D0D"/>
    <w:rsid w:val="00EE2F25"/>
    <w:rsid w:val="00EE4F7C"/>
    <w:rsid w:val="00EE7908"/>
    <w:rsid w:val="00EF13C5"/>
    <w:rsid w:val="00EF30F3"/>
    <w:rsid w:val="00EF4762"/>
    <w:rsid w:val="00EF56FC"/>
    <w:rsid w:val="00EF62E7"/>
    <w:rsid w:val="00F1130E"/>
    <w:rsid w:val="00F126D0"/>
    <w:rsid w:val="00F12D6D"/>
    <w:rsid w:val="00F241A1"/>
    <w:rsid w:val="00F2601E"/>
    <w:rsid w:val="00F26085"/>
    <w:rsid w:val="00F37DC2"/>
    <w:rsid w:val="00F41C3B"/>
    <w:rsid w:val="00F44AFE"/>
    <w:rsid w:val="00F45937"/>
    <w:rsid w:val="00F54EBC"/>
    <w:rsid w:val="00F554CC"/>
    <w:rsid w:val="00F556C3"/>
    <w:rsid w:val="00F8109F"/>
    <w:rsid w:val="00F8339A"/>
    <w:rsid w:val="00F86963"/>
    <w:rsid w:val="00F97EE1"/>
    <w:rsid w:val="00FA25A6"/>
    <w:rsid w:val="00FA26EB"/>
    <w:rsid w:val="00FB56D1"/>
    <w:rsid w:val="00FC2FF5"/>
    <w:rsid w:val="00FD02EE"/>
    <w:rsid w:val="00FD7C09"/>
    <w:rsid w:val="00FF07BC"/>
    <w:rsid w:val="00FF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3EFE1A27"/>
  <w15:docId w15:val="{9A69B39A-D1AC-49CE-937D-19726A8C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F5"/>
    <w:rPr>
      <w:rFonts w:ascii="Times New Roman" w:hAnsi="Times New Roman"/>
      <w:sz w:val="20"/>
      <w:szCs w:val="20"/>
      <w:lang w:eastAsia="en-US"/>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basedOn w:val="Normal"/>
    <w:link w:val="FootnoteTextChar"/>
    <w:uiPriority w:val="99"/>
    <w:rsid w:val="00280C3B"/>
    <w:rPr>
      <w:rFonts w:ascii="Cambria" w:hAnsi="Cambria"/>
      <w:sz w:val="24"/>
      <w:szCs w:val="24"/>
      <w:lang w:val="en-US"/>
    </w:rPr>
  </w:style>
  <w:style w:type="character" w:customStyle="1" w:styleId="FootnoteTextChar">
    <w:name w:val="Footnote Text Char"/>
    <w:basedOn w:val="DefaultParagraphFont"/>
    <w:link w:val="FootnoteText"/>
    <w:uiPriority w:val="99"/>
    <w:locked/>
    <w:rsid w:val="00280C3B"/>
    <w:rPr>
      <w:rFonts w:cs="Times New Roman"/>
    </w:rPr>
  </w:style>
  <w:style w:type="character" w:styleId="FootnoteReference">
    <w:name w:val="footnote reference"/>
    <w:basedOn w:val="DefaultParagraphFont"/>
    <w:uiPriority w:val="99"/>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C6036"/>
    <w:pPr>
      <w:ind w:left="720"/>
      <w:contextualSpacing/>
    </w:pPr>
  </w:style>
  <w:style w:type="paragraph" w:customStyle="1" w:styleId="NICCYBodyText">
    <w:name w:val="NICCY Body Text"/>
    <w:basedOn w:val="BasicParagraph"/>
    <w:link w:val="NICCYBodyTextChar"/>
    <w:uiPriority w:val="99"/>
    <w:rsid w:val="00E852FA"/>
    <w:rPr>
      <w:rFonts w:ascii="Arial" w:hAnsi="Arial" w:cs="Arial"/>
      <w:color w:val="414042"/>
    </w:rPr>
  </w:style>
  <w:style w:type="paragraph" w:customStyle="1" w:styleId="NICCYSubTitle">
    <w:name w:val="NICCY Sub Title"/>
    <w:basedOn w:val="BasicParagraph"/>
    <w:link w:val="NICCYSubTitleChar"/>
    <w:uiPriority w:val="99"/>
    <w:rsid w:val="00E852FA"/>
    <w:rPr>
      <w:rFonts w:ascii="Arial" w:hAnsi="Arial" w:cs="Arial"/>
      <w:b/>
      <w:color w:val="23A4DE"/>
    </w:rPr>
  </w:style>
  <w:style w:type="character" w:customStyle="1" w:styleId="BasicParagraphChar">
    <w:name w:val="[Basic Paragraph] Char"/>
    <w:basedOn w:val="DefaultParagraphFont"/>
    <w:link w:val="BasicParagraph"/>
    <w:uiPriority w:val="99"/>
    <w:locked/>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uiPriority w:val="99"/>
    <w:rsid w:val="00E852FA"/>
    <w:rPr>
      <w:rFonts w:ascii="Arial" w:hAnsi="Arial" w:cs="Arial"/>
      <w:b/>
      <w:color w:val="23A4DE"/>
    </w:rPr>
  </w:style>
  <w:style w:type="character" w:customStyle="1" w:styleId="NICCYSubTitleChar">
    <w:name w:val="NICCY Sub Title Char"/>
    <w:basedOn w:val="BasicParagraphChar"/>
    <w:link w:val="NICCYSubTitle"/>
    <w:uiPriority w:val="99"/>
    <w:locked/>
    <w:rsid w:val="00E852FA"/>
    <w:rPr>
      <w:rFonts w:ascii="Arial" w:hAnsi="Arial" w:cs="Arial"/>
      <w:b/>
      <w:color w:val="23A4DE"/>
      <w:lang w:val="en-GB"/>
    </w:rPr>
  </w:style>
  <w:style w:type="paragraph" w:customStyle="1" w:styleId="NICCYHeading">
    <w:name w:val="NICCY Heading"/>
    <w:basedOn w:val="BasicParagraph"/>
    <w:link w:val="NICCYHeadingChar"/>
    <w:uiPriority w:val="99"/>
    <w:rsid w:val="00E852FA"/>
    <w:rPr>
      <w:rFonts w:ascii="Arial" w:hAnsi="Arial" w:cs="Arial"/>
      <w:b/>
      <w:color w:val="23A4DE"/>
      <w:sz w:val="36"/>
      <w:szCs w:val="36"/>
    </w:rPr>
  </w:style>
  <w:style w:type="character" w:customStyle="1" w:styleId="NICCYSublineChar">
    <w:name w:val="NICCY Subline Char"/>
    <w:basedOn w:val="BasicParagraphChar"/>
    <w:link w:val="NICCYSubline"/>
    <w:uiPriority w:val="99"/>
    <w:locked/>
    <w:rsid w:val="00E852FA"/>
    <w:rPr>
      <w:rFonts w:ascii="Arial" w:hAnsi="Arial" w:cs="Arial"/>
      <w:b/>
      <w:color w:val="23A4DE"/>
      <w:lang w:val="en-GB"/>
    </w:rPr>
  </w:style>
  <w:style w:type="character" w:customStyle="1" w:styleId="NICCYHeadingChar">
    <w:name w:val="NICCY Heading Char"/>
    <w:basedOn w:val="BasicParagraphChar"/>
    <w:link w:val="NICCYHeading"/>
    <w:uiPriority w:val="99"/>
    <w:locked/>
    <w:rsid w:val="00E852FA"/>
    <w:rPr>
      <w:rFonts w:ascii="Arial" w:hAnsi="Arial" w:cs="Arial"/>
      <w:b/>
      <w:color w:val="23A4DE"/>
      <w:sz w:val="36"/>
      <w:szCs w:val="36"/>
      <w:lang w:val="en-GB"/>
    </w:rPr>
  </w:style>
  <w:style w:type="character" w:styleId="Hyperlink">
    <w:name w:val="Hyperlink"/>
    <w:basedOn w:val="DefaultParagraphFont"/>
    <w:uiPriority w:val="99"/>
    <w:rsid w:val="005809C6"/>
    <w:rPr>
      <w:rFonts w:cs="Times New Roman"/>
      <w:color w:val="0000FF"/>
      <w:u w:val="single"/>
    </w:rPr>
  </w:style>
  <w:style w:type="character" w:styleId="Emphasis">
    <w:name w:val="Emphasis"/>
    <w:basedOn w:val="DefaultParagraphFont"/>
    <w:uiPriority w:val="99"/>
    <w:qFormat/>
    <w:rsid w:val="00E614AC"/>
    <w:rPr>
      <w:rFonts w:cs="Times New Roman"/>
      <w:i/>
      <w:iCs/>
    </w:rPr>
  </w:style>
  <w:style w:type="paragraph" w:styleId="NormalWeb">
    <w:name w:val="Normal (Web)"/>
    <w:basedOn w:val="Normal"/>
    <w:uiPriority w:val="99"/>
    <w:semiHidden/>
    <w:rsid w:val="00E614AC"/>
    <w:pPr>
      <w:spacing w:before="100" w:beforeAutospacing="1" w:after="300"/>
    </w:pPr>
    <w:rPr>
      <w:sz w:val="24"/>
      <w:szCs w:val="24"/>
      <w:lang w:val="en-US"/>
    </w:rPr>
  </w:style>
  <w:style w:type="paragraph" w:customStyle="1" w:styleId="Style1">
    <w:name w:val="Style1"/>
    <w:basedOn w:val="Normal"/>
    <w:link w:val="Style1Char"/>
    <w:uiPriority w:val="99"/>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uiPriority w:val="99"/>
    <w:locked/>
    <w:rsid w:val="002A5FA0"/>
    <w:rPr>
      <w:rFonts w:ascii="Arial" w:hAnsi="Arial" w:cs="Arial"/>
      <w:color w:val="00B0F0"/>
      <w:sz w:val="32"/>
      <w:szCs w:val="32"/>
      <w:lang w:val="en-GB"/>
    </w:rPr>
  </w:style>
  <w:style w:type="paragraph" w:styleId="CommentText">
    <w:name w:val="annotation text"/>
    <w:basedOn w:val="Normal"/>
    <w:link w:val="CommentTextChar"/>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u w:color="000000"/>
      <w:lang w:val="en-US" w:eastAsia="en-GB"/>
    </w:rPr>
  </w:style>
  <w:style w:type="character" w:customStyle="1" w:styleId="CommentTextChar">
    <w:name w:val="Comment Text Char"/>
    <w:basedOn w:val="DefaultParagraphFont"/>
    <w:link w:val="CommentText"/>
    <w:uiPriority w:val="99"/>
    <w:locked/>
    <w:rsid w:val="00906389"/>
    <w:rPr>
      <w:rFonts w:ascii="Times New Roman" w:hAnsi="Times New Roman" w:cs="Arial Unicode MS"/>
      <w:color w:val="000000"/>
      <w:sz w:val="20"/>
      <w:szCs w:val="20"/>
      <w:u w:color="000000"/>
      <w:lang w:eastAsia="en-GB"/>
    </w:rPr>
  </w:style>
  <w:style w:type="paragraph" w:customStyle="1" w:styleId="Body">
    <w:name w:val="Body"/>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lang w:val="en-US"/>
    </w:rPr>
  </w:style>
  <w:style w:type="character" w:customStyle="1" w:styleId="legds">
    <w:name w:val="legds"/>
    <w:basedOn w:val="DefaultParagraphFont"/>
    <w:uiPriority w:val="99"/>
    <w:rsid w:val="00D92D9C"/>
    <w:rPr>
      <w:rFonts w:cs="Times New Roman"/>
    </w:rPr>
  </w:style>
  <w:style w:type="paragraph" w:customStyle="1" w:styleId="Default">
    <w:name w:val="Default"/>
    <w:uiPriority w:val="99"/>
    <w:rsid w:val="005A2D38"/>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locked/>
    <w:rsid w:val="00CB309C"/>
    <w:rPr>
      <w:rFonts w:cs="Times New Roman"/>
      <w:b/>
      <w:bCs/>
    </w:rPr>
  </w:style>
  <w:style w:type="character" w:styleId="CommentReference">
    <w:name w:val="annotation reference"/>
    <w:basedOn w:val="DefaultParagraphFont"/>
    <w:uiPriority w:val="99"/>
    <w:semiHidden/>
    <w:rsid w:val="00CF7563"/>
    <w:rPr>
      <w:rFonts w:cs="Times New Roman"/>
      <w:sz w:val="16"/>
      <w:szCs w:val="16"/>
    </w:rPr>
  </w:style>
  <w:style w:type="paragraph" w:styleId="CommentSubject">
    <w:name w:val="annotation subject"/>
    <w:basedOn w:val="CommentText"/>
    <w:next w:val="CommentText"/>
    <w:link w:val="CommentSubjectChar"/>
    <w:uiPriority w:val="99"/>
    <w:semiHidden/>
    <w:rsid w:val="00CF7563"/>
    <w:pPr>
      <w:pBdr>
        <w:top w:val="none" w:sz="0" w:space="0" w:color="auto"/>
        <w:left w:val="none" w:sz="0" w:space="0" w:color="auto"/>
        <w:bottom w:val="none" w:sz="0" w:space="0" w:color="auto"/>
        <w:right w:val="none" w:sz="0" w:space="0" w:color="auto"/>
        <w:bar w:val="none" w:sz="0" w:color="auto"/>
      </w:pBdr>
    </w:pPr>
    <w:rPr>
      <w:rFonts w:cs="Times New Roman"/>
      <w:b/>
      <w:bCs/>
      <w:color w:val="auto"/>
      <w:lang w:val="en-GB" w:eastAsia="en-US"/>
    </w:rPr>
  </w:style>
  <w:style w:type="character" w:customStyle="1" w:styleId="CommentSubjectChar">
    <w:name w:val="Comment Subject Char"/>
    <w:basedOn w:val="CommentTextChar"/>
    <w:link w:val="CommentSubject"/>
    <w:uiPriority w:val="99"/>
    <w:semiHidden/>
    <w:locked/>
    <w:rsid w:val="00CF7563"/>
    <w:rPr>
      <w:rFonts w:ascii="Times New Roman" w:hAnsi="Times New Roman" w:cs="Arial Unicode MS"/>
      <w:b/>
      <w:bCs/>
      <w:color w:val="000000"/>
      <w:sz w:val="20"/>
      <w:szCs w:val="20"/>
      <w:u w:color="000000"/>
      <w:lang w:eastAsia="en-US"/>
    </w:rPr>
  </w:style>
  <w:style w:type="character" w:styleId="FollowedHyperlink">
    <w:name w:val="FollowedHyperlink"/>
    <w:basedOn w:val="DefaultParagraphFont"/>
    <w:uiPriority w:val="99"/>
    <w:semiHidden/>
    <w:unhideWhenUsed/>
    <w:rsid w:val="00AA2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05464">
      <w:bodyDiv w:val="1"/>
      <w:marLeft w:val="0"/>
      <w:marRight w:val="0"/>
      <w:marTop w:val="0"/>
      <w:marBottom w:val="0"/>
      <w:divBdr>
        <w:top w:val="none" w:sz="0" w:space="0" w:color="auto"/>
        <w:left w:val="none" w:sz="0" w:space="0" w:color="auto"/>
        <w:bottom w:val="none" w:sz="0" w:space="0" w:color="auto"/>
        <w:right w:val="none" w:sz="0" w:space="0" w:color="auto"/>
      </w:divBdr>
    </w:div>
    <w:div w:id="1932539458">
      <w:marLeft w:val="0"/>
      <w:marRight w:val="0"/>
      <w:marTop w:val="0"/>
      <w:marBottom w:val="0"/>
      <w:divBdr>
        <w:top w:val="none" w:sz="0" w:space="0" w:color="auto"/>
        <w:left w:val="none" w:sz="0" w:space="0" w:color="auto"/>
        <w:bottom w:val="none" w:sz="0" w:space="0" w:color="auto"/>
        <w:right w:val="none" w:sz="0" w:space="0" w:color="auto"/>
      </w:divBdr>
      <w:divsChild>
        <w:div w:id="1932539464">
          <w:marLeft w:val="0"/>
          <w:marRight w:val="0"/>
          <w:marTop w:val="0"/>
          <w:marBottom w:val="0"/>
          <w:divBdr>
            <w:top w:val="none" w:sz="0" w:space="0" w:color="auto"/>
            <w:left w:val="none" w:sz="0" w:space="0" w:color="auto"/>
            <w:bottom w:val="none" w:sz="0" w:space="0" w:color="auto"/>
            <w:right w:val="none" w:sz="0" w:space="0" w:color="auto"/>
          </w:divBdr>
          <w:divsChild>
            <w:div w:id="1932539465">
              <w:marLeft w:val="0"/>
              <w:marRight w:val="0"/>
              <w:marTop w:val="0"/>
              <w:marBottom w:val="0"/>
              <w:divBdr>
                <w:top w:val="none" w:sz="0" w:space="0" w:color="auto"/>
                <w:left w:val="none" w:sz="0" w:space="0" w:color="auto"/>
                <w:bottom w:val="none" w:sz="0" w:space="0" w:color="auto"/>
                <w:right w:val="none" w:sz="0" w:space="0" w:color="auto"/>
              </w:divBdr>
              <w:divsChild>
                <w:div w:id="1932539461">
                  <w:marLeft w:val="0"/>
                  <w:marRight w:val="0"/>
                  <w:marTop w:val="0"/>
                  <w:marBottom w:val="0"/>
                  <w:divBdr>
                    <w:top w:val="none" w:sz="0" w:space="0" w:color="auto"/>
                    <w:left w:val="none" w:sz="0" w:space="0" w:color="auto"/>
                    <w:bottom w:val="none" w:sz="0" w:space="0" w:color="auto"/>
                    <w:right w:val="none" w:sz="0" w:space="0" w:color="auto"/>
                  </w:divBdr>
                  <w:divsChild>
                    <w:div w:id="19325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459">
      <w:marLeft w:val="0"/>
      <w:marRight w:val="0"/>
      <w:marTop w:val="0"/>
      <w:marBottom w:val="0"/>
      <w:divBdr>
        <w:top w:val="none" w:sz="0" w:space="0" w:color="auto"/>
        <w:left w:val="none" w:sz="0" w:space="0" w:color="auto"/>
        <w:bottom w:val="none" w:sz="0" w:space="0" w:color="auto"/>
        <w:right w:val="none" w:sz="0" w:space="0" w:color="auto"/>
      </w:divBdr>
    </w:div>
    <w:div w:id="1932539460">
      <w:marLeft w:val="0"/>
      <w:marRight w:val="0"/>
      <w:marTop w:val="0"/>
      <w:marBottom w:val="0"/>
      <w:divBdr>
        <w:top w:val="none" w:sz="0" w:space="0" w:color="auto"/>
        <w:left w:val="none" w:sz="0" w:space="0" w:color="auto"/>
        <w:bottom w:val="none" w:sz="0" w:space="0" w:color="auto"/>
        <w:right w:val="none" w:sz="0" w:space="0" w:color="auto"/>
      </w:divBdr>
    </w:div>
    <w:div w:id="1932539463">
      <w:marLeft w:val="0"/>
      <w:marRight w:val="0"/>
      <w:marTop w:val="0"/>
      <w:marBottom w:val="0"/>
      <w:divBdr>
        <w:top w:val="none" w:sz="0" w:space="0" w:color="auto"/>
        <w:left w:val="none" w:sz="0" w:space="0" w:color="auto"/>
        <w:bottom w:val="none" w:sz="0" w:space="0" w:color="auto"/>
        <w:right w:val="none" w:sz="0" w:space="0" w:color="auto"/>
      </w:divBdr>
    </w:div>
    <w:div w:id="19873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ni.gov.uk/publications/co-operating-safeguard-children-and-young-people-northern-ireland" TargetMode="External"/><Relationship Id="rId7" Type="http://schemas.openxmlformats.org/officeDocument/2006/relationships/hyperlink" Target="https://www.ohchr.org/en/hrbodies/crc/pages/discussion2014.aspx" TargetMode="External"/><Relationship Id="rId2" Type="http://schemas.openxmlformats.org/officeDocument/2006/relationships/hyperlink" Target="https://tbinternet.ohchr.org/_layouts/treatybodyexternal/TBSearch.aspx?Lang=en&amp;TreatyID=5&amp;DocTypeID=11" TargetMode="External"/><Relationship Id="rId1" Type="http://schemas.openxmlformats.org/officeDocument/2006/relationships/hyperlink" Target="https://www.ohchr.org/en/countries/enacaregion/pages/gbindex.aspx" TargetMode="External"/><Relationship Id="rId6" Type="http://schemas.openxmlformats.org/officeDocument/2006/relationships/hyperlink" Target="https://www.thejournal.ie/scouting-ireland-abuse-cases-4351408-Nov2018/" TargetMode="External"/><Relationship Id="rId5" Type="http://schemas.openxmlformats.org/officeDocument/2006/relationships/hyperlink" Target="https://www.dcya.gov.ie/docs/EN/Press-Releases-copy-dcya-gov-ie-2019/81/5071.htm" TargetMode="External"/><Relationship Id="rId4" Type="http://schemas.openxmlformats.org/officeDocument/2006/relationships/hyperlink" Target="https://www.beds.ac.uk/ic/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B0B2-FD59-4A2C-ADD7-1A4FDC55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13</Pages>
  <Words>4205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Reflections on Government Child Sexual Exploitation Progress Reports</vt:lpstr>
    </vt:vector>
  </TitlesOfParts>
  <Company>Whitenoise</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Government Child Sexual Exploitation Progress Reports</dc:title>
  <dc:subject/>
  <dc:creator>Nic Scott</dc:creator>
  <cp:keywords/>
  <dc:description/>
  <cp:lastModifiedBy>Jacqueline Melville</cp:lastModifiedBy>
  <cp:revision>49</cp:revision>
  <cp:lastPrinted>2019-04-11T15:31:00Z</cp:lastPrinted>
  <dcterms:created xsi:type="dcterms:W3CDTF">2019-04-10T08:17:00Z</dcterms:created>
  <dcterms:modified xsi:type="dcterms:W3CDTF">2019-04-17T09:29:00Z</dcterms:modified>
</cp:coreProperties>
</file>