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4E" w:rsidRPr="00E852FA" w:rsidRDefault="00DA4EBB" w:rsidP="00441A4E">
      <w:pPr>
        <w:pStyle w:val="NICCYHeading"/>
      </w:pPr>
      <w:r>
        <w:t>Still Waiting: Status Update</w:t>
      </w:r>
      <w:r w:rsidR="0055304A">
        <w:t xml:space="preserve"> Report </w:t>
      </w:r>
    </w:p>
    <w:p w:rsidR="00FF5D6F" w:rsidRDefault="00FF5D6F" w:rsidP="00441A4E">
      <w:pPr>
        <w:pStyle w:val="NICCYBodyText"/>
        <w:spacing w:line="360" w:lineRule="auto"/>
        <w:rPr>
          <w:b/>
          <w:color w:val="23A4DE"/>
        </w:rPr>
      </w:pPr>
    </w:p>
    <w:p w:rsidR="00FF5D6F" w:rsidRPr="00177783" w:rsidRDefault="00FF5D6F" w:rsidP="00FF5D6F">
      <w:pPr>
        <w:widowControl w:val="0"/>
        <w:autoSpaceDE w:val="0"/>
        <w:autoSpaceDN w:val="0"/>
        <w:adjustRightInd w:val="0"/>
        <w:spacing w:line="288" w:lineRule="auto"/>
        <w:textAlignment w:val="center"/>
        <w:rPr>
          <w:rFonts w:ascii="Arial" w:eastAsiaTheme="minorEastAsia" w:hAnsi="Arial" w:cs="Arial"/>
          <w:b/>
          <w:color w:val="23A4DE"/>
          <w:sz w:val="28"/>
          <w:szCs w:val="28"/>
        </w:rPr>
      </w:pPr>
      <w:r w:rsidRPr="00CA34A9">
        <w:rPr>
          <w:rFonts w:ascii="Arial" w:eastAsiaTheme="minorEastAsia" w:hAnsi="Arial" w:cs="Arial"/>
          <w:b/>
          <w:color w:val="23A4DE"/>
          <w:sz w:val="28"/>
          <w:szCs w:val="28"/>
        </w:rPr>
        <w:t>Introduction</w:t>
      </w:r>
    </w:p>
    <w:p w:rsidR="000B4A57" w:rsidRDefault="00520556" w:rsidP="00894486">
      <w:pPr>
        <w:widowControl w:val="0"/>
        <w:autoSpaceDE w:val="0"/>
        <w:autoSpaceDN w:val="0"/>
        <w:adjustRightInd w:val="0"/>
        <w:spacing w:line="276" w:lineRule="auto"/>
        <w:ind w:right="-7"/>
        <w:textAlignment w:val="center"/>
        <w:rPr>
          <w:rFonts w:ascii="Arial" w:hAnsi="Arial" w:cs="Arial"/>
          <w:color w:val="404040" w:themeColor="text1" w:themeTint="BF"/>
          <w:sz w:val="24"/>
          <w:szCs w:val="24"/>
          <w:lang w:eastAsia="en-GB"/>
        </w:rPr>
      </w:pPr>
      <w:r>
        <w:rPr>
          <w:rFonts w:ascii="Arial" w:hAnsi="Arial" w:cs="Arial"/>
          <w:color w:val="404040" w:themeColor="text1" w:themeTint="BF"/>
          <w:sz w:val="24"/>
          <w:szCs w:val="24"/>
          <w:lang w:eastAsia="en-GB"/>
        </w:rPr>
        <w:t>The Northern Ireland Commissioner for Children and Young People (</w:t>
      </w:r>
      <w:r w:rsidR="00FF5D6F">
        <w:rPr>
          <w:rFonts w:ascii="Arial" w:hAnsi="Arial" w:cs="Arial"/>
          <w:color w:val="404040" w:themeColor="text1" w:themeTint="BF"/>
          <w:sz w:val="24"/>
          <w:szCs w:val="24"/>
          <w:lang w:eastAsia="en-GB"/>
        </w:rPr>
        <w:t>NICCY</w:t>
      </w:r>
      <w:r>
        <w:rPr>
          <w:rFonts w:ascii="Arial" w:hAnsi="Arial" w:cs="Arial"/>
          <w:color w:val="404040" w:themeColor="text1" w:themeTint="BF"/>
          <w:sz w:val="24"/>
          <w:szCs w:val="24"/>
          <w:lang w:eastAsia="en-GB"/>
        </w:rPr>
        <w:t>)</w:t>
      </w:r>
      <w:r w:rsidR="00FF5D6F">
        <w:rPr>
          <w:rFonts w:ascii="Arial" w:hAnsi="Arial" w:cs="Arial"/>
          <w:color w:val="404040" w:themeColor="text1" w:themeTint="BF"/>
          <w:sz w:val="24"/>
          <w:szCs w:val="24"/>
          <w:lang w:eastAsia="en-GB"/>
        </w:rPr>
        <w:t xml:space="preserve"> was</w:t>
      </w:r>
      <w:r w:rsidR="009B0C99">
        <w:rPr>
          <w:rFonts w:ascii="Arial" w:hAnsi="Arial" w:cs="Arial"/>
          <w:color w:val="404040" w:themeColor="text1" w:themeTint="BF"/>
          <w:sz w:val="24"/>
          <w:szCs w:val="24"/>
          <w:lang w:eastAsia="en-GB"/>
        </w:rPr>
        <w:t xml:space="preserve"> </w:t>
      </w:r>
      <w:r w:rsidR="00FF5D6F">
        <w:rPr>
          <w:rFonts w:ascii="Arial" w:hAnsi="Arial" w:cs="Arial"/>
          <w:color w:val="404040" w:themeColor="text1" w:themeTint="BF"/>
          <w:sz w:val="24"/>
          <w:szCs w:val="24"/>
          <w:lang w:eastAsia="en-GB"/>
        </w:rPr>
        <w:t>established under the Commissioner for Children and Young People (NI) Order 2003</w:t>
      </w:r>
      <w:r>
        <w:rPr>
          <w:rFonts w:ascii="Arial" w:hAnsi="Arial" w:cs="Arial"/>
          <w:color w:val="404040" w:themeColor="text1" w:themeTint="BF"/>
          <w:sz w:val="24"/>
          <w:szCs w:val="24"/>
          <w:lang w:eastAsia="en-GB"/>
        </w:rPr>
        <w:t xml:space="preserve"> with a </w:t>
      </w:r>
      <w:r w:rsidR="00FF5D6F">
        <w:rPr>
          <w:rFonts w:ascii="Arial" w:hAnsi="Arial" w:cs="Arial"/>
          <w:color w:val="404040" w:themeColor="text1" w:themeTint="BF"/>
          <w:sz w:val="24"/>
          <w:szCs w:val="24"/>
          <w:lang w:eastAsia="en-GB"/>
        </w:rPr>
        <w:t xml:space="preserve">principal aim to safeguard and promote the rights and best interests of children and young people in NI. In exercising </w:t>
      </w:r>
      <w:r>
        <w:rPr>
          <w:rFonts w:ascii="Arial" w:hAnsi="Arial" w:cs="Arial"/>
          <w:color w:val="404040" w:themeColor="text1" w:themeTint="BF"/>
          <w:sz w:val="24"/>
          <w:szCs w:val="24"/>
          <w:lang w:eastAsia="en-GB"/>
        </w:rPr>
        <w:t>her</w:t>
      </w:r>
      <w:r w:rsidR="00FF5D6F">
        <w:rPr>
          <w:rFonts w:ascii="Arial" w:hAnsi="Arial" w:cs="Arial"/>
          <w:color w:val="404040" w:themeColor="text1" w:themeTint="BF"/>
          <w:sz w:val="24"/>
          <w:szCs w:val="24"/>
          <w:lang w:eastAsia="en-GB"/>
        </w:rPr>
        <w:t xml:space="preserve"> functions, the Commissioner must have regard to all provisions of the United Nations Convention on the Rights of the Child (UNCRC). </w:t>
      </w:r>
    </w:p>
    <w:p w:rsidR="000B4A57" w:rsidRDefault="000B4A57" w:rsidP="00894486">
      <w:pPr>
        <w:widowControl w:val="0"/>
        <w:autoSpaceDE w:val="0"/>
        <w:autoSpaceDN w:val="0"/>
        <w:adjustRightInd w:val="0"/>
        <w:spacing w:line="276" w:lineRule="auto"/>
        <w:ind w:right="-7"/>
        <w:textAlignment w:val="center"/>
        <w:rPr>
          <w:rFonts w:ascii="Arial" w:hAnsi="Arial" w:cs="Arial"/>
          <w:color w:val="404040" w:themeColor="text1" w:themeTint="BF"/>
          <w:sz w:val="24"/>
          <w:szCs w:val="24"/>
          <w:lang w:eastAsia="en-GB"/>
        </w:rPr>
      </w:pPr>
    </w:p>
    <w:p w:rsidR="00FF5D6F" w:rsidRDefault="000B4A57" w:rsidP="00894486">
      <w:pPr>
        <w:widowControl w:val="0"/>
        <w:autoSpaceDE w:val="0"/>
        <w:autoSpaceDN w:val="0"/>
        <w:adjustRightInd w:val="0"/>
        <w:spacing w:line="276" w:lineRule="auto"/>
        <w:ind w:right="-7"/>
        <w:textAlignment w:val="center"/>
        <w:rPr>
          <w:rFonts w:ascii="Arial" w:hAnsi="Arial" w:cs="Arial"/>
          <w:color w:val="404040" w:themeColor="text1" w:themeTint="BF"/>
          <w:sz w:val="24"/>
          <w:szCs w:val="24"/>
          <w:lang w:eastAsia="en-GB"/>
        </w:rPr>
      </w:pPr>
      <w:r>
        <w:rPr>
          <w:rFonts w:ascii="Arial" w:hAnsi="Arial" w:cs="Arial"/>
          <w:color w:val="404040" w:themeColor="text1" w:themeTint="BF"/>
          <w:sz w:val="24"/>
          <w:szCs w:val="24"/>
          <w:lang w:eastAsia="en-GB"/>
        </w:rPr>
        <w:t>In September 2018, NICCY published a Rights Based Mental Health Review</w:t>
      </w:r>
      <w:r w:rsidR="0048778B">
        <w:rPr>
          <w:rFonts w:ascii="Arial" w:hAnsi="Arial" w:cs="Arial"/>
          <w:color w:val="404040" w:themeColor="text1" w:themeTint="BF"/>
          <w:sz w:val="24"/>
          <w:szCs w:val="24"/>
          <w:lang w:eastAsia="en-GB"/>
        </w:rPr>
        <w:t xml:space="preserve"> </w:t>
      </w:r>
      <w:r>
        <w:rPr>
          <w:rFonts w:ascii="Arial" w:hAnsi="Arial" w:cs="Arial"/>
          <w:color w:val="404040" w:themeColor="text1" w:themeTint="BF"/>
          <w:sz w:val="24"/>
          <w:szCs w:val="24"/>
          <w:lang w:eastAsia="en-GB"/>
        </w:rPr>
        <w:t xml:space="preserve">- </w:t>
      </w:r>
      <w:r w:rsidR="00FF5D6F" w:rsidRPr="00DA4EBB">
        <w:rPr>
          <w:rFonts w:ascii="Arial" w:hAnsi="Arial" w:cs="Arial"/>
          <w:b/>
          <w:i/>
          <w:color w:val="404040" w:themeColor="text1" w:themeTint="BF"/>
          <w:sz w:val="24"/>
          <w:szCs w:val="24"/>
          <w:lang w:eastAsia="en-GB"/>
        </w:rPr>
        <w:t>‘Still Waiting’</w:t>
      </w:r>
      <w:r w:rsidR="00FF5D6F">
        <w:rPr>
          <w:rFonts w:ascii="Arial" w:hAnsi="Arial" w:cs="Arial"/>
          <w:color w:val="404040" w:themeColor="text1" w:themeTint="BF"/>
          <w:sz w:val="24"/>
          <w:szCs w:val="24"/>
          <w:lang w:eastAsia="en-GB"/>
        </w:rPr>
        <w:t xml:space="preserve"> </w:t>
      </w:r>
      <w:r>
        <w:rPr>
          <w:rFonts w:ascii="Arial" w:hAnsi="Arial" w:cs="Arial"/>
          <w:color w:val="404040" w:themeColor="text1" w:themeTint="BF"/>
          <w:sz w:val="24"/>
          <w:szCs w:val="24"/>
          <w:lang w:eastAsia="en-GB"/>
        </w:rPr>
        <w:t xml:space="preserve">this report </w:t>
      </w:r>
      <w:r w:rsidR="00FF5D6F">
        <w:rPr>
          <w:rFonts w:ascii="Arial" w:hAnsi="Arial" w:cs="Arial"/>
          <w:color w:val="404040" w:themeColor="text1" w:themeTint="BF"/>
          <w:sz w:val="24"/>
          <w:szCs w:val="24"/>
          <w:lang w:eastAsia="en-GB"/>
        </w:rPr>
        <w:t xml:space="preserve">was </w:t>
      </w:r>
      <w:r w:rsidR="0048778B">
        <w:rPr>
          <w:rFonts w:ascii="Arial" w:hAnsi="Arial" w:cs="Arial"/>
          <w:color w:val="404040" w:themeColor="text1" w:themeTint="BF"/>
          <w:sz w:val="24"/>
          <w:szCs w:val="24"/>
          <w:lang w:eastAsia="en-GB"/>
        </w:rPr>
        <w:t xml:space="preserve">produced </w:t>
      </w:r>
      <w:r w:rsidR="00FF5D6F">
        <w:rPr>
          <w:rFonts w:ascii="Arial" w:hAnsi="Arial" w:cs="Arial"/>
          <w:color w:val="404040" w:themeColor="text1" w:themeTint="BF"/>
          <w:sz w:val="24"/>
          <w:szCs w:val="24"/>
          <w:lang w:eastAsia="en-GB"/>
        </w:rPr>
        <w:t>in accordance with the pow</w:t>
      </w:r>
      <w:r w:rsidR="00502DDB">
        <w:rPr>
          <w:rFonts w:ascii="Arial" w:hAnsi="Arial" w:cs="Arial"/>
          <w:color w:val="404040" w:themeColor="text1" w:themeTint="BF"/>
          <w:sz w:val="24"/>
          <w:szCs w:val="24"/>
          <w:lang w:eastAsia="en-GB"/>
        </w:rPr>
        <w:t>ers and functions set out in th</w:t>
      </w:r>
      <w:r w:rsidR="0048778B">
        <w:rPr>
          <w:rFonts w:ascii="Arial" w:hAnsi="Arial" w:cs="Arial"/>
          <w:color w:val="404040" w:themeColor="text1" w:themeTint="BF"/>
          <w:sz w:val="24"/>
          <w:szCs w:val="24"/>
          <w:lang w:eastAsia="en-GB"/>
        </w:rPr>
        <w:t>e NICCY</w:t>
      </w:r>
      <w:r w:rsidR="00FF5D6F">
        <w:rPr>
          <w:rFonts w:ascii="Arial" w:hAnsi="Arial" w:cs="Arial"/>
          <w:color w:val="404040" w:themeColor="text1" w:themeTint="BF"/>
          <w:sz w:val="24"/>
          <w:szCs w:val="24"/>
          <w:lang w:eastAsia="en-GB"/>
        </w:rPr>
        <w:t xml:space="preserve"> Order. </w:t>
      </w:r>
      <w:r w:rsidR="008719A5">
        <w:rPr>
          <w:rFonts w:ascii="Arial" w:hAnsi="Arial" w:cs="Arial"/>
          <w:color w:val="404040" w:themeColor="text1" w:themeTint="BF"/>
          <w:sz w:val="24"/>
          <w:szCs w:val="24"/>
          <w:lang w:eastAsia="en-GB"/>
        </w:rPr>
        <w:t>These included our</w:t>
      </w:r>
      <w:r w:rsidR="00FF5D6F">
        <w:rPr>
          <w:rFonts w:ascii="Arial" w:hAnsi="Arial" w:cs="Arial"/>
          <w:color w:val="404040" w:themeColor="text1" w:themeTint="BF"/>
          <w:sz w:val="24"/>
          <w:szCs w:val="24"/>
          <w:lang w:eastAsia="en-GB"/>
        </w:rPr>
        <w:t xml:space="preserve"> duties to keep under review the adequacy and effectiveness of law, practice and services provided for children and young</w:t>
      </w:r>
      <w:r w:rsidR="008719A5">
        <w:rPr>
          <w:rFonts w:ascii="Arial" w:hAnsi="Arial" w:cs="Arial"/>
          <w:color w:val="404040" w:themeColor="text1" w:themeTint="BF"/>
          <w:sz w:val="24"/>
          <w:szCs w:val="24"/>
          <w:lang w:eastAsia="en-GB"/>
        </w:rPr>
        <w:t xml:space="preserve"> people by relevant authorities;</w:t>
      </w:r>
      <w:r w:rsidR="00FF5D6F">
        <w:rPr>
          <w:rFonts w:ascii="Arial" w:hAnsi="Arial" w:cs="Arial"/>
          <w:color w:val="404040" w:themeColor="text1" w:themeTint="BF"/>
          <w:sz w:val="24"/>
          <w:szCs w:val="24"/>
          <w:lang w:eastAsia="en-GB"/>
        </w:rPr>
        <w:t xml:space="preserve"> to advise Gove</w:t>
      </w:r>
      <w:r w:rsidR="008719A5">
        <w:rPr>
          <w:rFonts w:ascii="Arial" w:hAnsi="Arial" w:cs="Arial"/>
          <w:color w:val="404040" w:themeColor="text1" w:themeTint="BF"/>
          <w:sz w:val="24"/>
          <w:szCs w:val="24"/>
          <w:lang w:eastAsia="en-GB"/>
        </w:rPr>
        <w:t>rnment and relevant authorities;</w:t>
      </w:r>
      <w:r w:rsidR="00FF5D6F">
        <w:rPr>
          <w:rFonts w:ascii="Arial" w:hAnsi="Arial" w:cs="Arial"/>
          <w:color w:val="404040" w:themeColor="text1" w:themeTint="BF"/>
          <w:sz w:val="24"/>
          <w:szCs w:val="24"/>
          <w:lang w:eastAsia="en-GB"/>
        </w:rPr>
        <w:t xml:space="preserve"> and </w:t>
      </w:r>
      <w:r w:rsidR="008719A5">
        <w:rPr>
          <w:rFonts w:ascii="Arial" w:hAnsi="Arial" w:cs="Arial"/>
          <w:color w:val="404040" w:themeColor="text1" w:themeTint="BF"/>
          <w:sz w:val="24"/>
          <w:szCs w:val="24"/>
          <w:lang w:eastAsia="en-GB"/>
        </w:rPr>
        <w:t xml:space="preserve">to </w:t>
      </w:r>
      <w:r w:rsidR="00FF5D6F">
        <w:rPr>
          <w:rFonts w:ascii="Arial" w:hAnsi="Arial" w:cs="Arial"/>
          <w:color w:val="404040" w:themeColor="text1" w:themeTint="BF"/>
          <w:sz w:val="24"/>
          <w:szCs w:val="24"/>
          <w:lang w:eastAsia="en-GB"/>
        </w:rPr>
        <w:t xml:space="preserve">encourage children and young people and their parents / carers to communicate with the Commissioner. </w:t>
      </w:r>
    </w:p>
    <w:p w:rsidR="00FF5D6F" w:rsidRDefault="00FF5D6F" w:rsidP="00894486">
      <w:pPr>
        <w:widowControl w:val="0"/>
        <w:autoSpaceDE w:val="0"/>
        <w:autoSpaceDN w:val="0"/>
        <w:adjustRightInd w:val="0"/>
        <w:spacing w:line="276" w:lineRule="auto"/>
        <w:ind w:right="-7"/>
        <w:textAlignment w:val="center"/>
        <w:rPr>
          <w:rFonts w:ascii="Arial" w:eastAsiaTheme="minorEastAsia" w:hAnsi="Arial" w:cs="Arial"/>
          <w:b/>
          <w:color w:val="ED1C24"/>
          <w:sz w:val="24"/>
          <w:szCs w:val="24"/>
        </w:rPr>
      </w:pPr>
    </w:p>
    <w:p w:rsidR="00FF5D6F" w:rsidRPr="00177783" w:rsidRDefault="00FF5D6F" w:rsidP="00894486">
      <w:pPr>
        <w:widowControl w:val="0"/>
        <w:autoSpaceDE w:val="0"/>
        <w:autoSpaceDN w:val="0"/>
        <w:adjustRightInd w:val="0"/>
        <w:spacing w:line="276" w:lineRule="auto"/>
        <w:ind w:right="-7"/>
        <w:textAlignment w:val="center"/>
        <w:rPr>
          <w:rFonts w:ascii="Arial" w:eastAsiaTheme="minorEastAsia" w:hAnsi="Arial" w:cs="Arial"/>
          <w:b/>
          <w:color w:val="23A4DE"/>
          <w:sz w:val="28"/>
          <w:szCs w:val="28"/>
        </w:rPr>
      </w:pPr>
      <w:r w:rsidRPr="00177783">
        <w:rPr>
          <w:rFonts w:ascii="Arial" w:eastAsiaTheme="minorEastAsia" w:hAnsi="Arial" w:cs="Arial"/>
          <w:b/>
          <w:color w:val="23A4DE"/>
          <w:sz w:val="28"/>
          <w:szCs w:val="28"/>
        </w:rPr>
        <w:t xml:space="preserve">NICCY’s Report </w:t>
      </w:r>
    </w:p>
    <w:p w:rsidR="00FF5D6F" w:rsidRDefault="00FF5D6F" w:rsidP="00894486">
      <w:pPr>
        <w:widowControl w:val="0"/>
        <w:autoSpaceDE w:val="0"/>
        <w:autoSpaceDN w:val="0"/>
        <w:adjustRightInd w:val="0"/>
        <w:spacing w:line="276" w:lineRule="auto"/>
        <w:ind w:right="-7"/>
        <w:textAlignment w:val="center"/>
        <w:rPr>
          <w:rFonts w:ascii="Arial" w:hAnsi="Arial" w:cs="Arial"/>
          <w:color w:val="404040" w:themeColor="text1" w:themeTint="BF"/>
          <w:sz w:val="24"/>
          <w:szCs w:val="24"/>
          <w:lang w:eastAsia="en-GB"/>
        </w:rPr>
      </w:pPr>
      <w:r w:rsidRPr="00ED4130">
        <w:rPr>
          <w:rFonts w:ascii="Arial" w:hAnsi="Arial" w:cs="Arial"/>
          <w:color w:val="404040" w:themeColor="text1" w:themeTint="BF"/>
          <w:sz w:val="24"/>
          <w:szCs w:val="24"/>
          <w:lang w:eastAsia="en-GB"/>
        </w:rPr>
        <w:t>The Review assessed th</w:t>
      </w:r>
      <w:r w:rsidR="00324BCD">
        <w:rPr>
          <w:rFonts w:ascii="Arial" w:hAnsi="Arial" w:cs="Arial"/>
          <w:color w:val="404040" w:themeColor="text1" w:themeTint="BF"/>
          <w:sz w:val="24"/>
          <w:szCs w:val="24"/>
          <w:lang w:eastAsia="en-GB"/>
        </w:rPr>
        <w:t xml:space="preserve">e adequacy and effectiveness of </w:t>
      </w:r>
      <w:r w:rsidRPr="00ED4130">
        <w:rPr>
          <w:rFonts w:ascii="Arial" w:hAnsi="Arial" w:cs="Arial"/>
          <w:color w:val="404040" w:themeColor="text1" w:themeTint="BF"/>
          <w:sz w:val="24"/>
          <w:szCs w:val="24"/>
          <w:lang w:eastAsia="en-GB"/>
        </w:rPr>
        <w:t>mental health service</w:t>
      </w:r>
      <w:r w:rsidR="008719A5">
        <w:rPr>
          <w:rFonts w:ascii="Arial" w:hAnsi="Arial" w:cs="Arial"/>
          <w:color w:val="404040" w:themeColor="text1" w:themeTint="BF"/>
          <w:sz w:val="24"/>
          <w:szCs w:val="24"/>
          <w:lang w:eastAsia="en-GB"/>
        </w:rPr>
        <w:t>s for children and young people</w:t>
      </w:r>
      <w:r w:rsidRPr="00ED4130">
        <w:rPr>
          <w:rFonts w:ascii="Arial" w:hAnsi="Arial" w:cs="Arial"/>
          <w:color w:val="404040" w:themeColor="text1" w:themeTint="BF"/>
          <w:sz w:val="24"/>
          <w:szCs w:val="24"/>
          <w:lang w:eastAsia="en-GB"/>
        </w:rPr>
        <w:t xml:space="preserve"> </w:t>
      </w:r>
      <w:r w:rsidR="0048778B">
        <w:rPr>
          <w:rFonts w:ascii="Arial" w:hAnsi="Arial" w:cs="Arial"/>
          <w:color w:val="404040" w:themeColor="text1" w:themeTint="BF"/>
          <w:sz w:val="24"/>
          <w:szCs w:val="24"/>
          <w:lang w:eastAsia="en-GB"/>
        </w:rPr>
        <w:t xml:space="preserve">and </w:t>
      </w:r>
      <w:r w:rsidRPr="00ED4130">
        <w:rPr>
          <w:rFonts w:ascii="Arial" w:hAnsi="Arial" w:cs="Arial"/>
          <w:color w:val="404040" w:themeColor="text1" w:themeTint="BF"/>
          <w:sz w:val="24"/>
          <w:szCs w:val="24"/>
          <w:lang w:eastAsia="en-GB"/>
        </w:rPr>
        <w:t>highlight</w:t>
      </w:r>
      <w:r w:rsidR="008719A5">
        <w:rPr>
          <w:rFonts w:ascii="Arial" w:hAnsi="Arial" w:cs="Arial"/>
          <w:color w:val="404040" w:themeColor="text1" w:themeTint="BF"/>
          <w:sz w:val="24"/>
          <w:szCs w:val="24"/>
          <w:lang w:eastAsia="en-GB"/>
        </w:rPr>
        <w:t>ed good practice and identified</w:t>
      </w:r>
      <w:r w:rsidRPr="00ED4130">
        <w:rPr>
          <w:rFonts w:ascii="Arial" w:hAnsi="Arial" w:cs="Arial"/>
          <w:color w:val="404040" w:themeColor="text1" w:themeTint="BF"/>
          <w:sz w:val="24"/>
          <w:szCs w:val="24"/>
          <w:lang w:eastAsia="en-GB"/>
        </w:rPr>
        <w:t xml:space="preserve"> barriers </w:t>
      </w:r>
      <w:r w:rsidR="0048778B">
        <w:rPr>
          <w:rFonts w:ascii="Arial" w:hAnsi="Arial" w:cs="Arial"/>
          <w:color w:val="404040" w:themeColor="text1" w:themeTint="BF"/>
          <w:sz w:val="24"/>
          <w:szCs w:val="24"/>
          <w:lang w:eastAsia="en-GB"/>
        </w:rPr>
        <w:t>which</w:t>
      </w:r>
      <w:r w:rsidRPr="00ED4130">
        <w:rPr>
          <w:rFonts w:ascii="Arial" w:hAnsi="Arial" w:cs="Arial"/>
          <w:color w:val="404040" w:themeColor="text1" w:themeTint="BF"/>
          <w:sz w:val="24"/>
          <w:szCs w:val="24"/>
          <w:lang w:eastAsia="en-GB"/>
        </w:rPr>
        <w:t xml:space="preserve"> prevent them from fully realising their right to the highest attainable standard of mental health</w:t>
      </w:r>
      <w:r>
        <w:rPr>
          <w:rFonts w:ascii="Arial" w:hAnsi="Arial" w:cs="Arial"/>
          <w:color w:val="404040" w:themeColor="text1" w:themeTint="BF"/>
          <w:sz w:val="24"/>
          <w:szCs w:val="24"/>
          <w:lang w:eastAsia="en-GB"/>
        </w:rPr>
        <w:t xml:space="preserve"> (Article 24 of the UNCRC)</w:t>
      </w:r>
      <w:r w:rsidRPr="00ED4130">
        <w:rPr>
          <w:rFonts w:ascii="Arial" w:hAnsi="Arial" w:cs="Arial"/>
          <w:color w:val="404040" w:themeColor="text1" w:themeTint="BF"/>
          <w:sz w:val="24"/>
          <w:szCs w:val="24"/>
          <w:lang w:eastAsia="en-GB"/>
        </w:rPr>
        <w:t>.</w:t>
      </w:r>
      <w:r>
        <w:rPr>
          <w:rFonts w:ascii="Arial" w:hAnsi="Arial" w:cs="Arial"/>
          <w:color w:val="404040" w:themeColor="text1" w:themeTint="BF"/>
          <w:sz w:val="24"/>
          <w:szCs w:val="24"/>
          <w:lang w:eastAsia="en-GB"/>
        </w:rPr>
        <w:t xml:space="preserve"> The Review </w:t>
      </w:r>
      <w:r w:rsidR="0048778B">
        <w:rPr>
          <w:rFonts w:ascii="Arial" w:hAnsi="Arial" w:cs="Arial"/>
          <w:color w:val="404040" w:themeColor="text1" w:themeTint="BF"/>
          <w:sz w:val="24"/>
          <w:szCs w:val="24"/>
          <w:lang w:eastAsia="en-GB"/>
        </w:rPr>
        <w:t xml:space="preserve">included </w:t>
      </w:r>
      <w:r>
        <w:rPr>
          <w:rFonts w:ascii="Arial" w:hAnsi="Arial" w:cs="Arial"/>
          <w:color w:val="404040" w:themeColor="text1" w:themeTint="BF"/>
          <w:sz w:val="24"/>
          <w:szCs w:val="24"/>
          <w:lang w:eastAsia="en-GB"/>
        </w:rPr>
        <w:t xml:space="preserve">a rights based framework </w:t>
      </w:r>
      <w:r w:rsidR="0048778B">
        <w:rPr>
          <w:rFonts w:ascii="Arial" w:hAnsi="Arial" w:cs="Arial"/>
          <w:color w:val="404040" w:themeColor="text1" w:themeTint="BF"/>
          <w:sz w:val="24"/>
          <w:szCs w:val="24"/>
          <w:lang w:eastAsia="en-GB"/>
        </w:rPr>
        <w:t>in</w:t>
      </w:r>
      <w:r>
        <w:rPr>
          <w:rFonts w:ascii="Arial" w:hAnsi="Arial" w:cs="Arial"/>
          <w:color w:val="404040" w:themeColor="text1" w:themeTint="BF"/>
          <w:sz w:val="24"/>
          <w:szCs w:val="24"/>
          <w:lang w:eastAsia="en-GB"/>
        </w:rPr>
        <w:t xml:space="preserve"> better understand</w:t>
      </w:r>
      <w:r w:rsidR="0048778B">
        <w:rPr>
          <w:rFonts w:ascii="Arial" w:hAnsi="Arial" w:cs="Arial"/>
          <w:color w:val="404040" w:themeColor="text1" w:themeTint="BF"/>
          <w:sz w:val="24"/>
          <w:szCs w:val="24"/>
          <w:lang w:eastAsia="en-GB"/>
        </w:rPr>
        <w:t>ing the provision of</w:t>
      </w:r>
      <w:r>
        <w:rPr>
          <w:rFonts w:ascii="Arial" w:hAnsi="Arial" w:cs="Arial"/>
          <w:color w:val="404040" w:themeColor="text1" w:themeTint="BF"/>
          <w:sz w:val="24"/>
          <w:szCs w:val="24"/>
          <w:lang w:eastAsia="en-GB"/>
        </w:rPr>
        <w:t xml:space="preserve"> services and support; more specifically this </w:t>
      </w:r>
      <w:r w:rsidR="0048778B">
        <w:rPr>
          <w:rFonts w:ascii="Arial" w:hAnsi="Arial" w:cs="Arial"/>
          <w:color w:val="404040" w:themeColor="text1" w:themeTint="BF"/>
          <w:sz w:val="24"/>
          <w:szCs w:val="24"/>
          <w:lang w:eastAsia="en-GB"/>
        </w:rPr>
        <w:t>looked</w:t>
      </w:r>
      <w:r>
        <w:rPr>
          <w:rFonts w:ascii="Arial" w:hAnsi="Arial" w:cs="Arial"/>
          <w:color w:val="404040" w:themeColor="text1" w:themeTint="BF"/>
          <w:sz w:val="24"/>
          <w:szCs w:val="24"/>
          <w:lang w:eastAsia="en-GB"/>
        </w:rPr>
        <w:t xml:space="preserve"> at availability, accessibility, and quality of services and young people’s participation in their own care planning and in the planning and delivery of services.</w:t>
      </w:r>
    </w:p>
    <w:p w:rsidR="00FF5D6F" w:rsidRDefault="00FF5D6F" w:rsidP="00894486">
      <w:pPr>
        <w:widowControl w:val="0"/>
        <w:autoSpaceDE w:val="0"/>
        <w:autoSpaceDN w:val="0"/>
        <w:adjustRightInd w:val="0"/>
        <w:spacing w:line="276" w:lineRule="auto"/>
        <w:ind w:right="-7"/>
        <w:textAlignment w:val="center"/>
        <w:rPr>
          <w:rFonts w:ascii="Arial" w:hAnsi="Arial" w:cs="Arial"/>
          <w:color w:val="404040" w:themeColor="text1" w:themeTint="BF"/>
          <w:sz w:val="24"/>
          <w:szCs w:val="24"/>
          <w:lang w:eastAsia="en-GB"/>
        </w:rPr>
      </w:pPr>
    </w:p>
    <w:p w:rsidR="00FF5D6F" w:rsidRPr="00ED4130" w:rsidRDefault="00FF5D6F" w:rsidP="00894486">
      <w:pPr>
        <w:widowControl w:val="0"/>
        <w:autoSpaceDE w:val="0"/>
        <w:autoSpaceDN w:val="0"/>
        <w:adjustRightInd w:val="0"/>
        <w:spacing w:line="276" w:lineRule="auto"/>
        <w:ind w:right="-7"/>
        <w:textAlignment w:val="center"/>
        <w:rPr>
          <w:rFonts w:ascii="Arial" w:hAnsi="Arial" w:cs="Arial"/>
          <w:color w:val="404040" w:themeColor="text1" w:themeTint="BF"/>
          <w:sz w:val="24"/>
          <w:szCs w:val="24"/>
          <w:lang w:eastAsia="en-GB"/>
        </w:rPr>
      </w:pPr>
      <w:r>
        <w:rPr>
          <w:rFonts w:ascii="Arial" w:hAnsi="Arial" w:cs="Arial"/>
          <w:color w:val="404040" w:themeColor="text1" w:themeTint="BF"/>
          <w:sz w:val="24"/>
          <w:szCs w:val="24"/>
          <w:lang w:eastAsia="en-GB"/>
        </w:rPr>
        <w:t xml:space="preserve">The </w:t>
      </w:r>
      <w:r w:rsidR="008719A5">
        <w:rPr>
          <w:rFonts w:ascii="Arial" w:hAnsi="Arial" w:cs="Arial"/>
          <w:color w:val="404040" w:themeColor="text1" w:themeTint="BF"/>
          <w:sz w:val="24"/>
          <w:szCs w:val="24"/>
          <w:lang w:eastAsia="en-GB"/>
        </w:rPr>
        <w:t>methodology for the Review was structured around</w:t>
      </w:r>
      <w:r w:rsidR="00B612A6">
        <w:rPr>
          <w:rFonts w:ascii="Arial" w:hAnsi="Arial" w:cs="Arial"/>
          <w:color w:val="404040" w:themeColor="text1" w:themeTint="BF"/>
          <w:sz w:val="24"/>
          <w:szCs w:val="24"/>
          <w:lang w:eastAsia="en-GB"/>
        </w:rPr>
        <w:t xml:space="preserve"> 3 strands of work:</w:t>
      </w:r>
      <w:r>
        <w:rPr>
          <w:rFonts w:ascii="Arial" w:hAnsi="Arial" w:cs="Arial"/>
          <w:color w:val="404040" w:themeColor="text1" w:themeTint="BF"/>
          <w:sz w:val="24"/>
          <w:szCs w:val="24"/>
          <w:lang w:eastAsia="en-GB"/>
        </w:rPr>
        <w:t xml:space="preserve"> (1) children and young people’s experiences of mental health services and support, (2) a mapping and analysis of service level data and (3) a mapping and analysis of budgeting information.</w:t>
      </w:r>
    </w:p>
    <w:p w:rsidR="00FF5D6F" w:rsidRDefault="00FF5D6F" w:rsidP="00894486">
      <w:pPr>
        <w:widowControl w:val="0"/>
        <w:autoSpaceDE w:val="0"/>
        <w:autoSpaceDN w:val="0"/>
        <w:adjustRightInd w:val="0"/>
        <w:spacing w:line="276" w:lineRule="auto"/>
        <w:ind w:right="-7"/>
        <w:textAlignment w:val="center"/>
        <w:rPr>
          <w:rFonts w:ascii="Arial" w:eastAsiaTheme="minorEastAsia" w:hAnsi="Arial" w:cs="Arial"/>
          <w:b/>
          <w:color w:val="ED1C24"/>
          <w:sz w:val="24"/>
          <w:szCs w:val="24"/>
        </w:rPr>
      </w:pPr>
    </w:p>
    <w:p w:rsidR="00CE6B29" w:rsidRDefault="00B612A6" w:rsidP="00894486">
      <w:pPr>
        <w:pStyle w:val="yiv2257994374niccyheading"/>
        <w:shd w:val="clear" w:color="auto" w:fill="FFFFFF"/>
        <w:spacing w:before="0" w:beforeAutospacing="0" w:after="0" w:afterAutospacing="0" w:line="276" w:lineRule="auto"/>
        <w:rPr>
          <w:rFonts w:ascii="Arial" w:hAnsi="Arial" w:cs="Arial"/>
          <w:color w:val="404040" w:themeColor="text1" w:themeTint="BF"/>
        </w:rPr>
      </w:pPr>
      <w:r>
        <w:rPr>
          <w:rFonts w:ascii="Arial" w:hAnsi="Arial" w:cs="Arial"/>
          <w:color w:val="404040" w:themeColor="text1" w:themeTint="BF"/>
        </w:rPr>
        <w:t>The R</w:t>
      </w:r>
      <w:r w:rsidR="00FF5D6F">
        <w:rPr>
          <w:rFonts w:ascii="Arial" w:hAnsi="Arial" w:cs="Arial"/>
          <w:color w:val="404040" w:themeColor="text1" w:themeTint="BF"/>
        </w:rPr>
        <w:t>eport</w:t>
      </w:r>
      <w:r>
        <w:rPr>
          <w:rFonts w:ascii="Arial" w:hAnsi="Arial" w:cs="Arial"/>
          <w:color w:val="404040" w:themeColor="text1" w:themeTint="BF"/>
        </w:rPr>
        <w:t xml:space="preserve"> of the Review, entitled </w:t>
      </w:r>
      <w:r w:rsidRPr="00CE6B29">
        <w:rPr>
          <w:rFonts w:ascii="Arial" w:hAnsi="Arial" w:cs="Arial"/>
          <w:b/>
          <w:i/>
          <w:color w:val="404040" w:themeColor="text1" w:themeTint="BF"/>
        </w:rPr>
        <w:t>‘Still Waiting’</w:t>
      </w:r>
      <w:r>
        <w:rPr>
          <w:rFonts w:ascii="Arial" w:hAnsi="Arial" w:cs="Arial"/>
          <w:color w:val="404040" w:themeColor="text1" w:themeTint="BF"/>
        </w:rPr>
        <w:t xml:space="preserve"> was published in September 201</w:t>
      </w:r>
      <w:r w:rsidR="007B1CC3">
        <w:rPr>
          <w:rFonts w:ascii="Arial" w:hAnsi="Arial" w:cs="Arial"/>
          <w:color w:val="404040" w:themeColor="text1" w:themeTint="BF"/>
        </w:rPr>
        <w:t>8</w:t>
      </w:r>
      <w:r>
        <w:rPr>
          <w:rFonts w:ascii="Arial" w:hAnsi="Arial" w:cs="Arial"/>
          <w:color w:val="404040" w:themeColor="text1" w:themeTint="BF"/>
        </w:rPr>
        <w:t xml:space="preserve"> </w:t>
      </w:r>
      <w:proofErr w:type="gramStart"/>
      <w:r>
        <w:rPr>
          <w:rFonts w:ascii="Arial" w:hAnsi="Arial" w:cs="Arial"/>
          <w:color w:val="404040" w:themeColor="text1" w:themeTint="BF"/>
        </w:rPr>
        <w:t xml:space="preserve">and </w:t>
      </w:r>
      <w:r w:rsidR="00FF5D6F">
        <w:rPr>
          <w:rFonts w:ascii="Arial" w:hAnsi="Arial" w:cs="Arial"/>
          <w:color w:val="404040" w:themeColor="text1" w:themeTint="BF"/>
        </w:rPr>
        <w:t xml:space="preserve"> provides</w:t>
      </w:r>
      <w:proofErr w:type="gramEnd"/>
      <w:r w:rsidR="00FF5D6F">
        <w:rPr>
          <w:rFonts w:ascii="Arial" w:hAnsi="Arial" w:cs="Arial"/>
          <w:color w:val="404040" w:themeColor="text1" w:themeTint="BF"/>
        </w:rPr>
        <w:t xml:space="preserve"> a breadth</w:t>
      </w:r>
      <w:r w:rsidR="003E70F5">
        <w:rPr>
          <w:rFonts w:ascii="Arial" w:hAnsi="Arial" w:cs="Arial"/>
          <w:color w:val="404040" w:themeColor="text1" w:themeTint="BF"/>
        </w:rPr>
        <w:t xml:space="preserve"> and depth</w:t>
      </w:r>
      <w:r w:rsidR="00FF5D6F">
        <w:rPr>
          <w:rFonts w:ascii="Arial" w:hAnsi="Arial" w:cs="Arial"/>
          <w:color w:val="404040" w:themeColor="text1" w:themeTint="BF"/>
        </w:rPr>
        <w:t xml:space="preserve"> of information on the experiences of children and young people who have accessed or attempted to access mental health services which has not been collected before. </w:t>
      </w:r>
      <w:r>
        <w:rPr>
          <w:rFonts w:ascii="Arial" w:hAnsi="Arial" w:cs="Arial"/>
          <w:color w:val="404040" w:themeColor="text1" w:themeTint="BF"/>
        </w:rPr>
        <w:t>It draws on</w:t>
      </w:r>
      <w:r w:rsidR="00FF5D6F" w:rsidRPr="0073706E">
        <w:rPr>
          <w:rFonts w:ascii="Arial" w:hAnsi="Arial" w:cs="Arial"/>
          <w:color w:val="404040" w:themeColor="text1" w:themeTint="BF"/>
        </w:rPr>
        <w:t xml:space="preserve"> over 600 children</w:t>
      </w:r>
      <w:r w:rsidR="00FF5D6F">
        <w:rPr>
          <w:rFonts w:ascii="Arial" w:hAnsi="Arial" w:cs="Arial"/>
          <w:color w:val="404040" w:themeColor="text1" w:themeTint="BF"/>
        </w:rPr>
        <w:t>’s</w:t>
      </w:r>
      <w:r w:rsidR="00FF5D6F" w:rsidRPr="0073706E">
        <w:rPr>
          <w:rFonts w:ascii="Arial" w:hAnsi="Arial" w:cs="Arial"/>
          <w:color w:val="404040" w:themeColor="text1" w:themeTint="BF"/>
        </w:rPr>
        <w:t xml:space="preserve"> and young people’s direct experiences of a range of ‘services or support’</w:t>
      </w:r>
      <w:r w:rsidR="00FF5D6F">
        <w:rPr>
          <w:rFonts w:ascii="Arial" w:hAnsi="Arial" w:cs="Arial"/>
          <w:color w:val="404040" w:themeColor="text1" w:themeTint="BF"/>
        </w:rPr>
        <w:t xml:space="preserve"> from GPs’ Practices, VCS services to Community CAMHS and In-Patient Care</w:t>
      </w:r>
      <w:r w:rsidR="00FF5D6F" w:rsidRPr="0073706E">
        <w:rPr>
          <w:rFonts w:ascii="Arial" w:hAnsi="Arial" w:cs="Arial"/>
          <w:color w:val="404040" w:themeColor="text1" w:themeTint="BF"/>
        </w:rPr>
        <w:t xml:space="preserve">. </w:t>
      </w:r>
    </w:p>
    <w:p w:rsidR="00CE6B29" w:rsidRDefault="00CE6B29" w:rsidP="00894486">
      <w:pPr>
        <w:pStyle w:val="yiv2257994374niccyheading"/>
        <w:shd w:val="clear" w:color="auto" w:fill="FFFFFF"/>
        <w:spacing w:before="0" w:beforeAutospacing="0" w:after="0" w:afterAutospacing="0" w:line="276" w:lineRule="auto"/>
        <w:rPr>
          <w:rFonts w:ascii="Arial" w:hAnsi="Arial" w:cs="Arial"/>
          <w:color w:val="404040" w:themeColor="text1" w:themeTint="BF"/>
        </w:rPr>
      </w:pPr>
    </w:p>
    <w:p w:rsidR="00FF5D6F" w:rsidRPr="0073706E" w:rsidRDefault="00CE6B29" w:rsidP="00894486">
      <w:pPr>
        <w:pStyle w:val="yiv2257994374niccyheading"/>
        <w:shd w:val="clear" w:color="auto" w:fill="FFFFFF"/>
        <w:spacing w:before="0" w:beforeAutospacing="0" w:after="0" w:afterAutospacing="0" w:line="276" w:lineRule="auto"/>
        <w:rPr>
          <w:rFonts w:ascii="Arial" w:hAnsi="Arial" w:cs="Arial"/>
          <w:color w:val="404040" w:themeColor="text1" w:themeTint="BF"/>
        </w:rPr>
      </w:pPr>
      <w:r>
        <w:rPr>
          <w:rFonts w:ascii="Arial" w:hAnsi="Arial" w:cs="Arial"/>
          <w:color w:val="404040" w:themeColor="text1" w:themeTint="BF"/>
        </w:rPr>
        <w:t xml:space="preserve">As such, </w:t>
      </w:r>
      <w:r w:rsidR="007B1CC3">
        <w:rPr>
          <w:rFonts w:ascii="Arial" w:hAnsi="Arial" w:cs="Arial"/>
          <w:color w:val="404040" w:themeColor="text1" w:themeTint="BF"/>
        </w:rPr>
        <w:t>‘</w:t>
      </w:r>
      <w:r>
        <w:rPr>
          <w:rFonts w:ascii="Arial" w:hAnsi="Arial" w:cs="Arial"/>
          <w:color w:val="404040" w:themeColor="text1" w:themeTint="BF"/>
        </w:rPr>
        <w:t>Still Waiting</w:t>
      </w:r>
      <w:r w:rsidR="007B1CC3">
        <w:rPr>
          <w:rFonts w:ascii="Arial" w:hAnsi="Arial" w:cs="Arial"/>
          <w:color w:val="404040" w:themeColor="text1" w:themeTint="BF"/>
        </w:rPr>
        <w:t>’</w:t>
      </w:r>
      <w:r>
        <w:rPr>
          <w:rFonts w:ascii="Arial" w:hAnsi="Arial" w:cs="Arial"/>
          <w:color w:val="404040" w:themeColor="text1" w:themeTint="BF"/>
        </w:rPr>
        <w:t xml:space="preserve"> provides a vital insight into the child and adolescent mental health system from the point of view of the service user, </w:t>
      </w:r>
      <w:r w:rsidR="007B1CC3">
        <w:rPr>
          <w:rFonts w:ascii="Arial" w:hAnsi="Arial" w:cs="Arial"/>
          <w:color w:val="404040" w:themeColor="text1" w:themeTint="BF"/>
        </w:rPr>
        <w:t xml:space="preserve">and is </w:t>
      </w:r>
      <w:r>
        <w:rPr>
          <w:rFonts w:ascii="Arial" w:hAnsi="Arial" w:cs="Arial"/>
          <w:color w:val="404040" w:themeColor="text1" w:themeTint="BF"/>
        </w:rPr>
        <w:t xml:space="preserve">of particular relevance and value to those responsible for policy decision making, as well as those involved in the planning and commissioning of services. </w:t>
      </w:r>
      <w:r w:rsidR="00FF5D6F" w:rsidRPr="0073706E">
        <w:rPr>
          <w:rFonts w:ascii="Arial" w:hAnsi="Arial" w:cs="Arial"/>
          <w:color w:val="404040" w:themeColor="text1" w:themeTint="BF"/>
        </w:rPr>
        <w:t xml:space="preserve">It </w:t>
      </w:r>
      <w:r w:rsidR="00FF5D6F">
        <w:rPr>
          <w:rFonts w:ascii="Arial" w:hAnsi="Arial" w:cs="Arial"/>
          <w:color w:val="404040" w:themeColor="text1" w:themeTint="BF"/>
        </w:rPr>
        <w:t>identifies significant failings</w:t>
      </w:r>
      <w:r w:rsidR="00FF5D6F" w:rsidRPr="0073706E">
        <w:rPr>
          <w:rFonts w:ascii="Arial" w:hAnsi="Arial" w:cs="Arial"/>
          <w:color w:val="404040" w:themeColor="text1" w:themeTint="BF"/>
        </w:rPr>
        <w:t xml:space="preserve"> </w:t>
      </w:r>
      <w:r w:rsidR="00FF5D6F">
        <w:rPr>
          <w:rFonts w:ascii="Arial" w:hAnsi="Arial" w:cs="Arial"/>
          <w:color w:val="404040" w:themeColor="text1" w:themeTint="BF"/>
        </w:rPr>
        <w:t>i</w:t>
      </w:r>
      <w:r w:rsidR="00FF5D6F" w:rsidRPr="0073706E">
        <w:rPr>
          <w:rFonts w:ascii="Arial" w:hAnsi="Arial" w:cs="Arial"/>
          <w:color w:val="404040" w:themeColor="text1" w:themeTint="BF"/>
        </w:rPr>
        <w:t xml:space="preserve">n parts of the system that require </w:t>
      </w:r>
      <w:r w:rsidR="00FF5D6F">
        <w:rPr>
          <w:rFonts w:ascii="Arial" w:hAnsi="Arial" w:cs="Arial"/>
          <w:color w:val="404040" w:themeColor="text1" w:themeTint="BF"/>
        </w:rPr>
        <w:t>urgent</w:t>
      </w:r>
      <w:r w:rsidR="00FF5D6F" w:rsidRPr="0073706E">
        <w:rPr>
          <w:rFonts w:ascii="Arial" w:hAnsi="Arial" w:cs="Arial"/>
          <w:color w:val="404040" w:themeColor="text1" w:themeTint="BF"/>
        </w:rPr>
        <w:t xml:space="preserve"> attention</w:t>
      </w:r>
      <w:r w:rsidR="00FF5D6F">
        <w:rPr>
          <w:rFonts w:ascii="Arial" w:hAnsi="Arial" w:cs="Arial"/>
          <w:color w:val="404040" w:themeColor="text1" w:themeTint="BF"/>
        </w:rPr>
        <w:t>, including</w:t>
      </w:r>
      <w:r w:rsidR="00FF5D6F" w:rsidRPr="0073706E">
        <w:rPr>
          <w:rFonts w:ascii="Arial" w:hAnsi="Arial" w:cs="Arial"/>
          <w:color w:val="404040" w:themeColor="text1" w:themeTint="BF"/>
        </w:rPr>
        <w:t xml:space="preserve"> the A&amp;E response to suicidal young people, the access and quality of services for young people with a learning disability and for young people with co-occurring alcohol and/ or drug an</w:t>
      </w:r>
      <w:r w:rsidR="00FF5D6F">
        <w:rPr>
          <w:rFonts w:ascii="Arial" w:hAnsi="Arial" w:cs="Arial"/>
          <w:color w:val="404040" w:themeColor="text1" w:themeTint="BF"/>
        </w:rPr>
        <w:t>d mental health problems</w:t>
      </w:r>
      <w:r w:rsidR="00FF5D6F" w:rsidRPr="0073706E">
        <w:rPr>
          <w:rFonts w:ascii="Arial" w:hAnsi="Arial" w:cs="Arial"/>
          <w:color w:val="404040" w:themeColor="text1" w:themeTint="BF"/>
        </w:rPr>
        <w:t xml:space="preserve"> requir</w:t>
      </w:r>
      <w:r w:rsidR="00FF5D6F">
        <w:rPr>
          <w:rFonts w:ascii="Arial" w:hAnsi="Arial" w:cs="Arial"/>
          <w:color w:val="404040" w:themeColor="text1" w:themeTint="BF"/>
        </w:rPr>
        <w:t>ing</w:t>
      </w:r>
      <w:r w:rsidR="00FF5D6F" w:rsidRPr="0073706E">
        <w:rPr>
          <w:rFonts w:ascii="Arial" w:hAnsi="Arial" w:cs="Arial"/>
          <w:color w:val="404040" w:themeColor="text1" w:themeTint="BF"/>
        </w:rPr>
        <w:t xml:space="preserve"> highly specialist support. </w:t>
      </w:r>
    </w:p>
    <w:p w:rsidR="00FF5D6F" w:rsidRDefault="00FF5D6F" w:rsidP="00894486">
      <w:pPr>
        <w:pStyle w:val="yiv2257994374niccyheading"/>
        <w:shd w:val="clear" w:color="auto" w:fill="FFFFFF"/>
        <w:spacing w:before="0" w:beforeAutospacing="0" w:after="0" w:afterAutospacing="0" w:line="276" w:lineRule="auto"/>
        <w:rPr>
          <w:rFonts w:ascii="Arial" w:hAnsi="Arial" w:cs="Arial"/>
          <w:color w:val="404040" w:themeColor="text1" w:themeTint="BF"/>
        </w:rPr>
      </w:pPr>
    </w:p>
    <w:p w:rsidR="00190B8F" w:rsidRDefault="00FF5D6F" w:rsidP="00894486">
      <w:pPr>
        <w:pStyle w:val="BasicParagraph"/>
        <w:spacing w:line="276" w:lineRule="auto"/>
        <w:rPr>
          <w:rFonts w:ascii="Arial" w:hAnsi="Arial" w:cs="Arial"/>
          <w:color w:val="414042"/>
        </w:rPr>
      </w:pPr>
      <w:r>
        <w:rPr>
          <w:rFonts w:ascii="Arial" w:hAnsi="Arial" w:cs="Arial"/>
          <w:color w:val="414042"/>
        </w:rPr>
        <w:t>The title</w:t>
      </w:r>
      <w:r w:rsidR="00CE6B29">
        <w:rPr>
          <w:rFonts w:ascii="Arial" w:hAnsi="Arial" w:cs="Arial"/>
          <w:color w:val="414042"/>
        </w:rPr>
        <w:t>,</w:t>
      </w:r>
      <w:r>
        <w:rPr>
          <w:rFonts w:ascii="Arial" w:hAnsi="Arial" w:cs="Arial"/>
          <w:color w:val="414042"/>
        </w:rPr>
        <w:t xml:space="preserve"> </w:t>
      </w:r>
      <w:r w:rsidRPr="00454C12">
        <w:rPr>
          <w:rFonts w:ascii="Arial" w:hAnsi="Arial" w:cs="Arial"/>
          <w:b/>
          <w:i/>
          <w:color w:val="414042"/>
        </w:rPr>
        <w:t>‘Still Waiting’</w:t>
      </w:r>
      <w:r w:rsidR="00CE6B29">
        <w:rPr>
          <w:rFonts w:ascii="Arial" w:hAnsi="Arial" w:cs="Arial"/>
          <w:color w:val="414042"/>
        </w:rPr>
        <w:t>, was chosen to reflect</w:t>
      </w:r>
      <w:r>
        <w:rPr>
          <w:rFonts w:ascii="Arial" w:hAnsi="Arial" w:cs="Arial"/>
          <w:color w:val="414042"/>
        </w:rPr>
        <w:t xml:space="preserve"> one of t</w:t>
      </w:r>
      <w:r w:rsidR="00190B8F">
        <w:rPr>
          <w:rFonts w:ascii="Arial" w:hAnsi="Arial" w:cs="Arial"/>
          <w:color w:val="414042"/>
        </w:rPr>
        <w:t xml:space="preserve">he key findings from the report </w:t>
      </w:r>
      <w:r>
        <w:rPr>
          <w:rFonts w:ascii="Arial" w:hAnsi="Arial" w:cs="Arial"/>
          <w:color w:val="414042"/>
        </w:rPr>
        <w:t>that children and young people are</w:t>
      </w:r>
      <w:r w:rsidR="007B1CC3">
        <w:rPr>
          <w:rFonts w:ascii="Arial" w:hAnsi="Arial" w:cs="Arial"/>
          <w:color w:val="414042"/>
        </w:rPr>
        <w:t>:</w:t>
      </w:r>
      <w:r w:rsidR="00190B8F">
        <w:rPr>
          <w:rFonts w:ascii="Arial" w:hAnsi="Arial" w:cs="Arial"/>
          <w:color w:val="414042"/>
        </w:rPr>
        <w:t xml:space="preserve"> </w:t>
      </w:r>
    </w:p>
    <w:p w:rsidR="00190B8F" w:rsidRDefault="00FF5D6F" w:rsidP="00190B8F">
      <w:pPr>
        <w:pStyle w:val="BasicParagraph"/>
        <w:numPr>
          <w:ilvl w:val="0"/>
          <w:numId w:val="29"/>
        </w:numPr>
        <w:spacing w:line="276" w:lineRule="auto"/>
        <w:rPr>
          <w:rFonts w:ascii="Arial" w:hAnsi="Arial" w:cs="Arial"/>
          <w:color w:val="414042"/>
        </w:rPr>
      </w:pPr>
      <w:r>
        <w:rPr>
          <w:rFonts w:ascii="Arial" w:hAnsi="Arial" w:cs="Arial"/>
          <w:color w:val="414042"/>
        </w:rPr>
        <w:t>waitin</w:t>
      </w:r>
      <w:r w:rsidR="00190B8F">
        <w:rPr>
          <w:rFonts w:ascii="Arial" w:hAnsi="Arial" w:cs="Arial"/>
          <w:color w:val="414042"/>
        </w:rPr>
        <w:t>g too long to ask for help</w:t>
      </w:r>
      <w:r w:rsidR="00FA1B45">
        <w:rPr>
          <w:rFonts w:ascii="Arial" w:hAnsi="Arial" w:cs="Arial"/>
          <w:color w:val="414042"/>
        </w:rPr>
        <w:t>;</w:t>
      </w:r>
    </w:p>
    <w:p w:rsidR="00190B8F" w:rsidRDefault="00FF5D6F" w:rsidP="00190B8F">
      <w:pPr>
        <w:pStyle w:val="BasicParagraph"/>
        <w:numPr>
          <w:ilvl w:val="0"/>
          <w:numId w:val="29"/>
        </w:numPr>
        <w:spacing w:line="276" w:lineRule="auto"/>
        <w:rPr>
          <w:rFonts w:ascii="Arial" w:hAnsi="Arial" w:cs="Arial"/>
          <w:color w:val="414042"/>
        </w:rPr>
      </w:pPr>
      <w:r>
        <w:rPr>
          <w:rFonts w:ascii="Arial" w:hAnsi="Arial" w:cs="Arial"/>
          <w:color w:val="414042"/>
        </w:rPr>
        <w:t>waiting too long to get the right support when they ask for it</w:t>
      </w:r>
      <w:r w:rsidR="0009375F">
        <w:rPr>
          <w:rFonts w:ascii="Arial" w:hAnsi="Arial" w:cs="Arial"/>
          <w:color w:val="414042"/>
        </w:rPr>
        <w:t>;</w:t>
      </w:r>
      <w:r w:rsidR="00190B8F">
        <w:rPr>
          <w:rFonts w:ascii="Arial" w:hAnsi="Arial" w:cs="Arial"/>
          <w:color w:val="414042"/>
        </w:rPr>
        <w:t xml:space="preserve"> and</w:t>
      </w:r>
      <w:r>
        <w:rPr>
          <w:rFonts w:ascii="Arial" w:hAnsi="Arial" w:cs="Arial"/>
          <w:color w:val="414042"/>
        </w:rPr>
        <w:t xml:space="preserve"> </w:t>
      </w:r>
    </w:p>
    <w:p w:rsidR="00FF5D6F" w:rsidRDefault="00FF5D6F" w:rsidP="00190B8F">
      <w:pPr>
        <w:pStyle w:val="BasicParagraph"/>
        <w:numPr>
          <w:ilvl w:val="0"/>
          <w:numId w:val="29"/>
        </w:numPr>
        <w:spacing w:line="276" w:lineRule="auto"/>
        <w:rPr>
          <w:rFonts w:ascii="Arial" w:hAnsi="Arial" w:cs="Arial"/>
          <w:color w:val="414042"/>
        </w:rPr>
      </w:pPr>
      <w:r>
        <w:rPr>
          <w:rFonts w:ascii="Arial" w:hAnsi="Arial" w:cs="Arial"/>
          <w:color w:val="414042"/>
        </w:rPr>
        <w:t>waiting too long for systems/services to change</w:t>
      </w:r>
      <w:r w:rsidR="007B1CC3">
        <w:rPr>
          <w:rFonts w:ascii="Arial" w:hAnsi="Arial" w:cs="Arial"/>
          <w:color w:val="414042"/>
        </w:rPr>
        <w:t xml:space="preserve"> to effectively meet needs</w:t>
      </w:r>
      <w:r>
        <w:rPr>
          <w:rFonts w:ascii="Arial" w:hAnsi="Arial" w:cs="Arial"/>
          <w:color w:val="414042"/>
        </w:rPr>
        <w:t>.</w:t>
      </w:r>
    </w:p>
    <w:p w:rsidR="00FF5D6F" w:rsidRDefault="00FF5D6F" w:rsidP="00894486">
      <w:pPr>
        <w:pStyle w:val="BasicParagraph"/>
        <w:spacing w:line="276" w:lineRule="auto"/>
        <w:rPr>
          <w:rFonts w:ascii="Arial" w:hAnsi="Arial" w:cs="Arial"/>
          <w:color w:val="414042"/>
        </w:rPr>
      </w:pPr>
    </w:p>
    <w:p w:rsidR="00FF5D6F" w:rsidRDefault="00FF5D6F" w:rsidP="00894486">
      <w:pPr>
        <w:pStyle w:val="BasicParagraph"/>
        <w:spacing w:line="276" w:lineRule="auto"/>
        <w:rPr>
          <w:rFonts w:ascii="Arial" w:hAnsi="Arial" w:cs="Arial"/>
          <w:color w:val="414042"/>
        </w:rPr>
      </w:pPr>
      <w:r>
        <w:rPr>
          <w:rFonts w:ascii="Arial" w:hAnsi="Arial" w:cs="Arial"/>
          <w:color w:val="414042"/>
        </w:rPr>
        <w:t>An overarching conclusion of the report is that t</w:t>
      </w:r>
      <w:r w:rsidRPr="002462C4">
        <w:rPr>
          <w:rFonts w:ascii="Arial" w:hAnsi="Arial" w:cs="Arial"/>
          <w:color w:val="414042"/>
        </w:rPr>
        <w:t>o drive real</w:t>
      </w:r>
      <w:r w:rsidR="007B1CC3">
        <w:rPr>
          <w:rFonts w:ascii="Arial" w:hAnsi="Arial" w:cs="Arial"/>
          <w:color w:val="414042"/>
        </w:rPr>
        <w:t>,</w:t>
      </w:r>
      <w:r w:rsidRPr="002462C4">
        <w:rPr>
          <w:rFonts w:ascii="Arial" w:hAnsi="Arial" w:cs="Arial"/>
          <w:color w:val="414042"/>
        </w:rPr>
        <w:t xml:space="preserve"> positive and sustainable change in the availability, accessibility and quality of mental health services and support available to young people, </w:t>
      </w:r>
      <w:r>
        <w:rPr>
          <w:rFonts w:ascii="Arial" w:hAnsi="Arial" w:cs="Arial"/>
          <w:color w:val="414042"/>
        </w:rPr>
        <w:t xml:space="preserve">child and adolescent mental health must become a </w:t>
      </w:r>
      <w:r w:rsidRPr="00997FCA">
        <w:rPr>
          <w:rFonts w:ascii="Arial" w:hAnsi="Arial" w:cs="Arial"/>
          <w:b/>
          <w:color w:val="414042"/>
        </w:rPr>
        <w:t>regional priority</w:t>
      </w:r>
      <w:r>
        <w:rPr>
          <w:rFonts w:ascii="Arial" w:hAnsi="Arial" w:cs="Arial"/>
          <w:b/>
          <w:color w:val="414042"/>
        </w:rPr>
        <w:t xml:space="preserve">, </w:t>
      </w:r>
      <w:r w:rsidRPr="009B5EDB">
        <w:rPr>
          <w:rFonts w:ascii="Arial" w:hAnsi="Arial" w:cs="Arial"/>
          <w:color w:val="414042"/>
        </w:rPr>
        <w:t>with sufficient investment to reflect this</w:t>
      </w:r>
      <w:r>
        <w:rPr>
          <w:rFonts w:ascii="Arial" w:hAnsi="Arial" w:cs="Arial"/>
          <w:color w:val="414042"/>
        </w:rPr>
        <w:t xml:space="preserve">. </w:t>
      </w:r>
    </w:p>
    <w:p w:rsidR="00FF5D6F" w:rsidRDefault="00FF5D6F" w:rsidP="00894486">
      <w:pPr>
        <w:pStyle w:val="BasicParagraph"/>
        <w:spacing w:line="276" w:lineRule="auto"/>
        <w:rPr>
          <w:rFonts w:ascii="Arial" w:hAnsi="Arial" w:cs="Arial"/>
          <w:color w:val="414042"/>
        </w:rPr>
      </w:pPr>
    </w:p>
    <w:p w:rsidR="00FF5D6F" w:rsidRDefault="00FF5D6F" w:rsidP="00894486">
      <w:pPr>
        <w:pStyle w:val="BasicParagraph"/>
        <w:spacing w:line="276" w:lineRule="auto"/>
        <w:rPr>
          <w:rFonts w:ascii="Arial" w:hAnsi="Arial" w:cs="Arial"/>
          <w:color w:val="414042"/>
        </w:rPr>
      </w:pPr>
      <w:r>
        <w:rPr>
          <w:rFonts w:ascii="Arial" w:hAnsi="Arial" w:cs="Arial"/>
          <w:bCs/>
          <w:color w:val="414042"/>
        </w:rPr>
        <w:t>Child and adolescent mental h</w:t>
      </w:r>
      <w:r w:rsidRPr="00FF55E4">
        <w:rPr>
          <w:rFonts w:ascii="Arial" w:hAnsi="Arial" w:cs="Arial"/>
          <w:bCs/>
          <w:color w:val="414042"/>
        </w:rPr>
        <w:t xml:space="preserve">ealth </w:t>
      </w:r>
      <w:r>
        <w:rPr>
          <w:rFonts w:ascii="Arial" w:hAnsi="Arial" w:cs="Arial"/>
          <w:bCs/>
          <w:color w:val="414042"/>
        </w:rPr>
        <w:t>is</w:t>
      </w:r>
      <w:r w:rsidRPr="00FF55E4">
        <w:rPr>
          <w:rFonts w:ascii="Arial" w:hAnsi="Arial" w:cs="Arial"/>
          <w:bCs/>
          <w:color w:val="414042"/>
        </w:rPr>
        <w:t xml:space="preserve"> a </w:t>
      </w:r>
      <w:r w:rsidRPr="00A01D52">
        <w:rPr>
          <w:rFonts w:ascii="Arial" w:hAnsi="Arial" w:cs="Arial"/>
          <w:b/>
          <w:bCs/>
          <w:color w:val="414042"/>
        </w:rPr>
        <w:t>cross cutting issue</w:t>
      </w:r>
      <w:r w:rsidRPr="00FF55E4">
        <w:rPr>
          <w:rFonts w:ascii="Arial" w:hAnsi="Arial" w:cs="Arial"/>
          <w:bCs/>
          <w:color w:val="414042"/>
        </w:rPr>
        <w:t xml:space="preserve"> that can only be comprehensively addressed if</w:t>
      </w:r>
      <w:r w:rsidRPr="00FF55E4">
        <w:rPr>
          <w:rFonts w:ascii="Arial" w:hAnsi="Arial" w:cs="Arial"/>
          <w:b/>
          <w:bCs/>
          <w:color w:val="414042"/>
        </w:rPr>
        <w:t xml:space="preserve"> </w:t>
      </w:r>
      <w:r w:rsidRPr="00FF55E4">
        <w:rPr>
          <w:rFonts w:ascii="Arial" w:hAnsi="Arial" w:cs="Arial"/>
          <w:color w:val="414042"/>
          <w:lang w:val="en-US"/>
        </w:rPr>
        <w:t>all services</w:t>
      </w:r>
      <w:r>
        <w:rPr>
          <w:rFonts w:ascii="Arial" w:hAnsi="Arial" w:cs="Arial"/>
          <w:color w:val="414042"/>
          <w:lang w:val="en-US"/>
        </w:rPr>
        <w:t xml:space="preserve">, </w:t>
      </w:r>
      <w:r w:rsidRPr="00FF55E4">
        <w:rPr>
          <w:rFonts w:ascii="Arial" w:hAnsi="Arial" w:cs="Arial"/>
          <w:color w:val="414042"/>
          <w:lang w:val="en-US"/>
        </w:rPr>
        <w:t>statutory</w:t>
      </w:r>
      <w:r>
        <w:rPr>
          <w:rFonts w:ascii="Arial" w:hAnsi="Arial" w:cs="Arial"/>
          <w:color w:val="414042"/>
          <w:lang w:val="en-US"/>
        </w:rPr>
        <w:t xml:space="preserve">, </w:t>
      </w:r>
      <w:r w:rsidRPr="00FF55E4">
        <w:rPr>
          <w:rFonts w:ascii="Arial" w:hAnsi="Arial" w:cs="Arial"/>
          <w:color w:val="414042"/>
          <w:lang w:val="en-US"/>
        </w:rPr>
        <w:t>non-statutory,</w:t>
      </w:r>
      <w:r>
        <w:rPr>
          <w:rFonts w:ascii="Arial" w:hAnsi="Arial" w:cs="Arial"/>
          <w:color w:val="414042"/>
          <w:lang w:val="en-US"/>
        </w:rPr>
        <w:t xml:space="preserve"> </w:t>
      </w:r>
      <w:r w:rsidRPr="00FF55E4">
        <w:rPr>
          <w:rFonts w:ascii="Arial" w:hAnsi="Arial" w:cs="Arial"/>
          <w:color w:val="414042"/>
          <w:lang w:val="en-US"/>
        </w:rPr>
        <w:t>specialist mental health</w:t>
      </w:r>
      <w:r>
        <w:rPr>
          <w:rFonts w:ascii="Arial" w:hAnsi="Arial" w:cs="Arial"/>
          <w:color w:val="414042"/>
          <w:lang w:val="en-US"/>
        </w:rPr>
        <w:t xml:space="preserve"> and services focus</w:t>
      </w:r>
      <w:r w:rsidRPr="00FF55E4">
        <w:rPr>
          <w:rFonts w:ascii="Arial" w:hAnsi="Arial" w:cs="Arial"/>
          <w:color w:val="414042"/>
          <w:lang w:val="en-US"/>
        </w:rPr>
        <w:t xml:space="preserve"> on broader </w:t>
      </w:r>
      <w:r>
        <w:rPr>
          <w:rFonts w:ascii="Arial" w:hAnsi="Arial" w:cs="Arial"/>
          <w:color w:val="414042"/>
          <w:lang w:val="en-US"/>
        </w:rPr>
        <w:t xml:space="preserve">mental and emotional </w:t>
      </w:r>
      <w:r w:rsidRPr="00FF55E4">
        <w:rPr>
          <w:rFonts w:ascii="Arial" w:hAnsi="Arial" w:cs="Arial"/>
          <w:color w:val="414042"/>
          <w:lang w:val="en-US"/>
        </w:rPr>
        <w:t>well-being</w:t>
      </w:r>
      <w:r>
        <w:rPr>
          <w:rFonts w:ascii="Arial" w:hAnsi="Arial" w:cs="Arial"/>
          <w:color w:val="414042"/>
          <w:lang w:val="en-US"/>
        </w:rPr>
        <w:t>,</w:t>
      </w:r>
      <w:r w:rsidRPr="00FF55E4">
        <w:rPr>
          <w:rFonts w:ascii="Arial" w:hAnsi="Arial" w:cs="Arial"/>
          <w:color w:val="414042"/>
          <w:lang w:val="en-US"/>
        </w:rPr>
        <w:t xml:space="preserve"> </w:t>
      </w:r>
      <w:r>
        <w:rPr>
          <w:rFonts w:ascii="Arial" w:hAnsi="Arial" w:cs="Arial"/>
          <w:color w:val="414042"/>
          <w:lang w:val="en-US"/>
        </w:rPr>
        <w:t>co-operate and collaborate as equal partners</w:t>
      </w:r>
      <w:r w:rsidRPr="00FF55E4">
        <w:rPr>
          <w:rFonts w:ascii="Arial" w:hAnsi="Arial" w:cs="Arial"/>
          <w:color w:val="414042"/>
          <w:lang w:val="en-US"/>
        </w:rPr>
        <w:t xml:space="preserve">. </w:t>
      </w:r>
      <w:r>
        <w:rPr>
          <w:rFonts w:ascii="Arial" w:hAnsi="Arial" w:cs="Arial"/>
          <w:color w:val="414042"/>
        </w:rPr>
        <w:t xml:space="preserve">Children’s lives cannot be </w:t>
      </w:r>
      <w:r w:rsidRPr="002462C4">
        <w:rPr>
          <w:rFonts w:ascii="Arial" w:hAnsi="Arial" w:cs="Arial"/>
          <w:color w:val="414042"/>
        </w:rPr>
        <w:t>compartmentalised</w:t>
      </w:r>
      <w:r>
        <w:rPr>
          <w:rFonts w:ascii="Arial" w:hAnsi="Arial" w:cs="Arial"/>
          <w:color w:val="414042"/>
        </w:rPr>
        <w:t>; to best meet their needs</w:t>
      </w:r>
      <w:r w:rsidR="007B1CC3">
        <w:rPr>
          <w:rFonts w:ascii="Arial" w:hAnsi="Arial" w:cs="Arial"/>
          <w:color w:val="414042"/>
        </w:rPr>
        <w:t>,</w:t>
      </w:r>
      <w:r>
        <w:rPr>
          <w:rFonts w:ascii="Arial" w:hAnsi="Arial" w:cs="Arial"/>
          <w:color w:val="414042"/>
        </w:rPr>
        <w:t xml:space="preserve"> we </w:t>
      </w:r>
      <w:r w:rsidRPr="002462C4">
        <w:rPr>
          <w:rFonts w:ascii="Arial" w:hAnsi="Arial" w:cs="Arial"/>
          <w:color w:val="414042"/>
        </w:rPr>
        <w:t xml:space="preserve">need a </w:t>
      </w:r>
      <w:r>
        <w:rPr>
          <w:rFonts w:ascii="Arial" w:hAnsi="Arial" w:cs="Arial"/>
          <w:color w:val="414042"/>
        </w:rPr>
        <w:t>system that takes a holistic</w:t>
      </w:r>
      <w:r w:rsidRPr="002462C4">
        <w:rPr>
          <w:rFonts w:ascii="Arial" w:hAnsi="Arial" w:cs="Arial"/>
          <w:color w:val="414042"/>
        </w:rPr>
        <w:t xml:space="preserve"> </w:t>
      </w:r>
      <w:r>
        <w:rPr>
          <w:rFonts w:ascii="Arial" w:hAnsi="Arial" w:cs="Arial"/>
          <w:color w:val="414042"/>
        </w:rPr>
        <w:t>approach to these.</w:t>
      </w:r>
      <w:r w:rsidRPr="002462C4">
        <w:rPr>
          <w:rFonts w:ascii="Arial" w:hAnsi="Arial" w:cs="Arial"/>
          <w:color w:val="414042"/>
        </w:rPr>
        <w:t xml:space="preserve"> </w:t>
      </w:r>
    </w:p>
    <w:p w:rsidR="00440912" w:rsidRDefault="00440912" w:rsidP="00894486">
      <w:pPr>
        <w:pStyle w:val="BasicParagraph"/>
        <w:spacing w:line="276" w:lineRule="auto"/>
        <w:rPr>
          <w:rFonts w:ascii="Arial" w:hAnsi="Arial" w:cs="Arial"/>
          <w:color w:val="414042"/>
        </w:rPr>
      </w:pPr>
    </w:p>
    <w:p w:rsidR="00440912" w:rsidRPr="009B5EDB" w:rsidRDefault="00440912" w:rsidP="00894486">
      <w:pPr>
        <w:pStyle w:val="BasicParagraph"/>
        <w:spacing w:line="276" w:lineRule="auto"/>
        <w:rPr>
          <w:rFonts w:ascii="Arial" w:hAnsi="Arial" w:cs="Arial"/>
          <w:color w:val="414042"/>
          <w:lang w:val="en-US"/>
        </w:rPr>
      </w:pPr>
      <w:r>
        <w:rPr>
          <w:rFonts w:ascii="Arial" w:hAnsi="Arial" w:cs="Arial"/>
          <w:color w:val="414042"/>
        </w:rPr>
        <w:t>We engaged with political parties and obtained their support for the implementation of the re</w:t>
      </w:r>
      <w:r w:rsidR="00D83711">
        <w:rPr>
          <w:rFonts w:ascii="Arial" w:hAnsi="Arial" w:cs="Arial"/>
          <w:color w:val="414042"/>
        </w:rPr>
        <w:t>commendations;</w:t>
      </w:r>
      <w:r>
        <w:rPr>
          <w:rFonts w:ascii="Arial" w:hAnsi="Arial" w:cs="Arial"/>
          <w:color w:val="414042"/>
        </w:rPr>
        <w:t xml:space="preserve"> a letter signed by each endorsing these was sent to the </w:t>
      </w:r>
      <w:r w:rsidR="00D83711">
        <w:rPr>
          <w:rFonts w:ascii="Arial" w:hAnsi="Arial" w:cs="Arial"/>
          <w:color w:val="414042"/>
        </w:rPr>
        <w:t xml:space="preserve">Permanent Secretaries of the </w:t>
      </w:r>
      <w:r>
        <w:rPr>
          <w:rFonts w:ascii="Arial" w:hAnsi="Arial" w:cs="Arial"/>
          <w:color w:val="414042"/>
        </w:rPr>
        <w:t>Department of Health</w:t>
      </w:r>
      <w:r w:rsidR="00D83711">
        <w:rPr>
          <w:rFonts w:ascii="Arial" w:hAnsi="Arial" w:cs="Arial"/>
          <w:color w:val="414042"/>
        </w:rPr>
        <w:t xml:space="preserve">, Department of Education, Department of Justice and Department for Communities. </w:t>
      </w:r>
    </w:p>
    <w:p w:rsidR="00FF5D6F" w:rsidRDefault="00FF5D6F" w:rsidP="00894486">
      <w:pPr>
        <w:pStyle w:val="BasicParagraph"/>
        <w:spacing w:line="276" w:lineRule="auto"/>
        <w:rPr>
          <w:rFonts w:ascii="Arial" w:hAnsi="Arial" w:cs="Arial"/>
          <w:color w:val="414042"/>
        </w:rPr>
      </w:pPr>
    </w:p>
    <w:p w:rsidR="00FF5D6F" w:rsidRPr="00177783" w:rsidRDefault="00FF5D6F" w:rsidP="00894486">
      <w:pPr>
        <w:pStyle w:val="BasicParagraph"/>
        <w:spacing w:line="276" w:lineRule="auto"/>
        <w:rPr>
          <w:rFonts w:ascii="Arial" w:hAnsi="Arial" w:cs="Arial"/>
          <w:b/>
          <w:color w:val="23A4DE"/>
          <w:sz w:val="28"/>
          <w:szCs w:val="28"/>
        </w:rPr>
      </w:pPr>
      <w:r w:rsidRPr="00177783">
        <w:rPr>
          <w:rFonts w:ascii="Arial" w:hAnsi="Arial" w:cs="Arial"/>
          <w:b/>
          <w:color w:val="23A4DE"/>
          <w:sz w:val="28"/>
          <w:szCs w:val="28"/>
        </w:rPr>
        <w:t xml:space="preserve">‘Still Waiting’ Recommendations </w:t>
      </w:r>
    </w:p>
    <w:p w:rsidR="00FF5D6F" w:rsidRDefault="00FF5D6F" w:rsidP="00894486">
      <w:pPr>
        <w:pStyle w:val="BasicParagraph"/>
        <w:spacing w:line="276" w:lineRule="auto"/>
        <w:rPr>
          <w:rFonts w:ascii="Arial" w:hAnsi="Arial" w:cs="Arial"/>
          <w:color w:val="414042"/>
        </w:rPr>
      </w:pPr>
      <w:r>
        <w:rPr>
          <w:rFonts w:ascii="Arial" w:hAnsi="Arial" w:cs="Arial"/>
          <w:color w:val="414042"/>
        </w:rPr>
        <w:t>In total, t</w:t>
      </w:r>
      <w:r w:rsidR="005A2B24">
        <w:rPr>
          <w:rFonts w:ascii="Arial" w:hAnsi="Arial" w:cs="Arial"/>
          <w:color w:val="414042"/>
        </w:rPr>
        <w:t>he Report</w:t>
      </w:r>
      <w:r w:rsidRPr="002462C4">
        <w:rPr>
          <w:rFonts w:ascii="Arial" w:hAnsi="Arial" w:cs="Arial"/>
          <w:color w:val="414042"/>
        </w:rPr>
        <w:t xml:space="preserve"> </w:t>
      </w:r>
      <w:r>
        <w:rPr>
          <w:rFonts w:ascii="Arial" w:hAnsi="Arial" w:cs="Arial"/>
          <w:color w:val="414042"/>
        </w:rPr>
        <w:t>contains</w:t>
      </w:r>
      <w:r w:rsidRPr="002462C4">
        <w:rPr>
          <w:rFonts w:ascii="Arial" w:hAnsi="Arial" w:cs="Arial"/>
          <w:color w:val="414042"/>
        </w:rPr>
        <w:t xml:space="preserve"> 50 recommendations that </w:t>
      </w:r>
      <w:r>
        <w:rPr>
          <w:rFonts w:ascii="Arial" w:hAnsi="Arial" w:cs="Arial"/>
          <w:color w:val="414042"/>
        </w:rPr>
        <w:t>encompass the entirety</w:t>
      </w:r>
      <w:r w:rsidRPr="002462C4">
        <w:rPr>
          <w:rFonts w:ascii="Arial" w:hAnsi="Arial" w:cs="Arial"/>
          <w:color w:val="414042"/>
        </w:rPr>
        <w:t xml:space="preserve"> of </w:t>
      </w:r>
      <w:r>
        <w:rPr>
          <w:rFonts w:ascii="Arial" w:hAnsi="Arial" w:cs="Arial"/>
          <w:color w:val="414042"/>
        </w:rPr>
        <w:t xml:space="preserve">a </w:t>
      </w:r>
      <w:r w:rsidRPr="002462C4">
        <w:rPr>
          <w:rFonts w:ascii="Arial" w:hAnsi="Arial" w:cs="Arial"/>
          <w:color w:val="414042"/>
        </w:rPr>
        <w:t xml:space="preserve">young </w:t>
      </w:r>
      <w:r>
        <w:rPr>
          <w:rFonts w:ascii="Arial" w:hAnsi="Arial" w:cs="Arial"/>
          <w:color w:val="414042"/>
        </w:rPr>
        <w:t>person’s journey with</w:t>
      </w:r>
      <w:r w:rsidRPr="002462C4">
        <w:rPr>
          <w:rFonts w:ascii="Arial" w:hAnsi="Arial" w:cs="Arial"/>
          <w:color w:val="414042"/>
        </w:rPr>
        <w:t xml:space="preserve"> access</w:t>
      </w:r>
      <w:r>
        <w:rPr>
          <w:rFonts w:ascii="Arial" w:hAnsi="Arial" w:cs="Arial"/>
          <w:color w:val="414042"/>
        </w:rPr>
        <w:t>ing or attempting to access</w:t>
      </w:r>
      <w:r w:rsidRPr="002462C4">
        <w:rPr>
          <w:rFonts w:ascii="Arial" w:hAnsi="Arial" w:cs="Arial"/>
          <w:color w:val="414042"/>
        </w:rPr>
        <w:t xml:space="preserve"> </w:t>
      </w:r>
      <w:r>
        <w:rPr>
          <w:rFonts w:ascii="Arial" w:hAnsi="Arial" w:cs="Arial"/>
          <w:color w:val="414042"/>
        </w:rPr>
        <w:t xml:space="preserve">mental health </w:t>
      </w:r>
      <w:r w:rsidRPr="002462C4">
        <w:rPr>
          <w:rFonts w:ascii="Arial" w:hAnsi="Arial" w:cs="Arial"/>
          <w:color w:val="414042"/>
        </w:rPr>
        <w:t xml:space="preserve">services and support. </w:t>
      </w:r>
      <w:r>
        <w:rPr>
          <w:rFonts w:ascii="Arial" w:hAnsi="Arial" w:cs="Arial"/>
          <w:color w:val="414042"/>
        </w:rPr>
        <w:t>The recom</w:t>
      </w:r>
      <w:r w:rsidR="005A2B24">
        <w:rPr>
          <w:rFonts w:ascii="Arial" w:hAnsi="Arial" w:cs="Arial"/>
          <w:color w:val="414042"/>
        </w:rPr>
        <w:t>mendations can be grouped into eight</w:t>
      </w:r>
      <w:r w:rsidRPr="002462C4">
        <w:rPr>
          <w:rFonts w:ascii="Arial" w:hAnsi="Arial" w:cs="Arial"/>
          <w:color w:val="414042"/>
        </w:rPr>
        <w:t xml:space="preserve"> areas</w:t>
      </w:r>
      <w:r>
        <w:rPr>
          <w:rFonts w:ascii="Arial" w:hAnsi="Arial" w:cs="Arial"/>
          <w:color w:val="414042"/>
        </w:rPr>
        <w:t xml:space="preserve"> as outlined below</w:t>
      </w:r>
      <w:r w:rsidRPr="002462C4">
        <w:rPr>
          <w:rFonts w:ascii="Arial" w:hAnsi="Arial" w:cs="Arial"/>
          <w:color w:val="414042"/>
        </w:rPr>
        <w:t xml:space="preserve">. </w:t>
      </w:r>
    </w:p>
    <w:p w:rsidR="00FF5D6F" w:rsidRDefault="00FF5D6F" w:rsidP="00894486">
      <w:pPr>
        <w:pStyle w:val="BasicParagraph"/>
        <w:spacing w:line="276" w:lineRule="auto"/>
        <w:rPr>
          <w:rFonts w:ascii="Arial" w:hAnsi="Arial" w:cs="Arial"/>
          <w:color w:val="414042"/>
        </w:rPr>
      </w:pPr>
    </w:p>
    <w:tbl>
      <w:tblPr>
        <w:tblStyle w:val="TableGrid"/>
        <w:tblW w:w="0" w:type="auto"/>
        <w:tblInd w:w="-10" w:type="dxa"/>
        <w:tblBorders>
          <w:top w:val="single" w:sz="8" w:space="0" w:color="23A4DE"/>
          <w:left w:val="single" w:sz="8" w:space="0" w:color="23A4DE"/>
          <w:bottom w:val="single" w:sz="8" w:space="0" w:color="23A4DE"/>
          <w:right w:val="single" w:sz="8" w:space="0" w:color="23A4DE"/>
          <w:insideH w:val="single" w:sz="8" w:space="0" w:color="23A4DE"/>
          <w:insideV w:val="single" w:sz="8" w:space="0" w:color="23A4DE"/>
        </w:tblBorders>
        <w:tblLook w:val="04A0" w:firstRow="1" w:lastRow="0" w:firstColumn="1" w:lastColumn="0" w:noHBand="0" w:noVBand="1"/>
      </w:tblPr>
      <w:tblGrid>
        <w:gridCol w:w="4678"/>
        <w:gridCol w:w="4944"/>
      </w:tblGrid>
      <w:tr w:rsidR="00FF5D6F" w:rsidRPr="00464256" w:rsidTr="004D3919">
        <w:tc>
          <w:tcPr>
            <w:tcW w:w="4678" w:type="dxa"/>
          </w:tcPr>
          <w:p w:rsidR="00FF5D6F" w:rsidRPr="00464256" w:rsidRDefault="00FF5D6F" w:rsidP="00894486">
            <w:pPr>
              <w:pStyle w:val="BasicParagraph"/>
              <w:numPr>
                <w:ilvl w:val="0"/>
                <w:numId w:val="20"/>
              </w:numPr>
              <w:spacing w:line="276" w:lineRule="auto"/>
              <w:rPr>
                <w:rFonts w:ascii="Arial" w:hAnsi="Arial" w:cs="Arial"/>
                <w:color w:val="414042"/>
              </w:rPr>
            </w:pPr>
            <w:r>
              <w:rPr>
                <w:rFonts w:ascii="Arial" w:hAnsi="Arial" w:cs="Arial"/>
                <w:color w:val="414042"/>
              </w:rPr>
              <w:lastRenderedPageBreak/>
              <w:t>Working Effectively</w:t>
            </w:r>
          </w:p>
        </w:tc>
        <w:tc>
          <w:tcPr>
            <w:tcW w:w="4944" w:type="dxa"/>
          </w:tcPr>
          <w:p w:rsidR="00FF5D6F" w:rsidRPr="00464256" w:rsidRDefault="00FF5D6F" w:rsidP="00894486">
            <w:pPr>
              <w:pStyle w:val="BasicParagraph"/>
              <w:spacing w:line="276" w:lineRule="auto"/>
              <w:ind w:left="360"/>
              <w:rPr>
                <w:rFonts w:ascii="Arial" w:hAnsi="Arial" w:cs="Arial"/>
                <w:color w:val="414042"/>
              </w:rPr>
            </w:pPr>
            <w:r>
              <w:rPr>
                <w:rFonts w:ascii="Arial" w:hAnsi="Arial" w:cs="Arial"/>
                <w:color w:val="414042"/>
              </w:rPr>
              <w:t xml:space="preserve">5. </w:t>
            </w:r>
            <w:r w:rsidRPr="00464256">
              <w:rPr>
                <w:rFonts w:ascii="Arial" w:hAnsi="Arial" w:cs="Arial"/>
                <w:color w:val="414042"/>
              </w:rPr>
              <w:t>Movi</w:t>
            </w:r>
            <w:r>
              <w:rPr>
                <w:rFonts w:ascii="Arial" w:hAnsi="Arial" w:cs="Arial"/>
                <w:color w:val="414042"/>
              </w:rPr>
              <w:t>ng from Child to Adult Services</w:t>
            </w:r>
          </w:p>
        </w:tc>
      </w:tr>
      <w:tr w:rsidR="00FF5D6F" w:rsidRPr="00464256" w:rsidTr="004D3919">
        <w:tc>
          <w:tcPr>
            <w:tcW w:w="4678" w:type="dxa"/>
          </w:tcPr>
          <w:p w:rsidR="00FF5D6F" w:rsidRPr="00464256" w:rsidRDefault="00FF5D6F" w:rsidP="00894486">
            <w:pPr>
              <w:pStyle w:val="BasicParagraph"/>
              <w:numPr>
                <w:ilvl w:val="0"/>
                <w:numId w:val="20"/>
              </w:numPr>
              <w:spacing w:line="276" w:lineRule="auto"/>
              <w:rPr>
                <w:rFonts w:ascii="Arial" w:hAnsi="Arial" w:cs="Arial"/>
                <w:color w:val="414042"/>
              </w:rPr>
            </w:pPr>
            <w:r>
              <w:rPr>
                <w:rFonts w:ascii="Arial" w:hAnsi="Arial" w:cs="Arial"/>
                <w:color w:val="414042"/>
              </w:rPr>
              <w:t>Accessing Help</w:t>
            </w:r>
          </w:p>
        </w:tc>
        <w:tc>
          <w:tcPr>
            <w:tcW w:w="4944" w:type="dxa"/>
          </w:tcPr>
          <w:p w:rsidR="00FF5D6F" w:rsidRPr="00464256" w:rsidRDefault="00FF5D6F" w:rsidP="00894486">
            <w:pPr>
              <w:pStyle w:val="BasicParagraph"/>
              <w:spacing w:line="276" w:lineRule="auto"/>
              <w:ind w:left="360"/>
              <w:rPr>
                <w:rFonts w:ascii="Arial" w:hAnsi="Arial" w:cs="Arial"/>
                <w:color w:val="414042"/>
              </w:rPr>
            </w:pPr>
            <w:r>
              <w:rPr>
                <w:rFonts w:ascii="Arial" w:hAnsi="Arial" w:cs="Arial"/>
                <w:color w:val="414042"/>
              </w:rPr>
              <w:t>6. Flexible Treatment Options</w:t>
            </w:r>
          </w:p>
        </w:tc>
      </w:tr>
      <w:tr w:rsidR="00FF5D6F" w:rsidRPr="00464256" w:rsidTr="004D3919">
        <w:tc>
          <w:tcPr>
            <w:tcW w:w="4678" w:type="dxa"/>
          </w:tcPr>
          <w:p w:rsidR="00FF5D6F" w:rsidRPr="00464256" w:rsidRDefault="00FF5D6F" w:rsidP="00894486">
            <w:pPr>
              <w:pStyle w:val="BasicParagraph"/>
              <w:numPr>
                <w:ilvl w:val="0"/>
                <w:numId w:val="20"/>
              </w:numPr>
              <w:spacing w:line="276" w:lineRule="auto"/>
              <w:rPr>
                <w:rFonts w:ascii="Arial" w:hAnsi="Arial" w:cs="Arial"/>
                <w:color w:val="414042"/>
              </w:rPr>
            </w:pPr>
            <w:r>
              <w:rPr>
                <w:rFonts w:ascii="Arial" w:hAnsi="Arial" w:cs="Arial"/>
                <w:color w:val="414042"/>
              </w:rPr>
              <w:t>Support for A</w:t>
            </w:r>
            <w:r w:rsidRPr="00464256">
              <w:rPr>
                <w:rFonts w:ascii="Arial" w:hAnsi="Arial" w:cs="Arial"/>
                <w:color w:val="414042"/>
              </w:rPr>
              <w:t>dults working</w:t>
            </w:r>
            <w:r>
              <w:rPr>
                <w:rFonts w:ascii="Arial" w:hAnsi="Arial" w:cs="Arial"/>
                <w:color w:val="414042"/>
              </w:rPr>
              <w:t xml:space="preserve"> with Children and Young People</w:t>
            </w:r>
          </w:p>
        </w:tc>
        <w:tc>
          <w:tcPr>
            <w:tcW w:w="4944" w:type="dxa"/>
          </w:tcPr>
          <w:p w:rsidR="00FF5D6F" w:rsidRPr="00464256" w:rsidRDefault="00FF5D6F" w:rsidP="00894486">
            <w:pPr>
              <w:pStyle w:val="BasicParagraph"/>
              <w:spacing w:line="276" w:lineRule="auto"/>
              <w:ind w:left="360"/>
              <w:rPr>
                <w:rFonts w:ascii="Arial" w:hAnsi="Arial" w:cs="Arial"/>
                <w:color w:val="414042"/>
              </w:rPr>
            </w:pPr>
            <w:r>
              <w:rPr>
                <w:rFonts w:ascii="Arial" w:hAnsi="Arial" w:cs="Arial"/>
                <w:color w:val="414042"/>
              </w:rPr>
              <w:t xml:space="preserve">7. </w:t>
            </w:r>
            <w:r w:rsidRPr="00464256">
              <w:rPr>
                <w:rFonts w:ascii="Arial" w:hAnsi="Arial" w:cs="Arial"/>
                <w:color w:val="414042"/>
              </w:rPr>
              <w:t>Men</w:t>
            </w:r>
            <w:r>
              <w:rPr>
                <w:rFonts w:ascii="Arial" w:hAnsi="Arial" w:cs="Arial"/>
                <w:color w:val="414042"/>
              </w:rPr>
              <w:t>tal Health Awareness &amp; Literacy</w:t>
            </w:r>
          </w:p>
        </w:tc>
      </w:tr>
      <w:tr w:rsidR="00FF5D6F" w:rsidRPr="00464256" w:rsidTr="004D3919">
        <w:tc>
          <w:tcPr>
            <w:tcW w:w="4678" w:type="dxa"/>
          </w:tcPr>
          <w:p w:rsidR="00FF5D6F" w:rsidRPr="00464256" w:rsidRDefault="00FF5D6F" w:rsidP="00894486">
            <w:pPr>
              <w:pStyle w:val="BasicParagraph"/>
              <w:numPr>
                <w:ilvl w:val="0"/>
                <w:numId w:val="20"/>
              </w:numPr>
              <w:spacing w:line="276" w:lineRule="auto"/>
              <w:rPr>
                <w:rFonts w:ascii="Arial" w:hAnsi="Arial" w:cs="Arial"/>
                <w:color w:val="414042"/>
              </w:rPr>
            </w:pPr>
            <w:r>
              <w:rPr>
                <w:rFonts w:ascii="Arial" w:hAnsi="Arial" w:cs="Arial"/>
                <w:color w:val="414042"/>
              </w:rPr>
              <w:t>Specialist Support</w:t>
            </w:r>
          </w:p>
        </w:tc>
        <w:tc>
          <w:tcPr>
            <w:tcW w:w="4944" w:type="dxa"/>
          </w:tcPr>
          <w:p w:rsidR="00FF5D6F" w:rsidRPr="00464256" w:rsidRDefault="00FF5D6F" w:rsidP="00894486">
            <w:pPr>
              <w:pStyle w:val="BasicParagraph"/>
              <w:spacing w:line="276" w:lineRule="auto"/>
              <w:ind w:left="360"/>
              <w:rPr>
                <w:rFonts w:ascii="Arial" w:hAnsi="Arial" w:cs="Arial"/>
                <w:color w:val="414042"/>
              </w:rPr>
            </w:pPr>
            <w:r>
              <w:rPr>
                <w:rFonts w:ascii="Arial" w:hAnsi="Arial" w:cs="Arial"/>
                <w:color w:val="414042"/>
              </w:rPr>
              <w:t xml:space="preserve">8. </w:t>
            </w:r>
            <w:r w:rsidRPr="00464256">
              <w:rPr>
                <w:rFonts w:ascii="Arial" w:hAnsi="Arial" w:cs="Arial"/>
                <w:color w:val="414042"/>
              </w:rPr>
              <w:t>Yo</w:t>
            </w:r>
            <w:r>
              <w:rPr>
                <w:rFonts w:ascii="Arial" w:hAnsi="Arial" w:cs="Arial"/>
                <w:color w:val="414042"/>
              </w:rPr>
              <w:t xml:space="preserve">ung People with Additional Needs </w:t>
            </w:r>
          </w:p>
        </w:tc>
      </w:tr>
    </w:tbl>
    <w:p w:rsidR="00FF5D6F" w:rsidRDefault="00FF5D6F" w:rsidP="00894486">
      <w:pPr>
        <w:pStyle w:val="NICCYBodyText"/>
        <w:spacing w:line="276" w:lineRule="auto"/>
        <w:rPr>
          <w:b/>
          <w:color w:val="23A4DE"/>
        </w:rPr>
      </w:pPr>
    </w:p>
    <w:p w:rsidR="00FF5D6F" w:rsidRDefault="00FF5D6F" w:rsidP="00894486">
      <w:pPr>
        <w:pStyle w:val="NICCYBodyText"/>
        <w:spacing w:line="276" w:lineRule="auto"/>
        <w:rPr>
          <w:b/>
          <w:color w:val="23A4DE"/>
        </w:rPr>
      </w:pPr>
    </w:p>
    <w:p w:rsidR="00FF5D6F" w:rsidRPr="00196B35" w:rsidRDefault="00196B35" w:rsidP="00196B35">
      <w:pPr>
        <w:pStyle w:val="NICCYSubline"/>
        <w:spacing w:line="276" w:lineRule="auto"/>
      </w:pPr>
      <w:r w:rsidRPr="00CA34A9">
        <w:t xml:space="preserve">Implementation of Recommendations </w:t>
      </w:r>
      <w:r>
        <w:t xml:space="preserve">and </w:t>
      </w:r>
      <w:r w:rsidR="00FF5D6F">
        <w:t>NICCYs Monitoring Process</w:t>
      </w:r>
      <w:r>
        <w:t xml:space="preserve"> </w:t>
      </w:r>
    </w:p>
    <w:p w:rsidR="00F31EAE" w:rsidRDefault="00250353" w:rsidP="00894486">
      <w:pPr>
        <w:pStyle w:val="NICCYBodyText"/>
        <w:spacing w:line="276" w:lineRule="auto"/>
      </w:pPr>
      <w:r>
        <w:t xml:space="preserve">Since </w:t>
      </w:r>
      <w:r w:rsidR="00F31EAE">
        <w:t xml:space="preserve">the </w:t>
      </w:r>
      <w:r>
        <w:t>publication of Still Waiting, NICCY has engaged on an ongoing basis with all the relevant authorities responsible for delivering on the r</w:t>
      </w:r>
      <w:r w:rsidR="00F31EAE">
        <w:t>ecommendations to provide advice on, and monitor</w:t>
      </w:r>
      <w:r w:rsidR="008A0776">
        <w:t xml:space="preserve"> progress on</w:t>
      </w:r>
      <w:r w:rsidR="00F31EAE">
        <w:t xml:space="preserve"> their implementation.</w:t>
      </w:r>
      <w:r w:rsidR="00A502E6">
        <w:t xml:space="preserve"> </w:t>
      </w:r>
      <w:r w:rsidR="00F31EAE">
        <w:t xml:space="preserve">This </w:t>
      </w:r>
      <w:r w:rsidR="008A0776">
        <w:t>’s</w:t>
      </w:r>
      <w:r w:rsidR="00F31EAE">
        <w:t>tatus update</w:t>
      </w:r>
      <w:r w:rsidR="008A0776">
        <w:t>’</w:t>
      </w:r>
      <w:r w:rsidR="00F31EAE">
        <w:t xml:space="preserve"> provides an overview of actions taken over the previous 12 months since publication. </w:t>
      </w:r>
    </w:p>
    <w:p w:rsidR="00196B35" w:rsidRDefault="00196B35" w:rsidP="00894486">
      <w:pPr>
        <w:spacing w:line="276" w:lineRule="auto"/>
        <w:ind w:right="-433"/>
        <w:rPr>
          <w:rFonts w:ascii="Arial" w:eastAsiaTheme="minorEastAsia" w:hAnsi="Arial" w:cs="Arial"/>
          <w:b/>
          <w:color w:val="414042"/>
          <w:sz w:val="24"/>
          <w:szCs w:val="24"/>
        </w:rPr>
      </w:pPr>
    </w:p>
    <w:p w:rsidR="00933AC8" w:rsidRPr="00933AC8" w:rsidRDefault="00933AC8" w:rsidP="00894486">
      <w:pPr>
        <w:spacing w:line="276" w:lineRule="auto"/>
        <w:ind w:right="-433"/>
        <w:rPr>
          <w:rFonts w:ascii="Arial" w:eastAsiaTheme="minorEastAsia" w:hAnsi="Arial" w:cs="Arial"/>
          <w:b/>
          <w:color w:val="414042"/>
          <w:sz w:val="24"/>
          <w:szCs w:val="24"/>
        </w:rPr>
      </w:pPr>
      <w:r w:rsidRPr="00933AC8">
        <w:rPr>
          <w:rFonts w:ascii="Arial" w:eastAsiaTheme="minorEastAsia" w:hAnsi="Arial" w:cs="Arial"/>
          <w:b/>
          <w:color w:val="414042"/>
          <w:sz w:val="24"/>
          <w:szCs w:val="24"/>
        </w:rPr>
        <w:t>Establishment of the Inter-Departmental Project Board.</w:t>
      </w:r>
    </w:p>
    <w:p w:rsidR="00B85AD6" w:rsidRDefault="00196B35" w:rsidP="00894486">
      <w:p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NICCY’s first recommendation</w:t>
      </w:r>
      <w:r w:rsidR="00B85AD6">
        <w:rPr>
          <w:rFonts w:ascii="Arial" w:eastAsiaTheme="minorEastAsia" w:hAnsi="Arial" w:cs="Arial"/>
          <w:color w:val="414042"/>
          <w:sz w:val="24"/>
          <w:szCs w:val="24"/>
        </w:rPr>
        <w:t xml:space="preserve"> </w:t>
      </w:r>
      <w:r w:rsidR="008A0776">
        <w:rPr>
          <w:rFonts w:ascii="Arial" w:eastAsiaTheme="minorEastAsia" w:hAnsi="Arial" w:cs="Arial"/>
          <w:color w:val="414042"/>
          <w:sz w:val="24"/>
          <w:szCs w:val="24"/>
        </w:rPr>
        <w:t>called</w:t>
      </w:r>
      <w:r w:rsidR="00B85AD6">
        <w:rPr>
          <w:rFonts w:ascii="Arial" w:eastAsiaTheme="minorEastAsia" w:hAnsi="Arial" w:cs="Arial"/>
          <w:color w:val="414042"/>
          <w:sz w:val="24"/>
          <w:szCs w:val="24"/>
        </w:rPr>
        <w:t xml:space="preserve"> for </w:t>
      </w:r>
      <w:r w:rsidR="00361F02">
        <w:rPr>
          <w:rFonts w:ascii="Arial" w:eastAsiaTheme="minorEastAsia" w:hAnsi="Arial" w:cs="Arial"/>
          <w:color w:val="414042"/>
          <w:sz w:val="24"/>
          <w:szCs w:val="24"/>
        </w:rPr>
        <w:t>‘</w:t>
      </w:r>
      <w:r w:rsidR="00B85AD6">
        <w:rPr>
          <w:rFonts w:ascii="Arial" w:eastAsiaTheme="minorEastAsia" w:hAnsi="Arial" w:cs="Arial"/>
          <w:color w:val="414042"/>
          <w:sz w:val="24"/>
          <w:szCs w:val="24"/>
        </w:rPr>
        <w:t xml:space="preserve">the establishment of a high level multi-agency, multi-sectoral project board tasked with the development of </w:t>
      </w:r>
      <w:r w:rsidR="00361F02">
        <w:rPr>
          <w:rFonts w:ascii="Arial" w:eastAsiaTheme="minorEastAsia" w:hAnsi="Arial" w:cs="Arial"/>
          <w:color w:val="414042"/>
          <w:sz w:val="24"/>
          <w:szCs w:val="24"/>
        </w:rPr>
        <w:t>a comprehensive, adequately resourced action plan for taking these recommendations forward.’</w:t>
      </w:r>
    </w:p>
    <w:p w:rsidR="0053659C" w:rsidRDefault="0053659C" w:rsidP="00894486">
      <w:pPr>
        <w:spacing w:line="276" w:lineRule="auto"/>
        <w:ind w:right="-433"/>
        <w:rPr>
          <w:rFonts w:ascii="Arial" w:eastAsiaTheme="minorEastAsia" w:hAnsi="Arial" w:cs="Arial"/>
          <w:color w:val="414042"/>
          <w:sz w:val="24"/>
          <w:szCs w:val="24"/>
        </w:rPr>
      </w:pPr>
    </w:p>
    <w:p w:rsidR="00A11095" w:rsidRDefault="0053659C" w:rsidP="00894486">
      <w:p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 xml:space="preserve">This </w:t>
      </w:r>
      <w:r w:rsidR="002511C0">
        <w:rPr>
          <w:rFonts w:ascii="Arial" w:eastAsiaTheme="minorEastAsia" w:hAnsi="Arial" w:cs="Arial"/>
          <w:color w:val="414042"/>
          <w:sz w:val="24"/>
          <w:szCs w:val="24"/>
        </w:rPr>
        <w:t xml:space="preserve">implementation of this </w:t>
      </w:r>
      <w:r>
        <w:rPr>
          <w:rFonts w:ascii="Arial" w:eastAsiaTheme="minorEastAsia" w:hAnsi="Arial" w:cs="Arial"/>
          <w:color w:val="414042"/>
          <w:sz w:val="24"/>
          <w:szCs w:val="24"/>
        </w:rPr>
        <w:t>first recommendation was required before the other</w:t>
      </w:r>
      <w:r w:rsidR="002511C0">
        <w:rPr>
          <w:rFonts w:ascii="Arial" w:eastAsiaTheme="minorEastAsia" w:hAnsi="Arial" w:cs="Arial"/>
          <w:color w:val="414042"/>
          <w:sz w:val="24"/>
          <w:szCs w:val="24"/>
        </w:rPr>
        <w:t>s</w:t>
      </w:r>
      <w:r>
        <w:rPr>
          <w:rFonts w:ascii="Arial" w:eastAsiaTheme="minorEastAsia" w:hAnsi="Arial" w:cs="Arial"/>
          <w:color w:val="414042"/>
          <w:sz w:val="24"/>
          <w:szCs w:val="24"/>
        </w:rPr>
        <w:t xml:space="preserve"> could be </w:t>
      </w:r>
      <w:r w:rsidR="00AE23B4">
        <w:rPr>
          <w:rFonts w:ascii="Arial" w:eastAsiaTheme="minorEastAsia" w:hAnsi="Arial" w:cs="Arial"/>
          <w:color w:val="414042"/>
          <w:sz w:val="24"/>
          <w:szCs w:val="24"/>
        </w:rPr>
        <w:t>progressed</w:t>
      </w:r>
      <w:r>
        <w:rPr>
          <w:rFonts w:ascii="Arial" w:eastAsiaTheme="minorEastAsia" w:hAnsi="Arial" w:cs="Arial"/>
          <w:color w:val="414042"/>
          <w:sz w:val="24"/>
          <w:szCs w:val="24"/>
        </w:rPr>
        <w:t xml:space="preserve">, and so NICCY focussed on engaging with all the relevant agencies to encourage them to work together in delivering on Still Waiting. </w:t>
      </w:r>
      <w:r w:rsidR="00AE23B4">
        <w:rPr>
          <w:rFonts w:ascii="Arial" w:eastAsiaTheme="minorEastAsia" w:hAnsi="Arial" w:cs="Arial"/>
          <w:color w:val="414042"/>
          <w:sz w:val="24"/>
          <w:szCs w:val="24"/>
        </w:rPr>
        <w:t xml:space="preserve"> </w:t>
      </w:r>
      <w:r w:rsidR="00327A73">
        <w:rPr>
          <w:rFonts w:ascii="Arial" w:eastAsiaTheme="minorEastAsia" w:hAnsi="Arial" w:cs="Arial"/>
          <w:color w:val="414042"/>
          <w:sz w:val="24"/>
          <w:szCs w:val="24"/>
        </w:rPr>
        <w:t>The following</w:t>
      </w:r>
      <w:r w:rsidR="00416233">
        <w:rPr>
          <w:rFonts w:ascii="Arial" w:eastAsiaTheme="minorEastAsia" w:hAnsi="Arial" w:cs="Arial"/>
          <w:color w:val="414042"/>
          <w:sz w:val="24"/>
          <w:szCs w:val="24"/>
        </w:rPr>
        <w:t xml:space="preserve"> organisations attend</w:t>
      </w:r>
      <w:r w:rsidR="00327A73">
        <w:rPr>
          <w:rFonts w:ascii="Arial" w:eastAsiaTheme="minorEastAsia" w:hAnsi="Arial" w:cs="Arial"/>
          <w:color w:val="414042"/>
          <w:sz w:val="24"/>
          <w:szCs w:val="24"/>
        </w:rPr>
        <w:t>ed</w:t>
      </w:r>
      <w:r w:rsidR="00416233">
        <w:rPr>
          <w:rFonts w:ascii="Arial" w:eastAsiaTheme="minorEastAsia" w:hAnsi="Arial" w:cs="Arial"/>
          <w:color w:val="414042"/>
          <w:sz w:val="24"/>
          <w:szCs w:val="24"/>
        </w:rPr>
        <w:t xml:space="preserve"> a </w:t>
      </w:r>
      <w:r w:rsidR="00AE23B4">
        <w:rPr>
          <w:rFonts w:ascii="Arial" w:eastAsiaTheme="minorEastAsia" w:hAnsi="Arial" w:cs="Arial"/>
          <w:color w:val="414042"/>
          <w:sz w:val="24"/>
          <w:szCs w:val="24"/>
        </w:rPr>
        <w:t xml:space="preserve">NICCY </w:t>
      </w:r>
      <w:r w:rsidR="00416233">
        <w:rPr>
          <w:rFonts w:ascii="Arial" w:eastAsiaTheme="minorEastAsia" w:hAnsi="Arial" w:cs="Arial"/>
          <w:color w:val="414042"/>
          <w:sz w:val="24"/>
          <w:szCs w:val="24"/>
        </w:rPr>
        <w:t xml:space="preserve">roundtable meeting </w:t>
      </w:r>
      <w:r w:rsidR="00327A73">
        <w:rPr>
          <w:rFonts w:ascii="Arial" w:eastAsiaTheme="minorEastAsia" w:hAnsi="Arial" w:cs="Arial"/>
          <w:color w:val="414042"/>
          <w:sz w:val="24"/>
          <w:szCs w:val="24"/>
        </w:rPr>
        <w:t xml:space="preserve">on 30 January </w:t>
      </w:r>
      <w:r w:rsidR="002511C0">
        <w:rPr>
          <w:rFonts w:ascii="Arial" w:eastAsiaTheme="minorEastAsia" w:hAnsi="Arial" w:cs="Arial"/>
          <w:color w:val="414042"/>
          <w:sz w:val="24"/>
          <w:szCs w:val="24"/>
        </w:rPr>
        <w:t xml:space="preserve">2019 </w:t>
      </w:r>
      <w:r w:rsidR="00327A73">
        <w:rPr>
          <w:rFonts w:ascii="Arial" w:eastAsiaTheme="minorEastAsia" w:hAnsi="Arial" w:cs="Arial"/>
          <w:color w:val="414042"/>
          <w:sz w:val="24"/>
          <w:szCs w:val="24"/>
        </w:rPr>
        <w:t>to discuss implementation</w:t>
      </w:r>
      <w:r w:rsidR="00086B62">
        <w:rPr>
          <w:rFonts w:ascii="Arial" w:eastAsiaTheme="minorEastAsia" w:hAnsi="Arial" w:cs="Arial"/>
          <w:color w:val="414042"/>
          <w:sz w:val="24"/>
          <w:szCs w:val="24"/>
        </w:rPr>
        <w:t xml:space="preserve"> of the report</w:t>
      </w:r>
      <w:r w:rsidR="00A11095">
        <w:rPr>
          <w:rFonts w:ascii="Arial" w:eastAsiaTheme="minorEastAsia" w:hAnsi="Arial" w:cs="Arial"/>
          <w:color w:val="414042"/>
          <w:sz w:val="24"/>
          <w:szCs w:val="24"/>
        </w:rPr>
        <w:t xml:space="preserve"> recommendations:</w:t>
      </w:r>
    </w:p>
    <w:p w:rsidR="00A11095" w:rsidRDefault="00327A73" w:rsidP="00A11095">
      <w:pPr>
        <w:pStyle w:val="ListParagraph"/>
        <w:numPr>
          <w:ilvl w:val="0"/>
          <w:numId w:val="28"/>
        </w:numPr>
        <w:spacing w:line="276" w:lineRule="auto"/>
        <w:ind w:right="-433"/>
        <w:rPr>
          <w:rFonts w:ascii="Arial" w:eastAsiaTheme="minorEastAsia" w:hAnsi="Arial" w:cs="Arial"/>
          <w:color w:val="414042"/>
          <w:sz w:val="24"/>
          <w:szCs w:val="24"/>
        </w:rPr>
      </w:pPr>
      <w:r w:rsidRPr="00A11095">
        <w:rPr>
          <w:rFonts w:ascii="Arial" w:eastAsiaTheme="minorEastAsia" w:hAnsi="Arial" w:cs="Arial"/>
          <w:color w:val="414042"/>
          <w:sz w:val="24"/>
          <w:szCs w:val="24"/>
        </w:rPr>
        <w:t xml:space="preserve">Department of Health, </w:t>
      </w:r>
    </w:p>
    <w:p w:rsidR="00A11095" w:rsidRDefault="00A11095" w:rsidP="00A11095">
      <w:pPr>
        <w:pStyle w:val="ListParagraph"/>
        <w:numPr>
          <w:ilvl w:val="0"/>
          <w:numId w:val="28"/>
        </w:num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Health and Social Care Board,</w:t>
      </w:r>
    </w:p>
    <w:p w:rsidR="00A11095" w:rsidRDefault="00A11095" w:rsidP="00A11095">
      <w:pPr>
        <w:pStyle w:val="ListParagraph"/>
        <w:numPr>
          <w:ilvl w:val="0"/>
          <w:numId w:val="28"/>
        </w:num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 xml:space="preserve">Public Health Agency, </w:t>
      </w:r>
    </w:p>
    <w:p w:rsidR="00A11095" w:rsidRDefault="00327A73" w:rsidP="00A11095">
      <w:pPr>
        <w:pStyle w:val="ListParagraph"/>
        <w:numPr>
          <w:ilvl w:val="0"/>
          <w:numId w:val="28"/>
        </w:numPr>
        <w:spacing w:line="276" w:lineRule="auto"/>
        <w:ind w:right="-433"/>
        <w:rPr>
          <w:rFonts w:ascii="Arial" w:eastAsiaTheme="minorEastAsia" w:hAnsi="Arial" w:cs="Arial"/>
          <w:color w:val="414042"/>
          <w:sz w:val="24"/>
          <w:szCs w:val="24"/>
        </w:rPr>
      </w:pPr>
      <w:r w:rsidRPr="00A11095">
        <w:rPr>
          <w:rFonts w:ascii="Arial" w:eastAsiaTheme="minorEastAsia" w:hAnsi="Arial" w:cs="Arial"/>
          <w:color w:val="414042"/>
          <w:sz w:val="24"/>
          <w:szCs w:val="24"/>
        </w:rPr>
        <w:t xml:space="preserve">Department of Education, </w:t>
      </w:r>
    </w:p>
    <w:p w:rsidR="00A11095" w:rsidRDefault="00327A73" w:rsidP="00A11095">
      <w:pPr>
        <w:pStyle w:val="ListParagraph"/>
        <w:numPr>
          <w:ilvl w:val="0"/>
          <w:numId w:val="28"/>
        </w:numPr>
        <w:spacing w:line="276" w:lineRule="auto"/>
        <w:ind w:right="-433"/>
        <w:rPr>
          <w:rFonts w:ascii="Arial" w:eastAsiaTheme="minorEastAsia" w:hAnsi="Arial" w:cs="Arial"/>
          <w:color w:val="414042"/>
          <w:sz w:val="24"/>
          <w:szCs w:val="24"/>
        </w:rPr>
      </w:pPr>
      <w:r w:rsidRPr="00A11095">
        <w:rPr>
          <w:rFonts w:ascii="Arial" w:eastAsiaTheme="minorEastAsia" w:hAnsi="Arial" w:cs="Arial"/>
          <w:color w:val="414042"/>
          <w:sz w:val="24"/>
          <w:szCs w:val="24"/>
        </w:rPr>
        <w:t>Educatio</w:t>
      </w:r>
      <w:r w:rsidR="00086B62" w:rsidRPr="00A11095">
        <w:rPr>
          <w:rFonts w:ascii="Arial" w:eastAsiaTheme="minorEastAsia" w:hAnsi="Arial" w:cs="Arial"/>
          <w:color w:val="414042"/>
          <w:sz w:val="24"/>
          <w:szCs w:val="24"/>
        </w:rPr>
        <w:t xml:space="preserve">n Authority, </w:t>
      </w:r>
    </w:p>
    <w:p w:rsidR="00A11095" w:rsidRDefault="00086B62" w:rsidP="00A11095">
      <w:pPr>
        <w:pStyle w:val="ListParagraph"/>
        <w:numPr>
          <w:ilvl w:val="0"/>
          <w:numId w:val="28"/>
        </w:numPr>
        <w:spacing w:line="276" w:lineRule="auto"/>
        <w:ind w:right="-433"/>
        <w:rPr>
          <w:rFonts w:ascii="Arial" w:eastAsiaTheme="minorEastAsia" w:hAnsi="Arial" w:cs="Arial"/>
          <w:color w:val="414042"/>
          <w:sz w:val="24"/>
          <w:szCs w:val="24"/>
        </w:rPr>
      </w:pPr>
      <w:r w:rsidRPr="00A11095">
        <w:rPr>
          <w:rFonts w:ascii="Arial" w:eastAsiaTheme="minorEastAsia" w:hAnsi="Arial" w:cs="Arial"/>
          <w:color w:val="414042"/>
          <w:sz w:val="24"/>
          <w:szCs w:val="24"/>
        </w:rPr>
        <w:t xml:space="preserve">Regulation and </w:t>
      </w:r>
      <w:r w:rsidR="00AE23B4" w:rsidRPr="00A11095">
        <w:rPr>
          <w:rFonts w:ascii="Arial" w:eastAsiaTheme="minorEastAsia" w:hAnsi="Arial" w:cs="Arial"/>
          <w:color w:val="414042"/>
          <w:sz w:val="24"/>
          <w:szCs w:val="24"/>
        </w:rPr>
        <w:t>Quality Improvement Authority</w:t>
      </w:r>
      <w:r w:rsidRPr="00A11095">
        <w:rPr>
          <w:rFonts w:ascii="Arial" w:eastAsiaTheme="minorEastAsia" w:hAnsi="Arial" w:cs="Arial"/>
          <w:color w:val="414042"/>
          <w:sz w:val="24"/>
          <w:szCs w:val="24"/>
        </w:rPr>
        <w:t xml:space="preserve">, </w:t>
      </w:r>
    </w:p>
    <w:p w:rsidR="00A11095" w:rsidRDefault="00086B62" w:rsidP="00A11095">
      <w:pPr>
        <w:pStyle w:val="ListParagraph"/>
        <w:numPr>
          <w:ilvl w:val="0"/>
          <w:numId w:val="28"/>
        </w:numPr>
        <w:spacing w:line="276" w:lineRule="auto"/>
        <w:ind w:right="-433"/>
        <w:rPr>
          <w:rFonts w:ascii="Arial" w:eastAsiaTheme="minorEastAsia" w:hAnsi="Arial" w:cs="Arial"/>
          <w:color w:val="414042"/>
          <w:sz w:val="24"/>
          <w:szCs w:val="24"/>
        </w:rPr>
      </w:pPr>
      <w:r w:rsidRPr="00A11095">
        <w:rPr>
          <w:rFonts w:ascii="Arial" w:eastAsiaTheme="minorEastAsia" w:hAnsi="Arial" w:cs="Arial"/>
          <w:color w:val="414042"/>
          <w:sz w:val="24"/>
          <w:szCs w:val="24"/>
        </w:rPr>
        <w:t xml:space="preserve">Royal College of General Practitioners NI, </w:t>
      </w:r>
    </w:p>
    <w:p w:rsidR="00A11095" w:rsidRDefault="00086B62" w:rsidP="00A11095">
      <w:pPr>
        <w:pStyle w:val="ListParagraph"/>
        <w:numPr>
          <w:ilvl w:val="0"/>
          <w:numId w:val="28"/>
        </w:numPr>
        <w:spacing w:line="276" w:lineRule="auto"/>
        <w:ind w:right="-433"/>
        <w:rPr>
          <w:rFonts w:ascii="Arial" w:eastAsiaTheme="minorEastAsia" w:hAnsi="Arial" w:cs="Arial"/>
          <w:color w:val="414042"/>
          <w:sz w:val="24"/>
          <w:szCs w:val="24"/>
        </w:rPr>
      </w:pPr>
      <w:r w:rsidRPr="00A11095">
        <w:rPr>
          <w:rFonts w:ascii="Arial" w:eastAsiaTheme="minorEastAsia" w:hAnsi="Arial" w:cs="Arial"/>
          <w:color w:val="414042"/>
          <w:sz w:val="24"/>
          <w:szCs w:val="24"/>
        </w:rPr>
        <w:t xml:space="preserve">Royal College of Paediatrics and Child Health, </w:t>
      </w:r>
    </w:p>
    <w:p w:rsidR="00327A73" w:rsidRPr="00A11095" w:rsidRDefault="00086B62" w:rsidP="00A11095">
      <w:pPr>
        <w:pStyle w:val="ListParagraph"/>
        <w:numPr>
          <w:ilvl w:val="0"/>
          <w:numId w:val="28"/>
        </w:numPr>
        <w:spacing w:line="276" w:lineRule="auto"/>
        <w:ind w:right="-433"/>
        <w:rPr>
          <w:rFonts w:ascii="Arial" w:eastAsiaTheme="minorEastAsia" w:hAnsi="Arial" w:cs="Arial"/>
          <w:color w:val="414042"/>
          <w:sz w:val="24"/>
          <w:szCs w:val="24"/>
        </w:rPr>
      </w:pPr>
      <w:r w:rsidRPr="00A11095">
        <w:rPr>
          <w:rFonts w:ascii="Arial" w:eastAsiaTheme="minorEastAsia" w:hAnsi="Arial" w:cs="Arial"/>
          <w:color w:val="414042"/>
          <w:sz w:val="24"/>
          <w:szCs w:val="24"/>
        </w:rPr>
        <w:t xml:space="preserve">Department of Justice and four of the five Health and Social Care Trusts. </w:t>
      </w:r>
    </w:p>
    <w:p w:rsidR="00C16BAB" w:rsidRDefault="00C16BAB" w:rsidP="00894486">
      <w:pPr>
        <w:spacing w:line="276" w:lineRule="auto"/>
        <w:ind w:right="-433"/>
        <w:rPr>
          <w:rFonts w:ascii="Arial" w:eastAsiaTheme="minorEastAsia" w:hAnsi="Arial" w:cs="Arial"/>
          <w:color w:val="414042"/>
          <w:sz w:val="24"/>
          <w:szCs w:val="24"/>
        </w:rPr>
      </w:pPr>
    </w:p>
    <w:p w:rsidR="008106C5" w:rsidRDefault="00C16BAB" w:rsidP="008106C5">
      <w:p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At this</w:t>
      </w:r>
      <w:r w:rsidR="002511C0">
        <w:rPr>
          <w:rFonts w:ascii="Arial" w:eastAsiaTheme="minorEastAsia" w:hAnsi="Arial" w:cs="Arial"/>
          <w:color w:val="414042"/>
          <w:sz w:val="24"/>
          <w:szCs w:val="24"/>
        </w:rPr>
        <w:t xml:space="preserve"> meeting</w:t>
      </w:r>
      <w:r w:rsidR="00CF0EBE">
        <w:rPr>
          <w:rFonts w:ascii="Arial" w:eastAsiaTheme="minorEastAsia" w:hAnsi="Arial" w:cs="Arial"/>
          <w:color w:val="414042"/>
          <w:sz w:val="24"/>
          <w:szCs w:val="24"/>
        </w:rPr>
        <w:t>,</w:t>
      </w:r>
      <w:r>
        <w:rPr>
          <w:rFonts w:ascii="Arial" w:eastAsiaTheme="minorEastAsia" w:hAnsi="Arial" w:cs="Arial"/>
          <w:color w:val="414042"/>
          <w:sz w:val="24"/>
          <w:szCs w:val="24"/>
        </w:rPr>
        <w:t xml:space="preserve"> each representative recognised the role their organisation needed to play in implementing </w:t>
      </w:r>
      <w:r w:rsidRPr="008F1F69">
        <w:rPr>
          <w:rFonts w:ascii="Arial" w:eastAsiaTheme="minorEastAsia" w:hAnsi="Arial" w:cs="Arial"/>
          <w:color w:val="414042"/>
          <w:sz w:val="24"/>
          <w:szCs w:val="24"/>
        </w:rPr>
        <w:t xml:space="preserve">recommendations, and the </w:t>
      </w:r>
      <w:r w:rsidR="00385516" w:rsidRPr="008F1F69">
        <w:rPr>
          <w:rFonts w:ascii="Arial" w:eastAsiaTheme="minorEastAsia" w:hAnsi="Arial" w:cs="Arial"/>
          <w:color w:val="414042"/>
          <w:sz w:val="24"/>
          <w:szCs w:val="24"/>
        </w:rPr>
        <w:t xml:space="preserve">steps they or others </w:t>
      </w:r>
      <w:r w:rsidR="00272600" w:rsidRPr="008F1F69">
        <w:rPr>
          <w:rFonts w:ascii="Arial" w:eastAsiaTheme="minorEastAsia" w:hAnsi="Arial" w:cs="Arial"/>
          <w:color w:val="414042"/>
          <w:sz w:val="24"/>
          <w:szCs w:val="24"/>
        </w:rPr>
        <w:t xml:space="preserve">needed to take to facilitate this. The </w:t>
      </w:r>
      <w:r w:rsidRPr="008F1F69">
        <w:rPr>
          <w:rFonts w:ascii="Arial" w:eastAsiaTheme="minorEastAsia" w:hAnsi="Arial" w:cs="Arial"/>
          <w:color w:val="414042"/>
          <w:sz w:val="24"/>
          <w:szCs w:val="24"/>
        </w:rPr>
        <w:t xml:space="preserve">Department of Health </w:t>
      </w:r>
      <w:r w:rsidR="00AE23B4">
        <w:rPr>
          <w:rFonts w:ascii="Arial" w:eastAsiaTheme="minorEastAsia" w:hAnsi="Arial" w:cs="Arial"/>
          <w:color w:val="414042"/>
          <w:sz w:val="24"/>
          <w:szCs w:val="24"/>
        </w:rPr>
        <w:t xml:space="preserve">had already </w:t>
      </w:r>
      <w:r w:rsidR="008F1F69" w:rsidRPr="008F1F69">
        <w:rPr>
          <w:rFonts w:ascii="Arial" w:eastAsiaTheme="minorEastAsia" w:hAnsi="Arial" w:cs="Arial"/>
          <w:color w:val="414042"/>
          <w:sz w:val="24"/>
          <w:szCs w:val="24"/>
        </w:rPr>
        <w:t xml:space="preserve">proposed that they lead </w:t>
      </w:r>
      <w:r w:rsidR="00AE23B4">
        <w:rPr>
          <w:rFonts w:ascii="Arial" w:eastAsiaTheme="minorEastAsia" w:hAnsi="Arial" w:cs="Arial"/>
          <w:color w:val="414042"/>
          <w:sz w:val="24"/>
          <w:szCs w:val="24"/>
        </w:rPr>
        <w:t xml:space="preserve">on this work and also proposed to co-ordinate </w:t>
      </w:r>
      <w:r w:rsidR="008F1F69" w:rsidRPr="008F1F69">
        <w:rPr>
          <w:rFonts w:ascii="Arial" w:hAnsi="Arial" w:cs="Arial"/>
          <w:color w:val="414042"/>
          <w:sz w:val="24"/>
          <w:szCs w:val="24"/>
        </w:rPr>
        <w:t>an inter-departmental written response to the report recommendations</w:t>
      </w:r>
      <w:r w:rsidR="00AE23B4">
        <w:rPr>
          <w:rFonts w:ascii="Arial" w:hAnsi="Arial" w:cs="Arial"/>
          <w:color w:val="414042"/>
          <w:sz w:val="24"/>
          <w:szCs w:val="24"/>
        </w:rPr>
        <w:t>.</w:t>
      </w:r>
      <w:r w:rsidR="00B95DC9">
        <w:rPr>
          <w:rFonts w:ascii="Arial" w:hAnsi="Arial" w:cs="Arial"/>
          <w:color w:val="414042"/>
          <w:sz w:val="24"/>
          <w:szCs w:val="24"/>
        </w:rPr>
        <w:t xml:space="preserve"> </w:t>
      </w:r>
      <w:r w:rsidR="00FF6690">
        <w:rPr>
          <w:rFonts w:ascii="Arial" w:hAnsi="Arial" w:cs="Arial"/>
          <w:color w:val="414042"/>
          <w:sz w:val="24"/>
          <w:szCs w:val="24"/>
        </w:rPr>
        <w:t xml:space="preserve">The IDG </w:t>
      </w:r>
      <w:r w:rsidR="00FF6690">
        <w:rPr>
          <w:rFonts w:ascii="Arial" w:hAnsi="Arial" w:cs="Arial"/>
          <w:color w:val="414042"/>
          <w:sz w:val="24"/>
          <w:szCs w:val="24"/>
        </w:rPr>
        <w:lastRenderedPageBreak/>
        <w:t xml:space="preserve">first met in February, 2019 to discuss government response to Still Waiting.  Since that time there has been an on-going dialogue between NICCY and all stakeholders particularly the </w:t>
      </w:r>
      <w:proofErr w:type="spellStart"/>
      <w:r w:rsidR="00FF6690">
        <w:rPr>
          <w:rFonts w:ascii="Arial" w:hAnsi="Arial" w:cs="Arial"/>
          <w:color w:val="414042"/>
          <w:sz w:val="24"/>
          <w:szCs w:val="24"/>
        </w:rPr>
        <w:t>DoH</w:t>
      </w:r>
      <w:proofErr w:type="spellEnd"/>
      <w:r w:rsidR="00FF6690">
        <w:rPr>
          <w:rFonts w:ascii="Arial" w:hAnsi="Arial" w:cs="Arial"/>
          <w:color w:val="414042"/>
          <w:sz w:val="24"/>
          <w:szCs w:val="24"/>
        </w:rPr>
        <w:t xml:space="preserve"> which resulted with </w:t>
      </w:r>
      <w:r w:rsidR="008106C5">
        <w:rPr>
          <w:rFonts w:ascii="Arial" w:eastAsiaTheme="minorEastAsia" w:hAnsi="Arial" w:cs="Arial"/>
          <w:color w:val="414042"/>
          <w:sz w:val="24"/>
          <w:szCs w:val="24"/>
        </w:rPr>
        <w:t>response to the recommendations being provided to NICCY in August, clearly which recommendations were accepted and which were not. A total of 35 recommendations (or sub recommendations) were accepted, including:</w:t>
      </w:r>
    </w:p>
    <w:p w:rsidR="00AE23B4" w:rsidRDefault="00AE23B4" w:rsidP="008106C5">
      <w:pPr>
        <w:spacing w:line="276" w:lineRule="auto"/>
        <w:ind w:right="-433"/>
        <w:rPr>
          <w:rFonts w:ascii="Arial" w:eastAsiaTheme="minorEastAsia" w:hAnsi="Arial" w:cs="Arial"/>
          <w:color w:val="414042"/>
          <w:sz w:val="24"/>
          <w:szCs w:val="24"/>
        </w:rPr>
      </w:pPr>
    </w:p>
    <w:p w:rsidR="008106C5" w:rsidRDefault="008106C5" w:rsidP="008106C5">
      <w:pPr>
        <w:pStyle w:val="ListParagraph"/>
        <w:numPr>
          <w:ilvl w:val="0"/>
          <w:numId w:val="21"/>
        </w:num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Designated mental health practitioners, trained to work with young people, to be attached to every GP surgery;</w:t>
      </w:r>
    </w:p>
    <w:p w:rsidR="008106C5" w:rsidRDefault="008106C5" w:rsidP="008106C5">
      <w:pPr>
        <w:pStyle w:val="ListParagraph"/>
        <w:numPr>
          <w:ilvl w:val="0"/>
          <w:numId w:val="21"/>
        </w:num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Using fund mapping and need analyses to map increased in spending on services over time;</w:t>
      </w:r>
    </w:p>
    <w:p w:rsidR="008106C5" w:rsidRDefault="008106C5" w:rsidP="008106C5">
      <w:pPr>
        <w:pStyle w:val="ListParagraph"/>
        <w:numPr>
          <w:ilvl w:val="0"/>
          <w:numId w:val="21"/>
        </w:num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An online booking system for mental health appointments to give young people and their carers more control over the appointment time;</w:t>
      </w:r>
    </w:p>
    <w:p w:rsidR="008106C5" w:rsidRDefault="008106C5" w:rsidP="008106C5">
      <w:pPr>
        <w:pStyle w:val="ListParagraph"/>
        <w:numPr>
          <w:ilvl w:val="0"/>
          <w:numId w:val="21"/>
        </w:num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Ensuring the availability of community based after care supports for young people after they are discharged from Community CAMHs or inpatient care;</w:t>
      </w:r>
    </w:p>
    <w:p w:rsidR="008106C5" w:rsidRDefault="008106C5" w:rsidP="008106C5">
      <w:pPr>
        <w:pStyle w:val="ListParagraph"/>
        <w:numPr>
          <w:ilvl w:val="0"/>
          <w:numId w:val="21"/>
        </w:num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 xml:space="preserve">Crisis intervention support for children and young people being available 24 hours a day, all year round, in all Trusts; and </w:t>
      </w:r>
    </w:p>
    <w:p w:rsidR="008106C5" w:rsidRPr="003B57AD" w:rsidRDefault="008106C5" w:rsidP="008106C5">
      <w:pPr>
        <w:pStyle w:val="ListParagraph"/>
        <w:numPr>
          <w:ilvl w:val="0"/>
          <w:numId w:val="21"/>
        </w:num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A comprehensive and urgent review of community based emotional, mental and behavioural support services for young people with a learning disability.</w:t>
      </w:r>
    </w:p>
    <w:p w:rsidR="008106C5" w:rsidRDefault="008106C5" w:rsidP="008106C5">
      <w:pPr>
        <w:spacing w:line="276" w:lineRule="auto"/>
        <w:ind w:right="-433"/>
        <w:rPr>
          <w:rFonts w:ascii="Arial" w:eastAsiaTheme="minorEastAsia" w:hAnsi="Arial" w:cs="Arial"/>
          <w:color w:val="414042"/>
          <w:sz w:val="24"/>
          <w:szCs w:val="24"/>
        </w:rPr>
      </w:pPr>
    </w:p>
    <w:p w:rsidR="008106C5" w:rsidRDefault="008106C5" w:rsidP="008106C5">
      <w:p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 xml:space="preserve">It is important to recognise that many of the recommendations accepted by the IDG require significant actions and will play an important role in transforming the </w:t>
      </w:r>
      <w:r w:rsidR="00464F95">
        <w:rPr>
          <w:rFonts w:ascii="Arial" w:eastAsiaTheme="minorEastAsia" w:hAnsi="Arial" w:cs="Arial"/>
          <w:color w:val="414042"/>
          <w:sz w:val="24"/>
          <w:szCs w:val="24"/>
        </w:rPr>
        <w:t xml:space="preserve">provision of emotional and mental health services to children and young people in Northern Ireland. </w:t>
      </w:r>
    </w:p>
    <w:p w:rsidR="008106C5" w:rsidRDefault="008106C5" w:rsidP="008106C5">
      <w:pPr>
        <w:spacing w:line="276" w:lineRule="auto"/>
        <w:ind w:right="-433"/>
        <w:rPr>
          <w:rFonts w:ascii="Arial" w:eastAsiaTheme="minorEastAsia" w:hAnsi="Arial" w:cs="Arial"/>
          <w:color w:val="414042"/>
          <w:sz w:val="24"/>
          <w:szCs w:val="24"/>
        </w:rPr>
      </w:pPr>
    </w:p>
    <w:p w:rsidR="008106C5" w:rsidRDefault="008106C5" w:rsidP="008106C5">
      <w:p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 xml:space="preserve">A further 18 recommendations (or sub recommendations) were accepted ‘in principle’. In </w:t>
      </w:r>
      <w:r w:rsidR="00371693">
        <w:rPr>
          <w:rFonts w:ascii="Arial" w:eastAsiaTheme="minorEastAsia" w:hAnsi="Arial" w:cs="Arial"/>
          <w:color w:val="414042"/>
          <w:sz w:val="24"/>
          <w:szCs w:val="24"/>
        </w:rPr>
        <w:t>general,</w:t>
      </w:r>
      <w:r>
        <w:rPr>
          <w:rFonts w:ascii="Arial" w:eastAsiaTheme="minorEastAsia" w:hAnsi="Arial" w:cs="Arial"/>
          <w:color w:val="414042"/>
          <w:sz w:val="24"/>
          <w:szCs w:val="24"/>
        </w:rPr>
        <w:t xml:space="preserve"> the acceptance of these was limited by the</w:t>
      </w:r>
      <w:r w:rsidR="006A3324">
        <w:rPr>
          <w:rFonts w:ascii="Arial" w:eastAsiaTheme="minorEastAsia" w:hAnsi="Arial" w:cs="Arial"/>
          <w:color w:val="414042"/>
          <w:sz w:val="24"/>
          <w:szCs w:val="24"/>
        </w:rPr>
        <w:t xml:space="preserve"> additional </w:t>
      </w:r>
      <w:r w:rsidR="00B60E0B">
        <w:rPr>
          <w:rFonts w:ascii="Arial" w:eastAsiaTheme="minorEastAsia" w:hAnsi="Arial" w:cs="Arial"/>
          <w:color w:val="414042"/>
          <w:sz w:val="24"/>
          <w:szCs w:val="24"/>
        </w:rPr>
        <w:t>resources required</w:t>
      </w:r>
      <w:r>
        <w:rPr>
          <w:rFonts w:ascii="Arial" w:eastAsiaTheme="minorEastAsia" w:hAnsi="Arial" w:cs="Arial"/>
          <w:color w:val="414042"/>
          <w:sz w:val="24"/>
          <w:szCs w:val="24"/>
        </w:rPr>
        <w:t xml:space="preserve"> for the</w:t>
      </w:r>
      <w:r w:rsidR="00464F95">
        <w:rPr>
          <w:rFonts w:ascii="Arial" w:eastAsiaTheme="minorEastAsia" w:hAnsi="Arial" w:cs="Arial"/>
          <w:color w:val="414042"/>
          <w:sz w:val="24"/>
          <w:szCs w:val="24"/>
        </w:rPr>
        <w:t>ir implementation</w:t>
      </w:r>
      <w:r>
        <w:rPr>
          <w:rFonts w:ascii="Arial" w:eastAsiaTheme="minorEastAsia" w:hAnsi="Arial" w:cs="Arial"/>
          <w:color w:val="414042"/>
          <w:sz w:val="24"/>
          <w:szCs w:val="24"/>
        </w:rPr>
        <w:t>,</w:t>
      </w:r>
      <w:r w:rsidR="006A3324">
        <w:rPr>
          <w:rStyle w:val="FootnoteReference"/>
          <w:rFonts w:ascii="Arial" w:eastAsiaTheme="minorEastAsia" w:hAnsi="Arial" w:cs="Arial"/>
          <w:color w:val="414042"/>
          <w:sz w:val="24"/>
          <w:szCs w:val="24"/>
        </w:rPr>
        <w:footnoteReference w:id="1"/>
      </w:r>
      <w:r>
        <w:rPr>
          <w:rFonts w:ascii="Arial" w:eastAsiaTheme="minorEastAsia" w:hAnsi="Arial" w:cs="Arial"/>
          <w:color w:val="414042"/>
          <w:sz w:val="24"/>
          <w:szCs w:val="24"/>
        </w:rPr>
        <w:t xml:space="preserve"> for example:</w:t>
      </w:r>
    </w:p>
    <w:p w:rsidR="00AE23B4" w:rsidRDefault="00AE23B4" w:rsidP="008106C5">
      <w:pPr>
        <w:spacing w:line="276" w:lineRule="auto"/>
        <w:ind w:right="-433"/>
        <w:rPr>
          <w:rFonts w:ascii="Arial" w:eastAsiaTheme="minorEastAsia" w:hAnsi="Arial" w:cs="Arial"/>
          <w:color w:val="414042"/>
          <w:sz w:val="24"/>
          <w:szCs w:val="24"/>
        </w:rPr>
      </w:pPr>
    </w:p>
    <w:p w:rsidR="008106C5" w:rsidRDefault="008106C5" w:rsidP="008106C5">
      <w:pPr>
        <w:pStyle w:val="ListParagraph"/>
        <w:numPr>
          <w:ilvl w:val="0"/>
          <w:numId w:val="22"/>
        </w:num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The development of a long term, sustainable children and young people’s Mental Health Transformation Fund taking account of the investment required across all services and sectors in the Stepped Care Model;</w:t>
      </w:r>
    </w:p>
    <w:p w:rsidR="008106C5" w:rsidRDefault="008106C5" w:rsidP="008106C5">
      <w:pPr>
        <w:pStyle w:val="ListParagraph"/>
        <w:numPr>
          <w:ilvl w:val="0"/>
          <w:numId w:val="22"/>
        </w:num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A mandatory programme for mental health training for all professionals</w:t>
      </w:r>
      <w:r w:rsidR="003A780E">
        <w:rPr>
          <w:rFonts w:ascii="Arial" w:eastAsiaTheme="minorEastAsia" w:hAnsi="Arial" w:cs="Arial"/>
          <w:color w:val="414042"/>
          <w:sz w:val="24"/>
          <w:szCs w:val="24"/>
        </w:rPr>
        <w:t xml:space="preserve"> working with children and young people</w:t>
      </w:r>
      <w:r>
        <w:rPr>
          <w:rFonts w:ascii="Arial" w:eastAsiaTheme="minorEastAsia" w:hAnsi="Arial" w:cs="Arial"/>
          <w:color w:val="414042"/>
          <w:sz w:val="24"/>
          <w:szCs w:val="24"/>
        </w:rPr>
        <w:t>;</w:t>
      </w:r>
    </w:p>
    <w:p w:rsidR="008106C5" w:rsidRDefault="008106C5" w:rsidP="008106C5">
      <w:pPr>
        <w:pStyle w:val="ListParagraph"/>
        <w:numPr>
          <w:ilvl w:val="0"/>
          <w:numId w:val="22"/>
        </w:num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Statutory mental health professionals available to every primary and post primary school in Northern Ireland;</w:t>
      </w:r>
    </w:p>
    <w:p w:rsidR="008106C5" w:rsidRDefault="008106C5" w:rsidP="008106C5">
      <w:pPr>
        <w:pStyle w:val="ListParagraph"/>
        <w:numPr>
          <w:ilvl w:val="0"/>
          <w:numId w:val="22"/>
        </w:num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lastRenderedPageBreak/>
        <w:t xml:space="preserve">Services which are currently not available in Northern Ireland </w:t>
      </w:r>
      <w:r w:rsidR="001A25B2">
        <w:rPr>
          <w:rFonts w:ascii="Arial" w:eastAsiaTheme="minorEastAsia" w:hAnsi="Arial" w:cs="Arial"/>
          <w:color w:val="414042"/>
          <w:sz w:val="24"/>
          <w:szCs w:val="24"/>
        </w:rPr>
        <w:t>established</w:t>
      </w:r>
      <w:r>
        <w:rPr>
          <w:rFonts w:ascii="Arial" w:eastAsiaTheme="minorEastAsia" w:hAnsi="Arial" w:cs="Arial"/>
          <w:color w:val="414042"/>
          <w:sz w:val="24"/>
          <w:szCs w:val="24"/>
        </w:rPr>
        <w:t>, to ensure that children and young people receive mental health treatment close to their family, and not through Extra Contractual Referrals</w:t>
      </w:r>
      <w:r w:rsidR="003A780E">
        <w:rPr>
          <w:rFonts w:ascii="Arial" w:eastAsiaTheme="minorEastAsia" w:hAnsi="Arial" w:cs="Arial"/>
          <w:color w:val="414042"/>
          <w:sz w:val="24"/>
          <w:szCs w:val="24"/>
        </w:rPr>
        <w:t xml:space="preserve"> i.e. outside NI</w:t>
      </w:r>
      <w:r>
        <w:rPr>
          <w:rFonts w:ascii="Arial" w:eastAsiaTheme="minorEastAsia" w:hAnsi="Arial" w:cs="Arial"/>
          <w:color w:val="414042"/>
          <w:sz w:val="24"/>
          <w:szCs w:val="24"/>
        </w:rPr>
        <w:t xml:space="preserve">; and </w:t>
      </w:r>
    </w:p>
    <w:p w:rsidR="008106C5" w:rsidRPr="00BD500B" w:rsidRDefault="008106C5" w:rsidP="008106C5">
      <w:pPr>
        <w:pStyle w:val="ListParagraph"/>
        <w:numPr>
          <w:ilvl w:val="0"/>
          <w:numId w:val="22"/>
        </w:num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 xml:space="preserve">Comprehensive mental health and wellbeing education for pupils provided as a core part of the education curriculum. </w:t>
      </w:r>
    </w:p>
    <w:p w:rsidR="008106C5" w:rsidRDefault="008106C5" w:rsidP="008106C5">
      <w:pPr>
        <w:spacing w:line="276" w:lineRule="auto"/>
        <w:ind w:right="-433"/>
        <w:rPr>
          <w:rFonts w:ascii="Arial" w:eastAsiaTheme="minorEastAsia" w:hAnsi="Arial" w:cs="Arial"/>
          <w:color w:val="414042"/>
          <w:sz w:val="24"/>
          <w:szCs w:val="24"/>
        </w:rPr>
      </w:pPr>
    </w:p>
    <w:p w:rsidR="0014131C" w:rsidRDefault="00984E23" w:rsidP="008106C5">
      <w:p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 xml:space="preserve">While NICCY recognises that additional </w:t>
      </w:r>
      <w:r w:rsidR="00371693">
        <w:rPr>
          <w:rFonts w:ascii="Arial" w:eastAsiaTheme="minorEastAsia" w:hAnsi="Arial" w:cs="Arial"/>
          <w:color w:val="414042"/>
          <w:sz w:val="24"/>
          <w:szCs w:val="24"/>
        </w:rPr>
        <w:t>resource</w:t>
      </w:r>
      <w:r>
        <w:rPr>
          <w:rFonts w:ascii="Arial" w:eastAsiaTheme="minorEastAsia" w:hAnsi="Arial" w:cs="Arial"/>
          <w:color w:val="414042"/>
          <w:sz w:val="24"/>
          <w:szCs w:val="24"/>
        </w:rPr>
        <w:t xml:space="preserve">s are required to fully implement </w:t>
      </w:r>
      <w:r w:rsidR="00FF6690">
        <w:rPr>
          <w:rFonts w:ascii="Arial" w:eastAsiaTheme="minorEastAsia" w:hAnsi="Arial" w:cs="Arial"/>
          <w:color w:val="414042"/>
          <w:sz w:val="24"/>
          <w:szCs w:val="24"/>
        </w:rPr>
        <w:t>some</w:t>
      </w:r>
      <w:r>
        <w:rPr>
          <w:rFonts w:ascii="Arial" w:eastAsiaTheme="minorEastAsia" w:hAnsi="Arial" w:cs="Arial"/>
          <w:color w:val="414042"/>
          <w:sz w:val="24"/>
          <w:szCs w:val="24"/>
        </w:rPr>
        <w:t xml:space="preserve"> of these recommendations, </w:t>
      </w:r>
      <w:r w:rsidR="00FF6690">
        <w:rPr>
          <w:rFonts w:ascii="Arial" w:eastAsiaTheme="minorEastAsia" w:hAnsi="Arial" w:cs="Arial"/>
          <w:color w:val="414042"/>
          <w:sz w:val="24"/>
          <w:szCs w:val="24"/>
        </w:rPr>
        <w:t>in most cases</w:t>
      </w:r>
      <w:r w:rsidR="00166D0C">
        <w:rPr>
          <w:rFonts w:ascii="Arial" w:eastAsiaTheme="minorEastAsia" w:hAnsi="Arial" w:cs="Arial"/>
          <w:color w:val="414042"/>
          <w:sz w:val="24"/>
          <w:szCs w:val="24"/>
        </w:rPr>
        <w:t xml:space="preserve"> progress can be made without further </w:t>
      </w:r>
      <w:r w:rsidR="009C2EB2">
        <w:rPr>
          <w:rFonts w:ascii="Arial" w:eastAsiaTheme="minorEastAsia" w:hAnsi="Arial" w:cs="Arial"/>
          <w:color w:val="414042"/>
          <w:sz w:val="24"/>
          <w:szCs w:val="24"/>
        </w:rPr>
        <w:t xml:space="preserve">resources </w:t>
      </w:r>
      <w:r w:rsidR="003A780E">
        <w:rPr>
          <w:rFonts w:ascii="Arial" w:eastAsiaTheme="minorEastAsia" w:hAnsi="Arial" w:cs="Arial"/>
          <w:color w:val="414042"/>
          <w:sz w:val="24"/>
          <w:szCs w:val="24"/>
        </w:rPr>
        <w:t>but rather change in practice</w:t>
      </w:r>
      <w:r w:rsidR="00B95DC9">
        <w:rPr>
          <w:rFonts w:ascii="Arial" w:eastAsiaTheme="minorEastAsia" w:hAnsi="Arial" w:cs="Arial"/>
          <w:color w:val="414042"/>
          <w:sz w:val="24"/>
          <w:szCs w:val="24"/>
        </w:rPr>
        <w:t>.</w:t>
      </w:r>
      <w:r w:rsidR="00166D0C">
        <w:rPr>
          <w:rFonts w:ascii="Arial" w:eastAsiaTheme="minorEastAsia" w:hAnsi="Arial" w:cs="Arial"/>
          <w:color w:val="414042"/>
          <w:sz w:val="24"/>
          <w:szCs w:val="24"/>
        </w:rPr>
        <w:t xml:space="preserve"> We also have an expectation that the relevant Departments will proceed to calculate the </w:t>
      </w:r>
      <w:r w:rsidR="009C2EB2">
        <w:rPr>
          <w:rFonts w:ascii="Arial" w:eastAsiaTheme="minorEastAsia" w:hAnsi="Arial" w:cs="Arial"/>
          <w:color w:val="414042"/>
          <w:sz w:val="24"/>
          <w:szCs w:val="24"/>
        </w:rPr>
        <w:t xml:space="preserve">investment </w:t>
      </w:r>
      <w:r w:rsidR="00166D0C">
        <w:rPr>
          <w:rFonts w:ascii="Arial" w:eastAsiaTheme="minorEastAsia" w:hAnsi="Arial" w:cs="Arial"/>
          <w:color w:val="414042"/>
          <w:sz w:val="24"/>
          <w:szCs w:val="24"/>
        </w:rPr>
        <w:t xml:space="preserve">required to deliver on these recommendations and to bid for these </w:t>
      </w:r>
      <w:r w:rsidR="006F409E">
        <w:rPr>
          <w:rFonts w:ascii="Arial" w:eastAsiaTheme="minorEastAsia" w:hAnsi="Arial" w:cs="Arial"/>
          <w:color w:val="414042"/>
          <w:sz w:val="24"/>
          <w:szCs w:val="24"/>
        </w:rPr>
        <w:t>to ensure that the additional funds are allocated</w:t>
      </w:r>
      <w:r w:rsidR="0014131C">
        <w:rPr>
          <w:rFonts w:ascii="Arial" w:eastAsiaTheme="minorEastAsia" w:hAnsi="Arial" w:cs="Arial"/>
          <w:color w:val="414042"/>
          <w:sz w:val="24"/>
          <w:szCs w:val="24"/>
        </w:rPr>
        <w:t>.</w:t>
      </w:r>
      <w:r w:rsidR="009C2EB2">
        <w:rPr>
          <w:rFonts w:ascii="Arial" w:eastAsiaTheme="minorEastAsia" w:hAnsi="Arial" w:cs="Arial"/>
          <w:color w:val="414042"/>
          <w:sz w:val="24"/>
          <w:szCs w:val="24"/>
        </w:rPr>
        <w:t xml:space="preserve"> Moreover, it is critical that conc</w:t>
      </w:r>
      <w:r w:rsidR="0001682B">
        <w:rPr>
          <w:rFonts w:ascii="Arial" w:eastAsiaTheme="minorEastAsia" w:hAnsi="Arial" w:cs="Arial"/>
          <w:color w:val="414042"/>
          <w:sz w:val="24"/>
          <w:szCs w:val="24"/>
        </w:rPr>
        <w:t xml:space="preserve">erted action is taken to ensure that a </w:t>
      </w:r>
      <w:r w:rsidR="00371693">
        <w:rPr>
          <w:rFonts w:ascii="Arial" w:eastAsiaTheme="minorEastAsia" w:hAnsi="Arial" w:cs="Arial"/>
          <w:color w:val="414042"/>
          <w:sz w:val="24"/>
          <w:szCs w:val="24"/>
        </w:rPr>
        <w:t>sufficient</w:t>
      </w:r>
      <w:r w:rsidR="0001682B">
        <w:rPr>
          <w:rFonts w:ascii="Arial" w:eastAsiaTheme="minorEastAsia" w:hAnsi="Arial" w:cs="Arial"/>
          <w:color w:val="414042"/>
          <w:sz w:val="24"/>
          <w:szCs w:val="24"/>
        </w:rPr>
        <w:t xml:space="preserve"> and suitably qualified workforce is in place to </w:t>
      </w:r>
      <w:r w:rsidR="00371693">
        <w:rPr>
          <w:rFonts w:ascii="Arial" w:eastAsiaTheme="minorEastAsia" w:hAnsi="Arial" w:cs="Arial"/>
          <w:color w:val="414042"/>
          <w:sz w:val="24"/>
          <w:szCs w:val="24"/>
        </w:rPr>
        <w:t>deliver</w:t>
      </w:r>
      <w:r w:rsidR="0001682B">
        <w:rPr>
          <w:rFonts w:ascii="Arial" w:eastAsiaTheme="minorEastAsia" w:hAnsi="Arial" w:cs="Arial"/>
          <w:color w:val="414042"/>
          <w:sz w:val="24"/>
          <w:szCs w:val="24"/>
        </w:rPr>
        <w:t xml:space="preserve"> services as required to meet the recommendations. </w:t>
      </w:r>
    </w:p>
    <w:p w:rsidR="00E775F9" w:rsidRDefault="00B95DC9" w:rsidP="008106C5">
      <w:p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Eleven recommendations</w:t>
      </w:r>
      <w:r w:rsidR="0014131C">
        <w:rPr>
          <w:rFonts w:ascii="Arial" w:eastAsiaTheme="minorEastAsia" w:hAnsi="Arial" w:cs="Arial"/>
          <w:color w:val="414042"/>
          <w:sz w:val="24"/>
          <w:szCs w:val="24"/>
        </w:rPr>
        <w:t xml:space="preserve"> </w:t>
      </w:r>
      <w:r w:rsidR="008106C5">
        <w:rPr>
          <w:rFonts w:ascii="Arial" w:eastAsiaTheme="minorEastAsia" w:hAnsi="Arial" w:cs="Arial"/>
          <w:color w:val="414042"/>
          <w:sz w:val="24"/>
          <w:szCs w:val="24"/>
        </w:rPr>
        <w:t xml:space="preserve">were </w:t>
      </w:r>
      <w:r w:rsidR="0014131C">
        <w:rPr>
          <w:rFonts w:ascii="Arial" w:eastAsiaTheme="minorEastAsia" w:hAnsi="Arial" w:cs="Arial"/>
          <w:color w:val="414042"/>
          <w:sz w:val="24"/>
          <w:szCs w:val="24"/>
        </w:rPr>
        <w:t>indicated to be ‘</w:t>
      </w:r>
      <w:r w:rsidR="008106C5">
        <w:rPr>
          <w:rFonts w:ascii="Arial" w:eastAsiaTheme="minorEastAsia" w:hAnsi="Arial" w:cs="Arial"/>
          <w:color w:val="414042"/>
          <w:sz w:val="24"/>
          <w:szCs w:val="24"/>
        </w:rPr>
        <w:t>still under consideration</w:t>
      </w:r>
      <w:r w:rsidR="0014131C">
        <w:rPr>
          <w:rFonts w:ascii="Arial" w:eastAsiaTheme="minorEastAsia" w:hAnsi="Arial" w:cs="Arial"/>
          <w:color w:val="414042"/>
          <w:sz w:val="24"/>
          <w:szCs w:val="24"/>
        </w:rPr>
        <w:t>’</w:t>
      </w:r>
      <w:r w:rsidR="00E775F9">
        <w:rPr>
          <w:rFonts w:ascii="Arial" w:eastAsiaTheme="minorEastAsia" w:hAnsi="Arial" w:cs="Arial"/>
          <w:color w:val="414042"/>
          <w:sz w:val="24"/>
          <w:szCs w:val="24"/>
        </w:rPr>
        <w:t xml:space="preserve">, for a range of reasons. In some cases, where a particular delivery mechanism was proposed, the IDG </w:t>
      </w:r>
      <w:r w:rsidR="0016521C">
        <w:rPr>
          <w:rFonts w:ascii="Arial" w:eastAsiaTheme="minorEastAsia" w:hAnsi="Arial" w:cs="Arial"/>
          <w:color w:val="414042"/>
          <w:sz w:val="24"/>
          <w:szCs w:val="24"/>
        </w:rPr>
        <w:t>stated that it could progress this through an alternative, existing mechanism. An example of this is the recommendation proposing the introduction of Community Mental Health Fora</w:t>
      </w:r>
      <w:r w:rsidR="001A25B2">
        <w:rPr>
          <w:rFonts w:ascii="Arial" w:eastAsiaTheme="minorEastAsia" w:hAnsi="Arial" w:cs="Arial"/>
          <w:color w:val="414042"/>
          <w:sz w:val="24"/>
          <w:szCs w:val="24"/>
        </w:rPr>
        <w:t xml:space="preserve"> across Northern Ireland, bringing</w:t>
      </w:r>
      <w:r w:rsidR="0016521C">
        <w:rPr>
          <w:rFonts w:ascii="Arial" w:eastAsiaTheme="minorEastAsia" w:hAnsi="Arial" w:cs="Arial"/>
          <w:color w:val="414042"/>
          <w:sz w:val="24"/>
          <w:szCs w:val="24"/>
        </w:rPr>
        <w:t xml:space="preserve"> GPs and VCS </w:t>
      </w:r>
      <w:r w:rsidR="00E6353E">
        <w:rPr>
          <w:rFonts w:ascii="Arial" w:eastAsiaTheme="minorEastAsia" w:hAnsi="Arial" w:cs="Arial"/>
          <w:color w:val="414042"/>
          <w:sz w:val="24"/>
          <w:szCs w:val="24"/>
        </w:rPr>
        <w:t>organisations</w:t>
      </w:r>
      <w:r w:rsidR="0016521C">
        <w:rPr>
          <w:rFonts w:ascii="Arial" w:eastAsiaTheme="minorEastAsia" w:hAnsi="Arial" w:cs="Arial"/>
          <w:color w:val="414042"/>
          <w:sz w:val="24"/>
          <w:szCs w:val="24"/>
        </w:rPr>
        <w:t xml:space="preserve"> together to develop</w:t>
      </w:r>
      <w:r w:rsidR="00E6353E">
        <w:rPr>
          <w:rFonts w:ascii="Arial" w:eastAsiaTheme="minorEastAsia" w:hAnsi="Arial" w:cs="Arial"/>
          <w:color w:val="414042"/>
          <w:sz w:val="24"/>
          <w:szCs w:val="24"/>
        </w:rPr>
        <w:t xml:space="preserve"> local relationships and exchange local knowledge. </w:t>
      </w:r>
      <w:r w:rsidR="00F4011A">
        <w:rPr>
          <w:rFonts w:ascii="Arial" w:eastAsiaTheme="minorEastAsia" w:hAnsi="Arial" w:cs="Arial"/>
          <w:color w:val="414042"/>
          <w:sz w:val="24"/>
          <w:szCs w:val="24"/>
        </w:rPr>
        <w:t xml:space="preserve">The IDG suggested that the existing </w:t>
      </w:r>
      <w:r w:rsidR="00FF6690">
        <w:rPr>
          <w:rFonts w:ascii="Arial" w:eastAsiaTheme="minorEastAsia" w:hAnsi="Arial" w:cs="Arial"/>
          <w:color w:val="414042"/>
          <w:sz w:val="24"/>
          <w:szCs w:val="24"/>
        </w:rPr>
        <w:t>Integrated Care Partnerships (ICPs)</w:t>
      </w:r>
      <w:r w:rsidR="00F4011A">
        <w:rPr>
          <w:rFonts w:ascii="Arial" w:eastAsiaTheme="minorEastAsia" w:hAnsi="Arial" w:cs="Arial"/>
          <w:color w:val="414042"/>
          <w:sz w:val="24"/>
          <w:szCs w:val="24"/>
        </w:rPr>
        <w:t xml:space="preserve"> and L</w:t>
      </w:r>
      <w:r w:rsidR="00547BE3">
        <w:rPr>
          <w:rFonts w:ascii="Arial" w:eastAsiaTheme="minorEastAsia" w:hAnsi="Arial" w:cs="Arial"/>
          <w:color w:val="414042"/>
          <w:sz w:val="24"/>
          <w:szCs w:val="24"/>
        </w:rPr>
        <w:t xml:space="preserve">ocal </w:t>
      </w:r>
      <w:r w:rsidR="00F4011A">
        <w:rPr>
          <w:rFonts w:ascii="Arial" w:eastAsiaTheme="minorEastAsia" w:hAnsi="Arial" w:cs="Arial"/>
          <w:color w:val="414042"/>
          <w:sz w:val="24"/>
          <w:szCs w:val="24"/>
        </w:rPr>
        <w:t>C</w:t>
      </w:r>
      <w:r w:rsidR="00547BE3">
        <w:rPr>
          <w:rFonts w:ascii="Arial" w:eastAsiaTheme="minorEastAsia" w:hAnsi="Arial" w:cs="Arial"/>
          <w:color w:val="414042"/>
          <w:sz w:val="24"/>
          <w:szCs w:val="24"/>
        </w:rPr>
        <w:t xml:space="preserve">ommissioning </w:t>
      </w:r>
      <w:r w:rsidR="00F4011A">
        <w:rPr>
          <w:rFonts w:ascii="Arial" w:eastAsiaTheme="minorEastAsia" w:hAnsi="Arial" w:cs="Arial"/>
          <w:color w:val="414042"/>
          <w:sz w:val="24"/>
          <w:szCs w:val="24"/>
        </w:rPr>
        <w:t>G</w:t>
      </w:r>
      <w:r w:rsidR="00547BE3">
        <w:rPr>
          <w:rFonts w:ascii="Arial" w:eastAsiaTheme="minorEastAsia" w:hAnsi="Arial" w:cs="Arial"/>
          <w:color w:val="414042"/>
          <w:sz w:val="24"/>
          <w:szCs w:val="24"/>
        </w:rPr>
        <w:t>roup</w:t>
      </w:r>
      <w:r w:rsidR="00F4011A">
        <w:rPr>
          <w:rFonts w:ascii="Arial" w:eastAsiaTheme="minorEastAsia" w:hAnsi="Arial" w:cs="Arial"/>
          <w:color w:val="414042"/>
          <w:sz w:val="24"/>
          <w:szCs w:val="24"/>
        </w:rPr>
        <w:t xml:space="preserve">s could play this role, but it is not clear that these are appropriate fora. </w:t>
      </w:r>
    </w:p>
    <w:p w:rsidR="001317BA" w:rsidRDefault="001317BA" w:rsidP="008106C5">
      <w:pPr>
        <w:spacing w:line="276" w:lineRule="auto"/>
        <w:ind w:right="-433"/>
        <w:rPr>
          <w:rFonts w:ascii="Arial" w:eastAsiaTheme="minorEastAsia" w:hAnsi="Arial" w:cs="Arial"/>
          <w:color w:val="414042"/>
          <w:sz w:val="24"/>
          <w:szCs w:val="24"/>
        </w:rPr>
      </w:pPr>
    </w:p>
    <w:p w:rsidR="001317BA" w:rsidRPr="00A42D4E" w:rsidRDefault="001317BA" w:rsidP="008106C5">
      <w:pPr>
        <w:spacing w:line="276" w:lineRule="auto"/>
        <w:ind w:right="-433"/>
        <w:rPr>
          <w:rFonts w:ascii="Arial" w:eastAsiaTheme="minorEastAsia" w:hAnsi="Arial" w:cs="Arial"/>
          <w:i/>
          <w:color w:val="414042"/>
          <w:sz w:val="24"/>
          <w:szCs w:val="24"/>
        </w:rPr>
      </w:pPr>
      <w:r>
        <w:rPr>
          <w:rFonts w:ascii="Arial" w:eastAsiaTheme="minorEastAsia" w:hAnsi="Arial" w:cs="Arial"/>
          <w:color w:val="414042"/>
          <w:sz w:val="24"/>
          <w:szCs w:val="24"/>
        </w:rPr>
        <w:t xml:space="preserve">Given the difficulties experienced in seeking administrative data to inform Still Waiting, </w:t>
      </w:r>
      <w:r w:rsidR="00DA240A">
        <w:rPr>
          <w:rFonts w:ascii="Arial" w:eastAsiaTheme="minorEastAsia" w:hAnsi="Arial" w:cs="Arial"/>
          <w:color w:val="414042"/>
          <w:sz w:val="24"/>
          <w:szCs w:val="24"/>
        </w:rPr>
        <w:t xml:space="preserve">the recommendation relating to the full implementation of the CAMHS Dataset across each Health and Social Care Trust is particularly critical and it is a matter of concern that this was marked as ‘Still considering’. </w:t>
      </w:r>
      <w:r w:rsidR="007E2CF5">
        <w:rPr>
          <w:rFonts w:ascii="Arial" w:eastAsiaTheme="minorEastAsia" w:hAnsi="Arial" w:cs="Arial"/>
          <w:color w:val="414042"/>
          <w:sz w:val="24"/>
          <w:szCs w:val="24"/>
        </w:rPr>
        <w:t xml:space="preserve">The </w:t>
      </w:r>
      <w:proofErr w:type="spellStart"/>
      <w:r w:rsidR="007E2CF5">
        <w:rPr>
          <w:rFonts w:ascii="Arial" w:eastAsiaTheme="minorEastAsia" w:hAnsi="Arial" w:cs="Arial"/>
          <w:color w:val="414042"/>
          <w:sz w:val="24"/>
          <w:szCs w:val="24"/>
        </w:rPr>
        <w:t>DoH</w:t>
      </w:r>
      <w:proofErr w:type="spellEnd"/>
      <w:r w:rsidR="007E2CF5">
        <w:rPr>
          <w:rFonts w:ascii="Arial" w:eastAsiaTheme="minorEastAsia" w:hAnsi="Arial" w:cs="Arial"/>
          <w:color w:val="414042"/>
          <w:sz w:val="24"/>
          <w:szCs w:val="24"/>
        </w:rPr>
        <w:t xml:space="preserve"> </w:t>
      </w:r>
      <w:r w:rsidR="00AE756A">
        <w:rPr>
          <w:rFonts w:ascii="Arial" w:eastAsiaTheme="minorEastAsia" w:hAnsi="Arial" w:cs="Arial"/>
          <w:color w:val="414042"/>
          <w:sz w:val="24"/>
          <w:szCs w:val="24"/>
        </w:rPr>
        <w:t>informed NICCY</w:t>
      </w:r>
      <w:r w:rsidR="007E2CF5">
        <w:rPr>
          <w:rFonts w:ascii="Arial" w:eastAsiaTheme="minorEastAsia" w:hAnsi="Arial" w:cs="Arial"/>
          <w:color w:val="414042"/>
          <w:sz w:val="24"/>
          <w:szCs w:val="24"/>
        </w:rPr>
        <w:t xml:space="preserve"> that</w:t>
      </w:r>
      <w:r w:rsidR="00AE756A">
        <w:rPr>
          <w:rFonts w:ascii="Arial" w:eastAsiaTheme="minorEastAsia" w:hAnsi="Arial" w:cs="Arial"/>
          <w:color w:val="414042"/>
          <w:sz w:val="24"/>
          <w:szCs w:val="24"/>
        </w:rPr>
        <w:t xml:space="preserve"> the</w:t>
      </w:r>
      <w:r w:rsidR="007E2CF5">
        <w:rPr>
          <w:rFonts w:ascii="Arial" w:eastAsiaTheme="minorEastAsia" w:hAnsi="Arial" w:cs="Arial"/>
          <w:color w:val="414042"/>
          <w:sz w:val="24"/>
          <w:szCs w:val="24"/>
        </w:rPr>
        <w:t xml:space="preserve"> Transformation</w:t>
      </w:r>
      <w:r w:rsidR="00AE756A">
        <w:rPr>
          <w:rFonts w:ascii="Arial" w:eastAsiaTheme="minorEastAsia" w:hAnsi="Arial" w:cs="Arial"/>
          <w:color w:val="414042"/>
          <w:sz w:val="24"/>
          <w:szCs w:val="24"/>
        </w:rPr>
        <w:t xml:space="preserve"> / Confidence and Supply</w:t>
      </w:r>
      <w:r w:rsidR="007E2CF5">
        <w:rPr>
          <w:rFonts w:ascii="Arial" w:eastAsiaTheme="minorEastAsia" w:hAnsi="Arial" w:cs="Arial"/>
          <w:color w:val="414042"/>
          <w:sz w:val="24"/>
          <w:szCs w:val="24"/>
        </w:rPr>
        <w:t xml:space="preserve"> funding that had been allocated </w:t>
      </w:r>
      <w:r w:rsidR="00F16A74">
        <w:rPr>
          <w:rFonts w:ascii="Arial" w:eastAsiaTheme="minorEastAsia" w:hAnsi="Arial" w:cs="Arial"/>
          <w:color w:val="414042"/>
          <w:sz w:val="24"/>
          <w:szCs w:val="24"/>
        </w:rPr>
        <w:t xml:space="preserve">to this </w:t>
      </w:r>
      <w:r w:rsidR="0091062C">
        <w:rPr>
          <w:rFonts w:ascii="Arial" w:eastAsiaTheme="minorEastAsia" w:hAnsi="Arial" w:cs="Arial"/>
          <w:color w:val="414042"/>
          <w:sz w:val="24"/>
          <w:szCs w:val="24"/>
        </w:rPr>
        <w:t>in 2018-19 was non-recurrent and had not been reallocated in 2019-20.</w:t>
      </w:r>
      <w:r w:rsidR="00F16A74">
        <w:rPr>
          <w:rStyle w:val="FootnoteReference"/>
          <w:rFonts w:ascii="Arial" w:eastAsiaTheme="minorEastAsia" w:hAnsi="Arial" w:cs="Arial"/>
          <w:color w:val="414042"/>
          <w:sz w:val="24"/>
          <w:szCs w:val="24"/>
        </w:rPr>
        <w:footnoteReference w:id="2"/>
      </w:r>
      <w:r w:rsidR="0091062C">
        <w:rPr>
          <w:rFonts w:ascii="Arial" w:eastAsiaTheme="minorEastAsia" w:hAnsi="Arial" w:cs="Arial"/>
          <w:color w:val="414042"/>
          <w:sz w:val="24"/>
          <w:szCs w:val="24"/>
        </w:rPr>
        <w:t xml:space="preserve"> </w:t>
      </w:r>
    </w:p>
    <w:p w:rsidR="00E775F9" w:rsidRDefault="00E775F9" w:rsidP="008106C5">
      <w:pPr>
        <w:spacing w:line="276" w:lineRule="auto"/>
        <w:ind w:right="-433"/>
        <w:rPr>
          <w:rFonts w:ascii="Arial" w:eastAsiaTheme="minorEastAsia" w:hAnsi="Arial" w:cs="Arial"/>
          <w:color w:val="414042"/>
          <w:sz w:val="24"/>
          <w:szCs w:val="24"/>
        </w:rPr>
      </w:pPr>
    </w:p>
    <w:p w:rsidR="008106C5" w:rsidRDefault="00A42D4E" w:rsidP="008106C5">
      <w:p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Only one recommendation was rejected</w:t>
      </w:r>
      <w:r w:rsidR="008106C5">
        <w:rPr>
          <w:rFonts w:ascii="Arial" w:eastAsiaTheme="minorEastAsia" w:hAnsi="Arial" w:cs="Arial"/>
          <w:color w:val="414042"/>
          <w:sz w:val="24"/>
          <w:szCs w:val="24"/>
        </w:rPr>
        <w:t xml:space="preserve">: ‘Develop a children and young people specific </w:t>
      </w:r>
      <w:r w:rsidR="003A780E">
        <w:rPr>
          <w:rFonts w:ascii="Arial" w:eastAsiaTheme="minorEastAsia" w:hAnsi="Arial" w:cs="Arial"/>
          <w:color w:val="414042"/>
          <w:sz w:val="24"/>
          <w:szCs w:val="24"/>
        </w:rPr>
        <w:t>r</w:t>
      </w:r>
      <w:r w:rsidR="008106C5">
        <w:rPr>
          <w:rFonts w:ascii="Arial" w:eastAsiaTheme="minorEastAsia" w:hAnsi="Arial" w:cs="Arial"/>
          <w:color w:val="414042"/>
          <w:sz w:val="24"/>
          <w:szCs w:val="24"/>
        </w:rPr>
        <w:t xml:space="preserve">egional Integrated Elective Access Protocol (IEAP).’ </w:t>
      </w:r>
      <w:r>
        <w:rPr>
          <w:rFonts w:ascii="Arial" w:eastAsiaTheme="minorEastAsia" w:hAnsi="Arial" w:cs="Arial"/>
          <w:color w:val="414042"/>
          <w:sz w:val="24"/>
          <w:szCs w:val="24"/>
        </w:rPr>
        <w:t>The</w:t>
      </w:r>
      <w:r w:rsidR="008106C5">
        <w:rPr>
          <w:rFonts w:ascii="Arial" w:eastAsiaTheme="minorEastAsia" w:hAnsi="Arial" w:cs="Arial"/>
          <w:color w:val="414042"/>
          <w:sz w:val="24"/>
          <w:szCs w:val="24"/>
        </w:rPr>
        <w:t xml:space="preserve"> IDG agreed to consider changing the </w:t>
      </w:r>
      <w:r>
        <w:rPr>
          <w:rFonts w:ascii="Arial" w:eastAsiaTheme="minorEastAsia" w:hAnsi="Arial" w:cs="Arial"/>
          <w:color w:val="414042"/>
          <w:sz w:val="24"/>
          <w:szCs w:val="24"/>
        </w:rPr>
        <w:t xml:space="preserve">existing </w:t>
      </w:r>
      <w:r w:rsidR="008106C5">
        <w:rPr>
          <w:rFonts w:ascii="Arial" w:eastAsiaTheme="minorEastAsia" w:hAnsi="Arial" w:cs="Arial"/>
          <w:color w:val="414042"/>
          <w:sz w:val="24"/>
          <w:szCs w:val="24"/>
        </w:rPr>
        <w:t>general IEAP to address issues raised in the report</w:t>
      </w:r>
      <w:r>
        <w:rPr>
          <w:rFonts w:ascii="Arial" w:eastAsiaTheme="minorEastAsia" w:hAnsi="Arial" w:cs="Arial"/>
          <w:color w:val="414042"/>
          <w:sz w:val="24"/>
          <w:szCs w:val="24"/>
        </w:rPr>
        <w:t xml:space="preserve"> specific to young people. On </w:t>
      </w:r>
      <w:r>
        <w:rPr>
          <w:rFonts w:ascii="Arial" w:eastAsiaTheme="minorEastAsia" w:hAnsi="Arial" w:cs="Arial"/>
          <w:color w:val="414042"/>
          <w:sz w:val="24"/>
          <w:szCs w:val="24"/>
        </w:rPr>
        <w:lastRenderedPageBreak/>
        <w:t>discussion, it was agreed that this then had not been rejected, but would be implemented through an alternative approach</w:t>
      </w:r>
      <w:r w:rsidR="008106C5">
        <w:rPr>
          <w:rFonts w:ascii="Arial" w:eastAsiaTheme="minorEastAsia" w:hAnsi="Arial" w:cs="Arial"/>
          <w:color w:val="414042"/>
          <w:sz w:val="24"/>
          <w:szCs w:val="24"/>
        </w:rPr>
        <w:t xml:space="preserve">. </w:t>
      </w:r>
    </w:p>
    <w:p w:rsidR="008106C5" w:rsidRDefault="008106C5" w:rsidP="008106C5">
      <w:pPr>
        <w:spacing w:line="276" w:lineRule="auto"/>
        <w:ind w:right="-433"/>
        <w:rPr>
          <w:rFonts w:ascii="Arial" w:eastAsiaTheme="minorEastAsia" w:hAnsi="Arial" w:cs="Arial"/>
          <w:color w:val="414042"/>
          <w:sz w:val="24"/>
          <w:szCs w:val="24"/>
        </w:rPr>
      </w:pPr>
    </w:p>
    <w:p w:rsidR="002601F1" w:rsidRDefault="009B4098" w:rsidP="00894486">
      <w:pPr>
        <w:spacing w:line="276" w:lineRule="auto"/>
        <w:ind w:right="-433"/>
        <w:rPr>
          <w:rFonts w:ascii="Arial" w:eastAsiaTheme="minorEastAsia" w:hAnsi="Arial" w:cs="Arial"/>
          <w:b/>
          <w:color w:val="414042"/>
          <w:sz w:val="24"/>
          <w:szCs w:val="24"/>
        </w:rPr>
      </w:pPr>
      <w:r>
        <w:rPr>
          <w:rFonts w:ascii="Arial" w:eastAsiaTheme="minorEastAsia" w:hAnsi="Arial" w:cs="Arial"/>
          <w:b/>
          <w:color w:val="414042"/>
          <w:sz w:val="24"/>
          <w:szCs w:val="24"/>
        </w:rPr>
        <w:t xml:space="preserve">The </w:t>
      </w:r>
      <w:r w:rsidR="002601F1" w:rsidRPr="002601F1">
        <w:rPr>
          <w:rFonts w:ascii="Arial" w:eastAsiaTheme="minorEastAsia" w:hAnsi="Arial" w:cs="Arial"/>
          <w:b/>
          <w:color w:val="414042"/>
          <w:sz w:val="24"/>
          <w:szCs w:val="24"/>
        </w:rPr>
        <w:t xml:space="preserve">IDG </w:t>
      </w:r>
      <w:r>
        <w:rPr>
          <w:rFonts w:ascii="Arial" w:eastAsiaTheme="minorEastAsia" w:hAnsi="Arial" w:cs="Arial"/>
          <w:b/>
          <w:color w:val="414042"/>
          <w:sz w:val="24"/>
          <w:szCs w:val="24"/>
        </w:rPr>
        <w:t>Action Plan</w:t>
      </w:r>
    </w:p>
    <w:p w:rsidR="001D7538" w:rsidRPr="001D7538" w:rsidRDefault="00117B06" w:rsidP="001D7538">
      <w:pPr>
        <w:pStyle w:val="NICCYBodyText"/>
        <w:rPr>
          <w:rStyle w:val="NICCYBodyTextChar"/>
          <w:rFonts w:ascii="Arial" w:hAnsi="Arial" w:cs="Arial"/>
          <w:color w:val="414042"/>
        </w:rPr>
      </w:pPr>
      <w:r>
        <w:t>As the IDG was developing its Action Plan,</w:t>
      </w:r>
      <w:r w:rsidR="00575069" w:rsidRPr="001D7538">
        <w:t xml:space="preserve"> </w:t>
      </w:r>
      <w:r w:rsidR="006F51CE" w:rsidRPr="001D7538">
        <w:t xml:space="preserve">NICCY </w:t>
      </w:r>
      <w:r>
        <w:t xml:space="preserve">was asked </w:t>
      </w:r>
      <w:r w:rsidR="006F51CE" w:rsidRPr="001D7538">
        <w:t xml:space="preserve">to identify </w:t>
      </w:r>
      <w:r w:rsidR="00575069" w:rsidRPr="001D7538">
        <w:t xml:space="preserve">priorities </w:t>
      </w:r>
      <w:r w:rsidR="001A25B2">
        <w:t>that should be implemented first</w:t>
      </w:r>
      <w:r w:rsidR="00B11A9F">
        <w:t xml:space="preserve">. </w:t>
      </w:r>
      <w:r w:rsidR="006F51CE" w:rsidRPr="001D7538">
        <w:rPr>
          <w:rStyle w:val="NICCYBodyTextChar"/>
          <w:rFonts w:ascii="Arial" w:hAnsi="Arial" w:cs="Arial"/>
          <w:color w:val="414042"/>
        </w:rPr>
        <w:t xml:space="preserve"> </w:t>
      </w:r>
      <w:r w:rsidR="001D7538" w:rsidRPr="001D7538">
        <w:rPr>
          <w:rStyle w:val="NICCYBodyTextChar"/>
          <w:rFonts w:ascii="Arial" w:hAnsi="Arial" w:cs="Arial"/>
          <w:color w:val="414042"/>
        </w:rPr>
        <w:t xml:space="preserve">In recognition of the fact that recommendations may need to be addressed on a phased basis, we outlined </w:t>
      </w:r>
      <w:r>
        <w:rPr>
          <w:rStyle w:val="NICCYBodyTextChar"/>
          <w:rFonts w:ascii="Arial" w:hAnsi="Arial" w:cs="Arial"/>
          <w:color w:val="414042"/>
        </w:rPr>
        <w:t>those</w:t>
      </w:r>
      <w:r w:rsidR="001D7538" w:rsidRPr="001D7538">
        <w:rPr>
          <w:rStyle w:val="NICCYBodyTextChar"/>
          <w:rFonts w:ascii="Arial" w:hAnsi="Arial" w:cs="Arial"/>
          <w:color w:val="414042"/>
        </w:rPr>
        <w:t xml:space="preserve"> that we would </w:t>
      </w:r>
      <w:r w:rsidR="00BD2723">
        <w:rPr>
          <w:rStyle w:val="NICCYBodyTextChar"/>
          <w:rFonts w:ascii="Arial" w:hAnsi="Arial" w:cs="Arial"/>
          <w:color w:val="414042"/>
        </w:rPr>
        <w:t>advise prioritising</w:t>
      </w:r>
      <w:r w:rsidR="001D7538" w:rsidRPr="001D7538">
        <w:rPr>
          <w:rStyle w:val="NICCYBodyTextChar"/>
          <w:rFonts w:ascii="Arial" w:hAnsi="Arial" w:cs="Arial"/>
          <w:color w:val="414042"/>
        </w:rPr>
        <w:t xml:space="preserve"> at this stage with reasons for choosing these. </w:t>
      </w:r>
    </w:p>
    <w:p w:rsidR="001D7538" w:rsidRPr="00FE0D5F" w:rsidRDefault="001D7538" w:rsidP="001D7538">
      <w:pPr>
        <w:pStyle w:val="NICCYHeading"/>
        <w:ind w:right="-7"/>
        <w:rPr>
          <w:sz w:val="16"/>
          <w:szCs w:val="16"/>
        </w:rPr>
      </w:pPr>
    </w:p>
    <w:p w:rsidR="001D7538" w:rsidRPr="001D7538" w:rsidRDefault="001D7538" w:rsidP="001D7538">
      <w:pPr>
        <w:pStyle w:val="NICCYBodyText"/>
        <w:rPr>
          <w:u w:val="single"/>
        </w:rPr>
      </w:pPr>
      <w:r w:rsidRPr="001D7538">
        <w:rPr>
          <w:u w:val="single"/>
        </w:rPr>
        <w:t>Data and Funding – Sub group 1: Working Together (Rec 1 and 47)</w:t>
      </w:r>
    </w:p>
    <w:p w:rsidR="001D7538" w:rsidRPr="0069096D" w:rsidRDefault="001D7538" w:rsidP="001D7538">
      <w:pPr>
        <w:pStyle w:val="NICCYHeading"/>
        <w:numPr>
          <w:ilvl w:val="0"/>
          <w:numId w:val="24"/>
        </w:numPr>
        <w:ind w:right="-7"/>
        <w:rPr>
          <w:b w:val="0"/>
          <w:color w:val="414042"/>
          <w:sz w:val="24"/>
          <w:szCs w:val="24"/>
        </w:rPr>
      </w:pPr>
      <w:r w:rsidRPr="0069096D">
        <w:rPr>
          <w:b w:val="0"/>
          <w:color w:val="414042"/>
          <w:sz w:val="24"/>
          <w:szCs w:val="24"/>
        </w:rPr>
        <w:t xml:space="preserve">Addressing gaps in </w:t>
      </w:r>
      <w:r>
        <w:rPr>
          <w:b w:val="0"/>
          <w:color w:val="414042"/>
          <w:sz w:val="24"/>
          <w:szCs w:val="24"/>
        </w:rPr>
        <w:t xml:space="preserve">data and funding alongside the establishment of the Inter-Departmental Group are core pillars required for the successful delivery of the other recommendations. </w:t>
      </w:r>
    </w:p>
    <w:p w:rsidR="001D7538" w:rsidRPr="00BD5EBB" w:rsidRDefault="001D7538" w:rsidP="001D7538">
      <w:pPr>
        <w:pStyle w:val="NICCYHeading"/>
        <w:numPr>
          <w:ilvl w:val="0"/>
          <w:numId w:val="24"/>
        </w:numPr>
        <w:ind w:right="-7"/>
        <w:rPr>
          <w:b w:val="0"/>
          <w:color w:val="414042"/>
          <w:sz w:val="24"/>
          <w:szCs w:val="24"/>
        </w:rPr>
      </w:pPr>
      <w:r>
        <w:rPr>
          <w:b w:val="0"/>
          <w:color w:val="414042"/>
          <w:sz w:val="24"/>
          <w:szCs w:val="24"/>
        </w:rPr>
        <w:t xml:space="preserve">Public access to </w:t>
      </w:r>
      <w:r w:rsidRPr="0069096D">
        <w:rPr>
          <w:b w:val="0"/>
          <w:color w:val="414042"/>
          <w:sz w:val="24"/>
          <w:szCs w:val="24"/>
        </w:rPr>
        <w:t xml:space="preserve">CAMHS data </w:t>
      </w:r>
      <w:r>
        <w:rPr>
          <w:b w:val="0"/>
          <w:color w:val="414042"/>
          <w:sz w:val="24"/>
          <w:szCs w:val="24"/>
        </w:rPr>
        <w:t>and funding information is necessary for t</w:t>
      </w:r>
      <w:r w:rsidRPr="0069096D">
        <w:rPr>
          <w:b w:val="0"/>
          <w:color w:val="414042"/>
          <w:sz w:val="24"/>
          <w:szCs w:val="24"/>
        </w:rPr>
        <w:t xml:space="preserve">ransparency and accountability </w:t>
      </w:r>
      <w:r>
        <w:rPr>
          <w:b w:val="0"/>
          <w:color w:val="414042"/>
          <w:sz w:val="24"/>
          <w:szCs w:val="24"/>
        </w:rPr>
        <w:t xml:space="preserve">in monitoring progress in the availability, accessibility and quality of services available for children and young people’s emotional wellbeing and mental health and </w:t>
      </w:r>
      <w:r w:rsidRPr="00BD5EBB">
        <w:rPr>
          <w:b w:val="0"/>
          <w:color w:val="414042"/>
          <w:sz w:val="24"/>
          <w:szCs w:val="24"/>
        </w:rPr>
        <w:t xml:space="preserve">for the planning, commissioning and delivery of </w:t>
      </w:r>
      <w:r>
        <w:rPr>
          <w:b w:val="0"/>
          <w:color w:val="414042"/>
          <w:sz w:val="24"/>
          <w:szCs w:val="24"/>
        </w:rPr>
        <w:t>services</w:t>
      </w:r>
      <w:r w:rsidRPr="00BD5EBB">
        <w:rPr>
          <w:b w:val="0"/>
          <w:color w:val="414042"/>
          <w:sz w:val="24"/>
          <w:szCs w:val="24"/>
        </w:rPr>
        <w:t xml:space="preserve">. </w:t>
      </w:r>
    </w:p>
    <w:p w:rsidR="001D7538" w:rsidRDefault="001D7538" w:rsidP="001D7538">
      <w:pPr>
        <w:autoSpaceDE w:val="0"/>
        <w:autoSpaceDN w:val="0"/>
        <w:adjustRightInd w:val="0"/>
        <w:rPr>
          <w:rFonts w:ascii="FuturaLT-Book" w:eastAsiaTheme="minorEastAsia" w:hAnsi="FuturaLT-Book" w:cs="FuturaLT-Book"/>
          <w:sz w:val="24"/>
          <w:szCs w:val="24"/>
        </w:rPr>
      </w:pPr>
    </w:p>
    <w:p w:rsidR="001D7538" w:rsidRPr="001D7538" w:rsidRDefault="001D7538" w:rsidP="001D7538">
      <w:pPr>
        <w:pStyle w:val="NICCYBodyText"/>
        <w:rPr>
          <w:u w:val="single"/>
        </w:rPr>
      </w:pPr>
      <w:r w:rsidRPr="001D7538">
        <w:rPr>
          <w:u w:val="single"/>
        </w:rPr>
        <w:t>Referral Pathways to include Role of Voluntary and Community Sector (Rec 2-7)</w:t>
      </w:r>
    </w:p>
    <w:p w:rsidR="001D7538" w:rsidRDefault="001D7538" w:rsidP="001D7538">
      <w:pPr>
        <w:pStyle w:val="NICCYBodyText"/>
        <w:numPr>
          <w:ilvl w:val="0"/>
          <w:numId w:val="26"/>
        </w:numPr>
      </w:pPr>
      <w:r>
        <w:t xml:space="preserve">Addressing problems with the length of wait and ensuring young people are navigated to the most appropriate service in the first instance is critical to quality of care and service </w:t>
      </w:r>
      <w:r w:rsidR="000E2DF6">
        <w:t>user’s</w:t>
      </w:r>
      <w:r>
        <w:t xml:space="preserve"> outcomes, and is likely to have very positive knock on effects on the efficiency and effectiveness of services across system when addressed.</w:t>
      </w:r>
    </w:p>
    <w:p w:rsidR="001D7538" w:rsidRPr="00CA0534" w:rsidRDefault="001D7538" w:rsidP="001D7538">
      <w:pPr>
        <w:pStyle w:val="NICCYBodyText"/>
      </w:pPr>
    </w:p>
    <w:p w:rsidR="001D7538" w:rsidRPr="00BD2723" w:rsidRDefault="001D7538" w:rsidP="00BD2723">
      <w:pPr>
        <w:pStyle w:val="NICCYBodyText"/>
        <w:rPr>
          <w:u w:val="single"/>
        </w:rPr>
      </w:pPr>
      <w:r w:rsidRPr="00BD2723">
        <w:rPr>
          <w:u w:val="single"/>
        </w:rPr>
        <w:t>Accident and Emergency (Rec 21&amp;22) and Alcohol and Drugs (Rec 41-44)</w:t>
      </w:r>
    </w:p>
    <w:p w:rsidR="001D7538" w:rsidRDefault="001D7538" w:rsidP="001D7538">
      <w:pPr>
        <w:pStyle w:val="NICCYHeading"/>
        <w:numPr>
          <w:ilvl w:val="0"/>
          <w:numId w:val="24"/>
        </w:numPr>
        <w:ind w:right="-7"/>
        <w:rPr>
          <w:b w:val="0"/>
          <w:color w:val="414042"/>
          <w:sz w:val="24"/>
          <w:szCs w:val="24"/>
        </w:rPr>
      </w:pPr>
      <w:r>
        <w:rPr>
          <w:b w:val="0"/>
          <w:color w:val="414042"/>
          <w:sz w:val="24"/>
          <w:szCs w:val="24"/>
        </w:rPr>
        <w:t xml:space="preserve">Still Waiting highlighted very serious concerns about the quality of care provided to young people presenting to A&amp;E in mental health crisis, including those suicidal or having attempted suicide. These are potential right to life issues that require urgent attention. </w:t>
      </w:r>
    </w:p>
    <w:p w:rsidR="001D7538" w:rsidRDefault="001D7538" w:rsidP="001D7538">
      <w:pPr>
        <w:pStyle w:val="NICCYHeading"/>
        <w:numPr>
          <w:ilvl w:val="0"/>
          <w:numId w:val="24"/>
        </w:numPr>
        <w:ind w:right="-7"/>
        <w:rPr>
          <w:b w:val="0"/>
          <w:color w:val="414042"/>
          <w:sz w:val="24"/>
          <w:szCs w:val="24"/>
        </w:rPr>
      </w:pPr>
      <w:r>
        <w:rPr>
          <w:b w:val="0"/>
          <w:color w:val="414042"/>
          <w:sz w:val="24"/>
          <w:szCs w:val="24"/>
        </w:rPr>
        <w:t>Addressing this recommendation is t</w:t>
      </w:r>
      <w:r w:rsidRPr="00E50CF3">
        <w:rPr>
          <w:b w:val="0"/>
          <w:color w:val="414042"/>
          <w:sz w:val="24"/>
          <w:szCs w:val="24"/>
        </w:rPr>
        <w:t xml:space="preserve">imely with the </w:t>
      </w:r>
      <w:proofErr w:type="spellStart"/>
      <w:r>
        <w:rPr>
          <w:b w:val="0"/>
          <w:color w:val="414042"/>
          <w:sz w:val="24"/>
          <w:szCs w:val="24"/>
        </w:rPr>
        <w:t>DoH</w:t>
      </w:r>
      <w:proofErr w:type="spellEnd"/>
      <w:r w:rsidRPr="00E50CF3">
        <w:rPr>
          <w:b w:val="0"/>
          <w:color w:val="414042"/>
          <w:sz w:val="24"/>
          <w:szCs w:val="24"/>
        </w:rPr>
        <w:t xml:space="preserve"> review of urgent and </w:t>
      </w:r>
      <w:r>
        <w:rPr>
          <w:b w:val="0"/>
          <w:color w:val="414042"/>
          <w:sz w:val="24"/>
          <w:szCs w:val="24"/>
        </w:rPr>
        <w:t>emergency care underway and RCPCH Audit of ED against minimum care standards that includes those references in Still Waiting Rec: 21&amp;22, calls for improved standards in A&amp;E and better working together in the recent 2017/18 Self Harm Registry report and concern raised via HSCT CAMHS &amp; A&amp;E Interface Group Meetings.</w:t>
      </w:r>
    </w:p>
    <w:p w:rsidR="001D7538" w:rsidRDefault="001D7538" w:rsidP="001D7538">
      <w:pPr>
        <w:pStyle w:val="NICCYHeading"/>
        <w:numPr>
          <w:ilvl w:val="0"/>
          <w:numId w:val="24"/>
        </w:numPr>
        <w:ind w:right="-7"/>
        <w:rPr>
          <w:b w:val="0"/>
          <w:color w:val="414042"/>
          <w:sz w:val="24"/>
          <w:szCs w:val="24"/>
        </w:rPr>
      </w:pPr>
      <w:r>
        <w:rPr>
          <w:b w:val="0"/>
          <w:color w:val="414042"/>
          <w:sz w:val="24"/>
          <w:szCs w:val="24"/>
        </w:rPr>
        <w:lastRenderedPageBreak/>
        <w:t>There is a significant correlation between young people presenting to A&amp;E in a mental health crisis with alcohol and drug problems. Therefore, we would advise that recommendations that relate to A&amp;E and intensive community / in-patient alcohol and drug support services are considered together. These are issues identified in the Review of Regional Facilities and therefore there is potential to work together with this team to achieve progress on these recommendations.</w:t>
      </w:r>
    </w:p>
    <w:p w:rsidR="001D7538" w:rsidRPr="00E50CF3" w:rsidRDefault="001D7538" w:rsidP="001D7538">
      <w:pPr>
        <w:pStyle w:val="NICCYHeading"/>
        <w:ind w:left="360" w:right="-7"/>
        <w:rPr>
          <w:b w:val="0"/>
          <w:color w:val="414042"/>
          <w:sz w:val="24"/>
          <w:szCs w:val="24"/>
        </w:rPr>
      </w:pPr>
    </w:p>
    <w:p w:rsidR="001D7538" w:rsidRPr="00BD2723" w:rsidRDefault="001D7538" w:rsidP="00BD2723">
      <w:pPr>
        <w:pStyle w:val="NICCYBodyText"/>
        <w:rPr>
          <w:u w:val="single"/>
        </w:rPr>
      </w:pPr>
      <w:r w:rsidRPr="00BD2723">
        <w:rPr>
          <w:u w:val="single"/>
        </w:rPr>
        <w:t>Children and young people with a learning disability (Rec 37)</w:t>
      </w:r>
    </w:p>
    <w:p w:rsidR="001D7538" w:rsidRPr="00D34C72" w:rsidRDefault="001D7538" w:rsidP="001D7538">
      <w:pPr>
        <w:pStyle w:val="NICCYBodyTest"/>
        <w:numPr>
          <w:ilvl w:val="0"/>
          <w:numId w:val="25"/>
        </w:numPr>
      </w:pPr>
      <w:r w:rsidRPr="00D55D2B">
        <w:t xml:space="preserve">We understand from the IDG response to the Still Waiting recommendations that </w:t>
      </w:r>
      <w:r w:rsidRPr="008C6795">
        <w:t>“ID CAMHS is a priority area targeted for investment and development of service provision that ensure greater consistency across the region.”</w:t>
      </w:r>
      <w:r w:rsidRPr="00D55D2B">
        <w:t xml:space="preserve"> </w:t>
      </w:r>
      <w:r>
        <w:t xml:space="preserve"> We agree with this assessment and due to the substantial amount of work required to ensure service provision for this group is comparable to those available to children without a learning disability, this work should begin as a matter of urgency.   </w:t>
      </w:r>
    </w:p>
    <w:p w:rsidR="001D7538" w:rsidRDefault="001D7538" w:rsidP="001D7538">
      <w:pPr>
        <w:pStyle w:val="NICCYBodyTest"/>
        <w:numPr>
          <w:ilvl w:val="0"/>
          <w:numId w:val="25"/>
        </w:numPr>
      </w:pPr>
      <w:r>
        <w:t>Addressing Rec 37 would have positive knock-on effects to Rec 38-40.</w:t>
      </w:r>
    </w:p>
    <w:p w:rsidR="001D7538" w:rsidRDefault="001D7538" w:rsidP="001D7538">
      <w:pPr>
        <w:pStyle w:val="NICCYBodyText"/>
        <w:ind w:left="720"/>
      </w:pPr>
    </w:p>
    <w:p w:rsidR="001D7538" w:rsidRPr="00BD2723" w:rsidRDefault="001D7538" w:rsidP="00BD2723">
      <w:pPr>
        <w:pStyle w:val="NICCYBodyText"/>
        <w:rPr>
          <w:u w:val="single"/>
        </w:rPr>
      </w:pPr>
      <w:r w:rsidRPr="00BD2723">
        <w:rPr>
          <w:u w:val="single"/>
        </w:rPr>
        <w:t>The role of the education system (Rec 32-35)</w:t>
      </w:r>
    </w:p>
    <w:p w:rsidR="001D7538" w:rsidRDefault="001D7538" w:rsidP="001D7538">
      <w:pPr>
        <w:pStyle w:val="NICCYBodyTest"/>
        <w:numPr>
          <w:ilvl w:val="0"/>
          <w:numId w:val="25"/>
        </w:numPr>
      </w:pPr>
      <w:r>
        <w:t>Still Waiting found lots of untapped potential in the education system when it comes to educating young people about their emotional and mental health development and significant room for improvement in the co-ordination and communication between Health and Education. These challenges are practical ones, which relate to improving standards and effectiveness in what schools should already be doing, and should not be cost prohibitive to address now. ETI are currently reviewing their model of inspection</w:t>
      </w:r>
      <w:r w:rsidR="00B11A9F">
        <w:t xml:space="preserve"> </w:t>
      </w:r>
      <w:r>
        <w:t>-</w:t>
      </w:r>
      <w:r w:rsidR="00B11A9F">
        <w:t xml:space="preserve"> </w:t>
      </w:r>
      <w:r>
        <w:t xml:space="preserve">there is potential to strengthen the focus they give to this aspect of the curriculum. </w:t>
      </w:r>
    </w:p>
    <w:p w:rsidR="001D7538" w:rsidRPr="00F33097" w:rsidRDefault="001D7538" w:rsidP="001D7538">
      <w:pPr>
        <w:pStyle w:val="NICCYBodyTest"/>
        <w:numPr>
          <w:ilvl w:val="0"/>
          <w:numId w:val="25"/>
        </w:numPr>
      </w:pPr>
      <w:r>
        <w:t>Improvements in mental health and wellbeing education in schools will benefit all children and young people and has the potential to reduce poor mental health developing, improving outcomes for children &amp; young people and reducing the numbers requiring specialist CAMHS.</w:t>
      </w:r>
    </w:p>
    <w:p w:rsidR="006F51CE" w:rsidRDefault="006F51CE" w:rsidP="00894486">
      <w:pPr>
        <w:spacing w:line="276" w:lineRule="auto"/>
        <w:ind w:right="-433"/>
        <w:rPr>
          <w:rFonts w:ascii="Arial" w:eastAsiaTheme="minorEastAsia" w:hAnsi="Arial" w:cs="Arial"/>
          <w:color w:val="414042"/>
          <w:sz w:val="24"/>
          <w:szCs w:val="24"/>
        </w:rPr>
      </w:pPr>
    </w:p>
    <w:p w:rsidR="00332F63" w:rsidRDefault="009B4098" w:rsidP="00E907ED">
      <w:p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In September</w:t>
      </w:r>
      <w:r w:rsidR="00494AF3">
        <w:rPr>
          <w:rFonts w:ascii="Arial" w:eastAsiaTheme="minorEastAsia" w:hAnsi="Arial" w:cs="Arial"/>
          <w:color w:val="414042"/>
          <w:sz w:val="24"/>
          <w:szCs w:val="24"/>
        </w:rPr>
        <w:t xml:space="preserve">, </w:t>
      </w:r>
      <w:r w:rsidR="00B11A9F">
        <w:rPr>
          <w:rFonts w:ascii="Arial" w:eastAsiaTheme="minorEastAsia" w:hAnsi="Arial" w:cs="Arial"/>
          <w:color w:val="414042"/>
          <w:sz w:val="24"/>
          <w:szCs w:val="24"/>
        </w:rPr>
        <w:t xml:space="preserve">following a series of meetings and </w:t>
      </w:r>
      <w:r w:rsidR="00494AF3">
        <w:rPr>
          <w:rFonts w:ascii="Arial" w:eastAsiaTheme="minorEastAsia" w:hAnsi="Arial" w:cs="Arial"/>
          <w:color w:val="414042"/>
          <w:sz w:val="24"/>
          <w:szCs w:val="24"/>
        </w:rPr>
        <w:t>shortly after receiving NICCY’s advice on priority recommendations,</w:t>
      </w:r>
      <w:r>
        <w:rPr>
          <w:rFonts w:ascii="Arial" w:eastAsiaTheme="minorEastAsia" w:hAnsi="Arial" w:cs="Arial"/>
          <w:color w:val="414042"/>
          <w:sz w:val="24"/>
          <w:szCs w:val="24"/>
        </w:rPr>
        <w:t xml:space="preserve"> the</w:t>
      </w:r>
      <w:r w:rsidR="00E907ED">
        <w:rPr>
          <w:rFonts w:ascii="Arial" w:eastAsiaTheme="minorEastAsia" w:hAnsi="Arial" w:cs="Arial"/>
          <w:color w:val="414042"/>
          <w:sz w:val="24"/>
          <w:szCs w:val="24"/>
        </w:rPr>
        <w:t xml:space="preserve"> IDG </w:t>
      </w:r>
      <w:r>
        <w:rPr>
          <w:rFonts w:ascii="Arial" w:eastAsiaTheme="minorEastAsia" w:hAnsi="Arial" w:cs="Arial"/>
          <w:color w:val="414042"/>
          <w:sz w:val="24"/>
          <w:szCs w:val="24"/>
        </w:rPr>
        <w:t>shared with NICCY its</w:t>
      </w:r>
      <w:r w:rsidR="00E907ED" w:rsidRPr="001E5A41">
        <w:rPr>
          <w:rFonts w:ascii="Arial" w:eastAsiaTheme="minorEastAsia" w:hAnsi="Arial" w:cs="Arial"/>
          <w:color w:val="414042"/>
          <w:sz w:val="24"/>
          <w:szCs w:val="24"/>
        </w:rPr>
        <w:t xml:space="preserve"> </w:t>
      </w:r>
      <w:r w:rsidR="00403894" w:rsidRPr="001F34E8">
        <w:rPr>
          <w:rFonts w:ascii="Arial" w:eastAsiaTheme="minorEastAsia" w:hAnsi="Arial" w:cs="Arial"/>
          <w:color w:val="414042"/>
          <w:sz w:val="24"/>
          <w:szCs w:val="24"/>
        </w:rPr>
        <w:t>A</w:t>
      </w:r>
      <w:r w:rsidR="00E907ED" w:rsidRPr="001F34E8">
        <w:rPr>
          <w:rFonts w:ascii="Arial" w:eastAsiaTheme="minorEastAsia" w:hAnsi="Arial" w:cs="Arial"/>
          <w:color w:val="414042"/>
          <w:sz w:val="24"/>
          <w:szCs w:val="24"/>
        </w:rPr>
        <w:t>c</w:t>
      </w:r>
      <w:r w:rsidR="00403894" w:rsidRPr="001F34E8">
        <w:rPr>
          <w:rFonts w:ascii="Arial" w:eastAsiaTheme="minorEastAsia" w:hAnsi="Arial" w:cs="Arial"/>
          <w:color w:val="414042"/>
          <w:sz w:val="24"/>
          <w:szCs w:val="24"/>
        </w:rPr>
        <w:t>tion P</w:t>
      </w:r>
      <w:r w:rsidR="00E907ED" w:rsidRPr="001F34E8">
        <w:rPr>
          <w:rFonts w:ascii="Arial" w:eastAsiaTheme="minorEastAsia" w:hAnsi="Arial" w:cs="Arial"/>
          <w:color w:val="414042"/>
          <w:sz w:val="24"/>
          <w:szCs w:val="24"/>
        </w:rPr>
        <w:t>lan</w:t>
      </w:r>
      <w:r w:rsidR="001F34E8">
        <w:rPr>
          <w:rFonts w:ascii="Arial" w:eastAsiaTheme="minorEastAsia" w:hAnsi="Arial" w:cs="Arial"/>
          <w:color w:val="414042"/>
          <w:sz w:val="24"/>
          <w:szCs w:val="24"/>
        </w:rPr>
        <w:t xml:space="preserve"> </w:t>
      </w:r>
      <w:r w:rsidR="00E907ED" w:rsidRPr="001E5A41">
        <w:rPr>
          <w:rFonts w:ascii="Arial" w:eastAsiaTheme="minorEastAsia" w:hAnsi="Arial" w:cs="Arial"/>
          <w:color w:val="414042"/>
          <w:sz w:val="24"/>
          <w:szCs w:val="24"/>
        </w:rPr>
        <w:t>for taking the recommendations forward.</w:t>
      </w:r>
      <w:r w:rsidR="001F34E8" w:rsidRPr="001F34E8">
        <w:rPr>
          <w:rStyle w:val="FootnoteReference"/>
          <w:rFonts w:ascii="Arial" w:eastAsiaTheme="minorEastAsia" w:hAnsi="Arial" w:cs="Arial"/>
          <w:color w:val="414042"/>
          <w:sz w:val="24"/>
          <w:szCs w:val="24"/>
        </w:rPr>
        <w:footnoteReference w:id="3"/>
      </w:r>
      <w:r w:rsidR="001F34E8" w:rsidRPr="001F34E8">
        <w:rPr>
          <w:rFonts w:ascii="Arial" w:eastAsiaTheme="minorEastAsia" w:hAnsi="Arial" w:cs="Arial"/>
          <w:color w:val="414042"/>
          <w:sz w:val="24"/>
          <w:szCs w:val="24"/>
        </w:rPr>
        <w:t xml:space="preserve"> </w:t>
      </w:r>
      <w:r w:rsidR="00332F63">
        <w:rPr>
          <w:rFonts w:ascii="Arial" w:eastAsiaTheme="minorEastAsia" w:hAnsi="Arial" w:cs="Arial"/>
          <w:color w:val="414042"/>
          <w:sz w:val="24"/>
          <w:szCs w:val="24"/>
        </w:rPr>
        <w:t xml:space="preserve">This </w:t>
      </w:r>
      <w:r w:rsidR="00494AF3">
        <w:rPr>
          <w:rFonts w:ascii="Arial" w:eastAsiaTheme="minorEastAsia" w:hAnsi="Arial" w:cs="Arial"/>
          <w:color w:val="414042"/>
          <w:sz w:val="24"/>
          <w:szCs w:val="24"/>
        </w:rPr>
        <w:t>i</w:t>
      </w:r>
      <w:r w:rsidR="00332F63">
        <w:rPr>
          <w:rFonts w:ascii="Arial" w:eastAsiaTheme="minorEastAsia" w:hAnsi="Arial" w:cs="Arial"/>
          <w:color w:val="414042"/>
          <w:sz w:val="24"/>
          <w:szCs w:val="24"/>
        </w:rPr>
        <w:t>s structured using the eight themes, i</w:t>
      </w:r>
      <w:r w:rsidR="00B11A9F">
        <w:rPr>
          <w:rFonts w:ascii="Arial" w:eastAsiaTheme="minorEastAsia" w:hAnsi="Arial" w:cs="Arial"/>
          <w:color w:val="414042"/>
          <w:sz w:val="24"/>
          <w:szCs w:val="24"/>
        </w:rPr>
        <w:t>.</w:t>
      </w:r>
      <w:r w:rsidR="00332F63">
        <w:rPr>
          <w:rFonts w:ascii="Arial" w:eastAsiaTheme="minorEastAsia" w:hAnsi="Arial" w:cs="Arial"/>
          <w:color w:val="414042"/>
          <w:sz w:val="24"/>
          <w:szCs w:val="24"/>
        </w:rPr>
        <w:t>e</w:t>
      </w:r>
      <w:r w:rsidR="00B11A9F">
        <w:rPr>
          <w:rFonts w:ascii="Arial" w:eastAsiaTheme="minorEastAsia" w:hAnsi="Arial" w:cs="Arial"/>
          <w:color w:val="414042"/>
          <w:sz w:val="24"/>
          <w:szCs w:val="24"/>
        </w:rPr>
        <w:t>.</w:t>
      </w:r>
      <w:r w:rsidR="00332F63">
        <w:rPr>
          <w:rFonts w:ascii="Arial" w:eastAsiaTheme="minorEastAsia" w:hAnsi="Arial" w:cs="Arial"/>
          <w:color w:val="414042"/>
          <w:sz w:val="24"/>
          <w:szCs w:val="24"/>
        </w:rPr>
        <w:t>:</w:t>
      </w:r>
    </w:p>
    <w:p w:rsidR="00B11A9F" w:rsidRDefault="00B11A9F" w:rsidP="00E907ED">
      <w:pPr>
        <w:spacing w:line="276" w:lineRule="auto"/>
        <w:ind w:right="-433"/>
        <w:rPr>
          <w:rFonts w:ascii="Arial" w:eastAsiaTheme="minorEastAsia" w:hAnsi="Arial" w:cs="Arial"/>
          <w:color w:val="414042"/>
          <w:sz w:val="24"/>
          <w:szCs w:val="24"/>
        </w:rPr>
      </w:pPr>
    </w:p>
    <w:p w:rsidR="00E907ED" w:rsidRDefault="00332F63" w:rsidP="00332F63">
      <w:pPr>
        <w:pStyle w:val="ListParagraph"/>
        <w:numPr>
          <w:ilvl w:val="0"/>
          <w:numId w:val="23"/>
        </w:num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lastRenderedPageBreak/>
        <w:t>Working Effectively and Collaboratively</w:t>
      </w:r>
      <w:r w:rsidR="00B11A9F">
        <w:rPr>
          <w:rFonts w:ascii="Arial" w:eastAsiaTheme="minorEastAsia" w:hAnsi="Arial" w:cs="Arial"/>
          <w:color w:val="414042"/>
          <w:sz w:val="24"/>
          <w:szCs w:val="24"/>
        </w:rPr>
        <w:t>;</w:t>
      </w:r>
    </w:p>
    <w:p w:rsidR="00332F63" w:rsidRDefault="00332F63" w:rsidP="00332F63">
      <w:pPr>
        <w:pStyle w:val="ListParagraph"/>
        <w:numPr>
          <w:ilvl w:val="0"/>
          <w:numId w:val="23"/>
        </w:num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Accessing Help</w:t>
      </w:r>
      <w:r w:rsidR="00B11A9F">
        <w:rPr>
          <w:rFonts w:ascii="Arial" w:eastAsiaTheme="minorEastAsia" w:hAnsi="Arial" w:cs="Arial"/>
          <w:color w:val="414042"/>
          <w:sz w:val="24"/>
          <w:szCs w:val="24"/>
        </w:rPr>
        <w:t>;</w:t>
      </w:r>
    </w:p>
    <w:p w:rsidR="00332F63" w:rsidRDefault="00332F63" w:rsidP="00332F63">
      <w:pPr>
        <w:pStyle w:val="ListParagraph"/>
        <w:numPr>
          <w:ilvl w:val="0"/>
          <w:numId w:val="23"/>
        </w:num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Supporting adults working with children and young people</w:t>
      </w:r>
      <w:r w:rsidR="00B11A9F">
        <w:rPr>
          <w:rFonts w:ascii="Arial" w:eastAsiaTheme="minorEastAsia" w:hAnsi="Arial" w:cs="Arial"/>
          <w:color w:val="414042"/>
          <w:sz w:val="24"/>
          <w:szCs w:val="24"/>
        </w:rPr>
        <w:t>;</w:t>
      </w:r>
    </w:p>
    <w:p w:rsidR="00332F63" w:rsidRDefault="00332F63" w:rsidP="00332F63">
      <w:pPr>
        <w:pStyle w:val="ListParagraph"/>
        <w:numPr>
          <w:ilvl w:val="0"/>
          <w:numId w:val="23"/>
        </w:num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Specialist support</w:t>
      </w:r>
      <w:r w:rsidR="00B11A9F">
        <w:rPr>
          <w:rFonts w:ascii="Arial" w:eastAsiaTheme="minorEastAsia" w:hAnsi="Arial" w:cs="Arial"/>
          <w:color w:val="414042"/>
          <w:sz w:val="24"/>
          <w:szCs w:val="24"/>
        </w:rPr>
        <w:t>;</w:t>
      </w:r>
    </w:p>
    <w:p w:rsidR="00332F63" w:rsidRDefault="00A7556D" w:rsidP="00332F63">
      <w:pPr>
        <w:pStyle w:val="ListParagraph"/>
        <w:numPr>
          <w:ilvl w:val="0"/>
          <w:numId w:val="23"/>
        </w:num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Moving from child to adult services</w:t>
      </w:r>
      <w:r w:rsidR="00B11A9F">
        <w:rPr>
          <w:rFonts w:ascii="Arial" w:eastAsiaTheme="minorEastAsia" w:hAnsi="Arial" w:cs="Arial"/>
          <w:color w:val="414042"/>
          <w:sz w:val="24"/>
          <w:szCs w:val="24"/>
        </w:rPr>
        <w:t>;</w:t>
      </w:r>
    </w:p>
    <w:p w:rsidR="00A7556D" w:rsidRDefault="00A7556D" w:rsidP="00332F63">
      <w:pPr>
        <w:pStyle w:val="ListParagraph"/>
        <w:numPr>
          <w:ilvl w:val="0"/>
          <w:numId w:val="23"/>
        </w:num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Flexible treatment options</w:t>
      </w:r>
      <w:r w:rsidR="00B11A9F">
        <w:rPr>
          <w:rFonts w:ascii="Arial" w:eastAsiaTheme="minorEastAsia" w:hAnsi="Arial" w:cs="Arial"/>
          <w:color w:val="414042"/>
          <w:sz w:val="24"/>
          <w:szCs w:val="24"/>
        </w:rPr>
        <w:t>;</w:t>
      </w:r>
    </w:p>
    <w:p w:rsidR="00A7556D" w:rsidRDefault="00A7556D" w:rsidP="00332F63">
      <w:pPr>
        <w:pStyle w:val="ListParagraph"/>
        <w:numPr>
          <w:ilvl w:val="0"/>
          <w:numId w:val="23"/>
        </w:num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Mental health awareness and understanding</w:t>
      </w:r>
      <w:r w:rsidR="00B11A9F">
        <w:rPr>
          <w:rFonts w:ascii="Arial" w:eastAsiaTheme="minorEastAsia" w:hAnsi="Arial" w:cs="Arial"/>
          <w:color w:val="414042"/>
          <w:sz w:val="24"/>
          <w:szCs w:val="24"/>
        </w:rPr>
        <w:t>; and</w:t>
      </w:r>
    </w:p>
    <w:p w:rsidR="00A7556D" w:rsidRPr="00332F63" w:rsidRDefault="00A7556D" w:rsidP="00332F63">
      <w:pPr>
        <w:pStyle w:val="ListParagraph"/>
        <w:numPr>
          <w:ilvl w:val="0"/>
          <w:numId w:val="23"/>
        </w:num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Young people with additional needs</w:t>
      </w:r>
      <w:r w:rsidR="00B11A9F">
        <w:rPr>
          <w:rFonts w:ascii="Arial" w:eastAsiaTheme="minorEastAsia" w:hAnsi="Arial" w:cs="Arial"/>
          <w:color w:val="414042"/>
          <w:sz w:val="24"/>
          <w:szCs w:val="24"/>
        </w:rPr>
        <w:t>.</w:t>
      </w:r>
    </w:p>
    <w:p w:rsidR="00E907ED" w:rsidRDefault="00E907ED" w:rsidP="00894486">
      <w:pPr>
        <w:spacing w:line="276" w:lineRule="auto"/>
        <w:ind w:right="-433"/>
        <w:rPr>
          <w:rFonts w:ascii="Arial" w:eastAsiaTheme="minorEastAsia" w:hAnsi="Arial" w:cs="Arial"/>
          <w:color w:val="414042"/>
          <w:sz w:val="24"/>
          <w:szCs w:val="24"/>
        </w:rPr>
      </w:pPr>
    </w:p>
    <w:p w:rsidR="00A7556D" w:rsidRDefault="00403894" w:rsidP="00494AF3">
      <w:p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The Action P</w:t>
      </w:r>
      <w:r w:rsidR="00A7556D">
        <w:rPr>
          <w:rFonts w:ascii="Arial" w:eastAsiaTheme="minorEastAsia" w:hAnsi="Arial" w:cs="Arial"/>
          <w:color w:val="414042"/>
          <w:sz w:val="24"/>
          <w:szCs w:val="24"/>
        </w:rPr>
        <w:t xml:space="preserve">lan </w:t>
      </w:r>
      <w:r w:rsidR="00701F1E">
        <w:rPr>
          <w:rFonts w:ascii="Arial" w:eastAsiaTheme="minorEastAsia" w:hAnsi="Arial" w:cs="Arial"/>
          <w:color w:val="414042"/>
          <w:sz w:val="24"/>
          <w:szCs w:val="24"/>
        </w:rPr>
        <w:t>has a logical structure, outlin</w:t>
      </w:r>
      <w:r w:rsidR="00A7556D">
        <w:rPr>
          <w:rFonts w:ascii="Arial" w:eastAsiaTheme="minorEastAsia" w:hAnsi="Arial" w:cs="Arial"/>
          <w:color w:val="414042"/>
          <w:sz w:val="24"/>
          <w:szCs w:val="24"/>
        </w:rPr>
        <w:t xml:space="preserve">ing clear objectives, associated actions, </w:t>
      </w:r>
      <w:r w:rsidR="00701F1E">
        <w:rPr>
          <w:rFonts w:ascii="Arial" w:eastAsiaTheme="minorEastAsia" w:hAnsi="Arial" w:cs="Arial"/>
          <w:color w:val="414042"/>
          <w:sz w:val="24"/>
          <w:szCs w:val="24"/>
        </w:rPr>
        <w:t xml:space="preserve">measures, outcomes, responsibilities and timeframes. </w:t>
      </w:r>
      <w:r w:rsidR="00494AF3">
        <w:rPr>
          <w:rFonts w:ascii="Arial" w:eastAsiaTheme="minorEastAsia" w:hAnsi="Arial" w:cs="Arial"/>
          <w:color w:val="414042"/>
          <w:sz w:val="24"/>
          <w:szCs w:val="24"/>
        </w:rPr>
        <w:t xml:space="preserve">It </w:t>
      </w:r>
      <w:r w:rsidR="00A670FC">
        <w:rPr>
          <w:rFonts w:ascii="Arial" w:eastAsiaTheme="minorEastAsia" w:hAnsi="Arial" w:cs="Arial"/>
          <w:color w:val="414042"/>
          <w:sz w:val="24"/>
          <w:szCs w:val="24"/>
        </w:rPr>
        <w:t xml:space="preserve">goes </w:t>
      </w:r>
      <w:r w:rsidR="00494AF3">
        <w:rPr>
          <w:rFonts w:ascii="Arial" w:eastAsiaTheme="minorEastAsia" w:hAnsi="Arial" w:cs="Arial"/>
          <w:color w:val="414042"/>
          <w:sz w:val="24"/>
          <w:szCs w:val="24"/>
        </w:rPr>
        <w:t xml:space="preserve">beyond the priority areas proposed by NICCY </w:t>
      </w:r>
      <w:r w:rsidR="009B156D">
        <w:rPr>
          <w:rFonts w:ascii="Arial" w:eastAsiaTheme="minorEastAsia" w:hAnsi="Arial" w:cs="Arial"/>
          <w:color w:val="414042"/>
          <w:sz w:val="24"/>
          <w:szCs w:val="24"/>
        </w:rPr>
        <w:t>and t</w:t>
      </w:r>
      <w:r w:rsidR="00494AF3">
        <w:rPr>
          <w:rFonts w:ascii="Arial" w:eastAsiaTheme="minorEastAsia" w:hAnsi="Arial" w:cs="Arial"/>
          <w:color w:val="414042"/>
          <w:sz w:val="24"/>
          <w:szCs w:val="24"/>
        </w:rPr>
        <w:t xml:space="preserve">he link to NICCY’s recommendations </w:t>
      </w:r>
      <w:r w:rsidR="00B11A9F">
        <w:rPr>
          <w:rFonts w:ascii="Arial" w:eastAsiaTheme="minorEastAsia" w:hAnsi="Arial" w:cs="Arial"/>
          <w:color w:val="414042"/>
          <w:sz w:val="24"/>
          <w:szCs w:val="24"/>
        </w:rPr>
        <w:t>are</w:t>
      </w:r>
      <w:r w:rsidR="00494AF3">
        <w:rPr>
          <w:rFonts w:ascii="Arial" w:eastAsiaTheme="minorEastAsia" w:hAnsi="Arial" w:cs="Arial"/>
          <w:color w:val="414042"/>
          <w:sz w:val="24"/>
          <w:szCs w:val="24"/>
        </w:rPr>
        <w:t xml:space="preserve"> also indicated for each action.</w:t>
      </w:r>
    </w:p>
    <w:p w:rsidR="00701F1E" w:rsidRDefault="00701F1E" w:rsidP="00894486">
      <w:pPr>
        <w:spacing w:line="276" w:lineRule="auto"/>
        <w:ind w:right="-433"/>
        <w:rPr>
          <w:rFonts w:ascii="Arial" w:eastAsiaTheme="minorEastAsia" w:hAnsi="Arial" w:cs="Arial"/>
          <w:color w:val="414042"/>
          <w:sz w:val="24"/>
          <w:szCs w:val="24"/>
        </w:rPr>
      </w:pPr>
    </w:p>
    <w:p w:rsidR="00BE3B94" w:rsidRDefault="00701F1E" w:rsidP="00894486">
      <w:p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NICCY</w:t>
      </w:r>
      <w:r w:rsidR="009408C7">
        <w:rPr>
          <w:rFonts w:ascii="Arial" w:eastAsiaTheme="minorEastAsia" w:hAnsi="Arial" w:cs="Arial"/>
          <w:color w:val="414042"/>
          <w:sz w:val="24"/>
          <w:szCs w:val="24"/>
        </w:rPr>
        <w:t xml:space="preserve"> </w:t>
      </w:r>
      <w:r w:rsidR="00A670FC">
        <w:rPr>
          <w:rFonts w:ascii="Arial" w:eastAsiaTheme="minorEastAsia" w:hAnsi="Arial" w:cs="Arial"/>
          <w:color w:val="414042"/>
          <w:sz w:val="24"/>
          <w:szCs w:val="24"/>
        </w:rPr>
        <w:t xml:space="preserve">warmly </w:t>
      </w:r>
      <w:r w:rsidR="00403894">
        <w:rPr>
          <w:rFonts w:ascii="Arial" w:eastAsiaTheme="minorEastAsia" w:hAnsi="Arial" w:cs="Arial"/>
          <w:color w:val="414042"/>
          <w:sz w:val="24"/>
          <w:szCs w:val="24"/>
        </w:rPr>
        <w:t>welcomes this Action P</w:t>
      </w:r>
      <w:r w:rsidR="009408C7">
        <w:rPr>
          <w:rFonts w:ascii="Arial" w:eastAsiaTheme="minorEastAsia" w:hAnsi="Arial" w:cs="Arial"/>
          <w:color w:val="414042"/>
          <w:sz w:val="24"/>
          <w:szCs w:val="24"/>
        </w:rPr>
        <w:t xml:space="preserve">lan, as it indicates </w:t>
      </w:r>
      <w:r w:rsidR="00B11A9F">
        <w:rPr>
          <w:rFonts w:ascii="Arial" w:eastAsiaTheme="minorEastAsia" w:hAnsi="Arial" w:cs="Arial"/>
          <w:color w:val="414042"/>
          <w:sz w:val="24"/>
          <w:szCs w:val="24"/>
        </w:rPr>
        <w:t>the</w:t>
      </w:r>
      <w:r w:rsidR="006D13F2">
        <w:rPr>
          <w:rFonts w:ascii="Arial" w:eastAsiaTheme="minorEastAsia" w:hAnsi="Arial" w:cs="Arial"/>
          <w:color w:val="414042"/>
          <w:sz w:val="24"/>
          <w:szCs w:val="24"/>
        </w:rPr>
        <w:t xml:space="preserve"> seriousness </w:t>
      </w:r>
      <w:r w:rsidR="00B11A9F">
        <w:rPr>
          <w:rFonts w:ascii="Arial" w:eastAsiaTheme="minorEastAsia" w:hAnsi="Arial" w:cs="Arial"/>
          <w:color w:val="414042"/>
          <w:sz w:val="24"/>
          <w:szCs w:val="24"/>
        </w:rPr>
        <w:t>with</w:t>
      </w:r>
      <w:r w:rsidR="009408C7">
        <w:rPr>
          <w:rFonts w:ascii="Arial" w:eastAsiaTheme="minorEastAsia" w:hAnsi="Arial" w:cs="Arial"/>
          <w:color w:val="414042"/>
          <w:sz w:val="24"/>
          <w:szCs w:val="24"/>
        </w:rPr>
        <w:t xml:space="preserve"> which </w:t>
      </w:r>
      <w:r w:rsidR="00403894">
        <w:rPr>
          <w:rFonts w:ascii="Arial" w:eastAsiaTheme="minorEastAsia" w:hAnsi="Arial" w:cs="Arial"/>
          <w:color w:val="414042"/>
          <w:sz w:val="24"/>
          <w:szCs w:val="24"/>
        </w:rPr>
        <w:t>relevant Departments and Agencies</w:t>
      </w:r>
      <w:r w:rsidR="009408C7">
        <w:rPr>
          <w:rFonts w:ascii="Arial" w:eastAsiaTheme="minorEastAsia" w:hAnsi="Arial" w:cs="Arial"/>
          <w:color w:val="414042"/>
          <w:sz w:val="24"/>
          <w:szCs w:val="24"/>
        </w:rPr>
        <w:t xml:space="preserve"> </w:t>
      </w:r>
      <w:r w:rsidR="00B11A9F">
        <w:rPr>
          <w:rFonts w:ascii="Arial" w:eastAsiaTheme="minorEastAsia" w:hAnsi="Arial" w:cs="Arial"/>
          <w:color w:val="414042"/>
          <w:sz w:val="24"/>
          <w:szCs w:val="24"/>
        </w:rPr>
        <w:t xml:space="preserve">are </w:t>
      </w:r>
      <w:r w:rsidR="009408C7">
        <w:rPr>
          <w:rFonts w:ascii="Arial" w:eastAsiaTheme="minorEastAsia" w:hAnsi="Arial" w:cs="Arial"/>
          <w:color w:val="414042"/>
          <w:sz w:val="24"/>
          <w:szCs w:val="24"/>
        </w:rPr>
        <w:t xml:space="preserve">responding to the Still Waiting recommendations. </w:t>
      </w:r>
      <w:r w:rsidR="002D12A6">
        <w:rPr>
          <w:rFonts w:ascii="Arial" w:eastAsiaTheme="minorEastAsia" w:hAnsi="Arial" w:cs="Arial"/>
          <w:color w:val="414042"/>
          <w:sz w:val="24"/>
          <w:szCs w:val="24"/>
        </w:rPr>
        <w:t xml:space="preserve">It is clear that these have been </w:t>
      </w:r>
      <w:r w:rsidR="00403894">
        <w:rPr>
          <w:rFonts w:ascii="Arial" w:eastAsiaTheme="minorEastAsia" w:hAnsi="Arial" w:cs="Arial"/>
          <w:color w:val="414042"/>
          <w:sz w:val="24"/>
          <w:szCs w:val="24"/>
        </w:rPr>
        <w:t>given careful consideration</w:t>
      </w:r>
      <w:r w:rsidR="002D12A6">
        <w:rPr>
          <w:rFonts w:ascii="Arial" w:eastAsiaTheme="minorEastAsia" w:hAnsi="Arial" w:cs="Arial"/>
          <w:color w:val="414042"/>
          <w:sz w:val="24"/>
          <w:szCs w:val="24"/>
        </w:rPr>
        <w:t xml:space="preserve"> and a great deal of work has gone into translating them into a practical and workable action plan.</w:t>
      </w:r>
    </w:p>
    <w:p w:rsidR="00BE3B94" w:rsidRDefault="00BE3B94" w:rsidP="00894486">
      <w:pPr>
        <w:spacing w:line="276" w:lineRule="auto"/>
        <w:ind w:right="-433"/>
        <w:rPr>
          <w:rFonts w:ascii="Arial" w:eastAsiaTheme="minorEastAsia" w:hAnsi="Arial" w:cs="Arial"/>
          <w:color w:val="414042"/>
          <w:sz w:val="24"/>
          <w:szCs w:val="24"/>
        </w:rPr>
      </w:pPr>
    </w:p>
    <w:p w:rsidR="00701F1E" w:rsidRDefault="00BE3B94" w:rsidP="00894486">
      <w:p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 xml:space="preserve">The IDG have flagged up in the Action Plan that a </w:t>
      </w:r>
      <w:r w:rsidR="005E464D">
        <w:rPr>
          <w:rFonts w:ascii="Arial" w:eastAsiaTheme="minorEastAsia" w:hAnsi="Arial" w:cs="Arial"/>
          <w:color w:val="414042"/>
          <w:sz w:val="24"/>
          <w:szCs w:val="24"/>
        </w:rPr>
        <w:t xml:space="preserve">significant </w:t>
      </w:r>
      <w:r>
        <w:rPr>
          <w:rFonts w:ascii="Arial" w:eastAsiaTheme="minorEastAsia" w:hAnsi="Arial" w:cs="Arial"/>
          <w:color w:val="414042"/>
          <w:sz w:val="24"/>
          <w:szCs w:val="24"/>
        </w:rPr>
        <w:t xml:space="preserve">number of the </w:t>
      </w:r>
      <w:r w:rsidR="000D6F96">
        <w:rPr>
          <w:rFonts w:ascii="Arial" w:eastAsiaTheme="minorEastAsia" w:hAnsi="Arial" w:cs="Arial"/>
          <w:color w:val="414042"/>
          <w:sz w:val="24"/>
          <w:szCs w:val="24"/>
        </w:rPr>
        <w:t xml:space="preserve">actions </w:t>
      </w:r>
      <w:r>
        <w:rPr>
          <w:rFonts w:ascii="Arial" w:eastAsiaTheme="minorEastAsia" w:hAnsi="Arial" w:cs="Arial"/>
          <w:color w:val="414042"/>
          <w:sz w:val="24"/>
          <w:szCs w:val="24"/>
        </w:rPr>
        <w:t xml:space="preserve">will require Ministerial approval.  </w:t>
      </w:r>
      <w:r w:rsidR="005E464D">
        <w:rPr>
          <w:rFonts w:ascii="Arial" w:eastAsiaTheme="minorEastAsia" w:hAnsi="Arial" w:cs="Arial"/>
          <w:color w:val="414042"/>
          <w:sz w:val="24"/>
          <w:szCs w:val="24"/>
        </w:rPr>
        <w:t>Still Waiting</w:t>
      </w:r>
      <w:r w:rsidR="00FF7945">
        <w:rPr>
          <w:rFonts w:ascii="Arial" w:eastAsiaTheme="minorEastAsia" w:hAnsi="Arial" w:cs="Arial"/>
          <w:color w:val="414042"/>
          <w:sz w:val="24"/>
          <w:szCs w:val="24"/>
        </w:rPr>
        <w:t>’</w:t>
      </w:r>
      <w:r w:rsidR="005E464D">
        <w:rPr>
          <w:rFonts w:ascii="Arial" w:eastAsiaTheme="minorEastAsia" w:hAnsi="Arial" w:cs="Arial"/>
          <w:color w:val="414042"/>
          <w:sz w:val="24"/>
          <w:szCs w:val="24"/>
        </w:rPr>
        <w:t xml:space="preserve"> showed that the current system is failing to meet the needs of children and young people with mental health needs and there is a need for a rapid overhaul of the system to properly address </w:t>
      </w:r>
      <w:r w:rsidR="00FF7945">
        <w:rPr>
          <w:rFonts w:ascii="Arial" w:eastAsiaTheme="minorEastAsia" w:hAnsi="Arial" w:cs="Arial"/>
          <w:color w:val="414042"/>
          <w:sz w:val="24"/>
          <w:szCs w:val="24"/>
        </w:rPr>
        <w:t>these</w:t>
      </w:r>
      <w:r w:rsidR="005E464D">
        <w:rPr>
          <w:rFonts w:ascii="Arial" w:eastAsiaTheme="minorEastAsia" w:hAnsi="Arial" w:cs="Arial"/>
          <w:color w:val="414042"/>
          <w:sz w:val="24"/>
          <w:szCs w:val="24"/>
        </w:rPr>
        <w:t xml:space="preserve">.  The </w:t>
      </w:r>
      <w:r w:rsidR="000D6F96">
        <w:rPr>
          <w:rFonts w:ascii="Arial" w:eastAsiaTheme="minorEastAsia" w:hAnsi="Arial" w:cs="Arial"/>
          <w:color w:val="414042"/>
          <w:sz w:val="24"/>
          <w:szCs w:val="24"/>
        </w:rPr>
        <w:t>actions</w:t>
      </w:r>
      <w:r w:rsidR="005E464D">
        <w:rPr>
          <w:rFonts w:ascii="Arial" w:eastAsiaTheme="minorEastAsia" w:hAnsi="Arial" w:cs="Arial"/>
          <w:color w:val="414042"/>
          <w:sz w:val="24"/>
          <w:szCs w:val="24"/>
        </w:rPr>
        <w:t xml:space="preserve"> set out will go some considerable way towards improving the current system and giving children and young people with mental health needs the help and support they </w:t>
      </w:r>
      <w:r w:rsidR="000D6F96">
        <w:rPr>
          <w:rFonts w:ascii="Arial" w:eastAsiaTheme="minorEastAsia" w:hAnsi="Arial" w:cs="Arial"/>
          <w:color w:val="414042"/>
          <w:sz w:val="24"/>
          <w:szCs w:val="24"/>
        </w:rPr>
        <w:t>deserve</w:t>
      </w:r>
      <w:r w:rsidR="005E464D">
        <w:rPr>
          <w:rFonts w:ascii="Arial" w:eastAsiaTheme="minorEastAsia" w:hAnsi="Arial" w:cs="Arial"/>
          <w:color w:val="414042"/>
          <w:sz w:val="24"/>
          <w:szCs w:val="24"/>
        </w:rPr>
        <w:t xml:space="preserve">.  </w:t>
      </w:r>
      <w:r w:rsidR="000D6F96">
        <w:rPr>
          <w:rFonts w:ascii="Arial" w:eastAsiaTheme="minorEastAsia" w:hAnsi="Arial" w:cs="Arial"/>
          <w:color w:val="414042"/>
          <w:sz w:val="24"/>
          <w:szCs w:val="24"/>
        </w:rPr>
        <w:t>W</w:t>
      </w:r>
      <w:r w:rsidR="005E464D">
        <w:rPr>
          <w:rFonts w:ascii="Arial" w:eastAsiaTheme="minorEastAsia" w:hAnsi="Arial" w:cs="Arial"/>
          <w:color w:val="414042"/>
          <w:sz w:val="24"/>
          <w:szCs w:val="24"/>
        </w:rPr>
        <w:t>e hope therefore that Ministers will support the recommendations in Still Waiting</w:t>
      </w:r>
      <w:r w:rsidR="00FF7945">
        <w:rPr>
          <w:rFonts w:ascii="Arial" w:eastAsiaTheme="minorEastAsia" w:hAnsi="Arial" w:cs="Arial"/>
          <w:color w:val="414042"/>
          <w:sz w:val="24"/>
          <w:szCs w:val="24"/>
        </w:rPr>
        <w:t>’</w:t>
      </w:r>
      <w:r w:rsidR="005E464D">
        <w:rPr>
          <w:rFonts w:ascii="Arial" w:eastAsiaTheme="minorEastAsia" w:hAnsi="Arial" w:cs="Arial"/>
          <w:color w:val="414042"/>
          <w:sz w:val="24"/>
          <w:szCs w:val="24"/>
        </w:rPr>
        <w:t xml:space="preserve"> and the </w:t>
      </w:r>
      <w:r w:rsidR="000D6F96">
        <w:rPr>
          <w:rFonts w:ascii="Arial" w:eastAsiaTheme="minorEastAsia" w:hAnsi="Arial" w:cs="Arial"/>
          <w:color w:val="414042"/>
          <w:sz w:val="24"/>
          <w:szCs w:val="24"/>
        </w:rPr>
        <w:t>resultant actions</w:t>
      </w:r>
      <w:r w:rsidR="005E464D">
        <w:rPr>
          <w:rFonts w:ascii="Arial" w:eastAsiaTheme="minorEastAsia" w:hAnsi="Arial" w:cs="Arial"/>
          <w:color w:val="414042"/>
          <w:sz w:val="24"/>
          <w:szCs w:val="24"/>
        </w:rPr>
        <w:t xml:space="preserve"> </w:t>
      </w:r>
      <w:r w:rsidR="000D6F96">
        <w:rPr>
          <w:rFonts w:ascii="Arial" w:eastAsiaTheme="minorEastAsia" w:hAnsi="Arial" w:cs="Arial"/>
          <w:color w:val="414042"/>
          <w:sz w:val="24"/>
          <w:szCs w:val="24"/>
        </w:rPr>
        <w:t>set out</w:t>
      </w:r>
      <w:r w:rsidR="005E464D">
        <w:rPr>
          <w:rFonts w:ascii="Arial" w:eastAsiaTheme="minorEastAsia" w:hAnsi="Arial" w:cs="Arial"/>
          <w:color w:val="414042"/>
          <w:sz w:val="24"/>
          <w:szCs w:val="24"/>
        </w:rPr>
        <w:t>. T</w:t>
      </w:r>
      <w:r>
        <w:rPr>
          <w:rFonts w:ascii="Arial" w:eastAsiaTheme="minorEastAsia" w:hAnsi="Arial" w:cs="Arial"/>
          <w:color w:val="414042"/>
          <w:sz w:val="24"/>
          <w:szCs w:val="24"/>
        </w:rPr>
        <w:t>he Commissioner stands ready to discuss th</w:t>
      </w:r>
      <w:r w:rsidR="00FF7945">
        <w:rPr>
          <w:rFonts w:ascii="Arial" w:eastAsiaTheme="minorEastAsia" w:hAnsi="Arial" w:cs="Arial"/>
          <w:color w:val="414042"/>
          <w:sz w:val="24"/>
          <w:szCs w:val="24"/>
        </w:rPr>
        <w:t>is</w:t>
      </w:r>
      <w:r>
        <w:rPr>
          <w:rFonts w:ascii="Arial" w:eastAsiaTheme="minorEastAsia" w:hAnsi="Arial" w:cs="Arial"/>
          <w:color w:val="414042"/>
          <w:sz w:val="24"/>
          <w:szCs w:val="24"/>
        </w:rPr>
        <w:t xml:space="preserve"> </w:t>
      </w:r>
      <w:r w:rsidR="000D6F96">
        <w:rPr>
          <w:rFonts w:ascii="Arial" w:eastAsiaTheme="minorEastAsia" w:hAnsi="Arial" w:cs="Arial"/>
          <w:color w:val="414042"/>
          <w:sz w:val="24"/>
          <w:szCs w:val="24"/>
        </w:rPr>
        <w:t xml:space="preserve">programme of work </w:t>
      </w:r>
      <w:r>
        <w:rPr>
          <w:rFonts w:ascii="Arial" w:eastAsiaTheme="minorEastAsia" w:hAnsi="Arial" w:cs="Arial"/>
          <w:color w:val="414042"/>
          <w:sz w:val="24"/>
          <w:szCs w:val="24"/>
        </w:rPr>
        <w:t xml:space="preserve">with Ministers.   </w:t>
      </w:r>
      <w:r w:rsidR="002D12A6">
        <w:rPr>
          <w:rFonts w:ascii="Arial" w:eastAsiaTheme="minorEastAsia" w:hAnsi="Arial" w:cs="Arial"/>
          <w:color w:val="414042"/>
          <w:sz w:val="24"/>
          <w:szCs w:val="24"/>
        </w:rPr>
        <w:t xml:space="preserve"> </w:t>
      </w:r>
      <w:r w:rsidR="009408C7">
        <w:rPr>
          <w:rFonts w:ascii="Arial" w:eastAsiaTheme="minorEastAsia" w:hAnsi="Arial" w:cs="Arial"/>
          <w:color w:val="414042"/>
          <w:sz w:val="24"/>
          <w:szCs w:val="24"/>
        </w:rPr>
        <w:t xml:space="preserve"> </w:t>
      </w:r>
    </w:p>
    <w:p w:rsidR="009B156D" w:rsidRDefault="009B156D" w:rsidP="00894486">
      <w:pPr>
        <w:spacing w:line="276" w:lineRule="auto"/>
        <w:ind w:right="-433"/>
        <w:rPr>
          <w:rFonts w:ascii="Arial" w:eastAsiaTheme="minorEastAsia" w:hAnsi="Arial" w:cs="Arial"/>
          <w:color w:val="414042"/>
          <w:sz w:val="24"/>
          <w:szCs w:val="24"/>
        </w:rPr>
      </w:pPr>
    </w:p>
    <w:p w:rsidR="00345AF2" w:rsidRDefault="00345AF2">
      <w:pPr>
        <w:rPr>
          <w:rFonts w:ascii="Arial" w:eastAsiaTheme="minorEastAsia" w:hAnsi="Arial" w:cs="Arial"/>
          <w:b/>
          <w:color w:val="23A4DE"/>
          <w:sz w:val="24"/>
          <w:szCs w:val="24"/>
        </w:rPr>
      </w:pPr>
      <w:r>
        <w:br w:type="page"/>
      </w:r>
    </w:p>
    <w:p w:rsidR="00624DBD" w:rsidRDefault="00624DBD" w:rsidP="00624DBD">
      <w:pPr>
        <w:pStyle w:val="NICCYSubTitle"/>
      </w:pPr>
      <w:r>
        <w:lastRenderedPageBreak/>
        <w:t>Moving forward</w:t>
      </w:r>
    </w:p>
    <w:p w:rsidR="00624DBD" w:rsidRDefault="00624DBD" w:rsidP="00624DBD">
      <w:p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Over the next three months we will continue to engage with the ID</w:t>
      </w:r>
      <w:r w:rsidR="00EB1906">
        <w:rPr>
          <w:rFonts w:ascii="Arial" w:eastAsiaTheme="minorEastAsia" w:hAnsi="Arial" w:cs="Arial"/>
          <w:color w:val="414042"/>
          <w:sz w:val="24"/>
          <w:szCs w:val="24"/>
        </w:rPr>
        <w:t>G in clarifying aspects of the Action P</w:t>
      </w:r>
      <w:r>
        <w:rPr>
          <w:rFonts w:ascii="Arial" w:eastAsiaTheme="minorEastAsia" w:hAnsi="Arial" w:cs="Arial"/>
          <w:color w:val="414042"/>
          <w:sz w:val="24"/>
          <w:szCs w:val="24"/>
        </w:rPr>
        <w:t>lan and to provide suggestions for its improvement. Some initial areas for discussion will be:</w:t>
      </w:r>
    </w:p>
    <w:p w:rsidR="00E54805" w:rsidRDefault="00E54805" w:rsidP="00FE0D5F">
      <w:pPr>
        <w:pStyle w:val="ListParagraph"/>
        <w:numPr>
          <w:ilvl w:val="0"/>
          <w:numId w:val="30"/>
        </w:num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 xml:space="preserve">Providing further clarification on </w:t>
      </w:r>
      <w:r w:rsidR="00BE3B94">
        <w:rPr>
          <w:rFonts w:ascii="Arial" w:eastAsiaTheme="minorEastAsia" w:hAnsi="Arial" w:cs="Arial"/>
          <w:color w:val="414042"/>
          <w:sz w:val="24"/>
          <w:szCs w:val="24"/>
        </w:rPr>
        <w:t>how best to secure an</w:t>
      </w:r>
      <w:r>
        <w:rPr>
          <w:rFonts w:ascii="Arial" w:eastAsiaTheme="minorEastAsia" w:hAnsi="Arial" w:cs="Arial"/>
          <w:color w:val="414042"/>
          <w:sz w:val="24"/>
          <w:szCs w:val="24"/>
        </w:rPr>
        <w:t xml:space="preserve"> increase in funding for statutory CA</w:t>
      </w:r>
      <w:r w:rsidR="00FF7945">
        <w:rPr>
          <w:rFonts w:ascii="Arial" w:eastAsiaTheme="minorEastAsia" w:hAnsi="Arial" w:cs="Arial"/>
          <w:color w:val="414042"/>
          <w:sz w:val="24"/>
          <w:szCs w:val="24"/>
        </w:rPr>
        <w:t>M</w:t>
      </w:r>
      <w:r>
        <w:rPr>
          <w:rFonts w:ascii="Arial" w:eastAsiaTheme="minorEastAsia" w:hAnsi="Arial" w:cs="Arial"/>
          <w:color w:val="414042"/>
          <w:sz w:val="24"/>
          <w:szCs w:val="24"/>
        </w:rPr>
        <w:t>HS services</w:t>
      </w:r>
      <w:r w:rsidR="008469FF">
        <w:rPr>
          <w:rFonts w:ascii="Arial" w:eastAsiaTheme="minorEastAsia" w:hAnsi="Arial" w:cs="Arial"/>
          <w:color w:val="414042"/>
          <w:sz w:val="24"/>
          <w:szCs w:val="24"/>
        </w:rPr>
        <w:t xml:space="preserve">.  We hope this will lead to a concrete target </w:t>
      </w:r>
      <w:r w:rsidR="00FF7945">
        <w:rPr>
          <w:rFonts w:ascii="Arial" w:eastAsiaTheme="minorEastAsia" w:hAnsi="Arial" w:cs="Arial"/>
          <w:color w:val="414042"/>
          <w:sz w:val="24"/>
          <w:szCs w:val="24"/>
        </w:rPr>
        <w:t xml:space="preserve">to </w:t>
      </w:r>
      <w:r w:rsidR="008469FF">
        <w:rPr>
          <w:rFonts w:ascii="Arial" w:eastAsiaTheme="minorEastAsia" w:hAnsi="Arial" w:cs="Arial"/>
          <w:color w:val="414042"/>
          <w:sz w:val="24"/>
          <w:szCs w:val="24"/>
        </w:rPr>
        <w:t xml:space="preserve">which we can then work;  </w:t>
      </w:r>
    </w:p>
    <w:p w:rsidR="00624DBD" w:rsidRDefault="00624DBD" w:rsidP="00FE0D5F">
      <w:pPr>
        <w:pStyle w:val="ListParagraph"/>
        <w:numPr>
          <w:ilvl w:val="0"/>
          <w:numId w:val="30"/>
        </w:num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Providing further information on the funding required for key recommendations</w:t>
      </w:r>
      <w:r w:rsidR="00DC432E">
        <w:rPr>
          <w:rFonts w:ascii="Arial" w:eastAsiaTheme="minorEastAsia" w:hAnsi="Arial" w:cs="Arial"/>
          <w:color w:val="414042"/>
          <w:sz w:val="24"/>
          <w:szCs w:val="24"/>
        </w:rPr>
        <w:t>, and ensuring that sufficient resources are allocated and spent</w:t>
      </w:r>
      <w:r>
        <w:rPr>
          <w:rFonts w:ascii="Arial" w:eastAsiaTheme="minorEastAsia" w:hAnsi="Arial" w:cs="Arial"/>
          <w:color w:val="414042"/>
          <w:sz w:val="24"/>
          <w:szCs w:val="24"/>
        </w:rPr>
        <w:t>;</w:t>
      </w:r>
    </w:p>
    <w:p w:rsidR="00624DBD" w:rsidRDefault="00624DBD" w:rsidP="00FE0D5F">
      <w:pPr>
        <w:pStyle w:val="ListParagraph"/>
        <w:numPr>
          <w:ilvl w:val="0"/>
          <w:numId w:val="30"/>
        </w:num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Clarifying the purpose of the scoping and mapping exercises contained in the action and making sure that actions follow from these</w:t>
      </w:r>
      <w:r w:rsidR="00787249">
        <w:rPr>
          <w:rFonts w:ascii="Arial" w:eastAsiaTheme="minorEastAsia" w:hAnsi="Arial" w:cs="Arial"/>
          <w:color w:val="414042"/>
          <w:sz w:val="24"/>
          <w:szCs w:val="24"/>
        </w:rPr>
        <w:t>;</w:t>
      </w:r>
    </w:p>
    <w:p w:rsidR="00F965D1" w:rsidRDefault="00F965D1" w:rsidP="00FE0D5F">
      <w:pPr>
        <w:pStyle w:val="ListParagraph"/>
        <w:numPr>
          <w:ilvl w:val="0"/>
          <w:numId w:val="30"/>
        </w:num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 xml:space="preserve">Ensuring that specific actions take full and proper account of children’s statutory rights; </w:t>
      </w:r>
    </w:p>
    <w:p w:rsidR="00787249" w:rsidRDefault="00624DBD" w:rsidP="00FE0D5F">
      <w:pPr>
        <w:pStyle w:val="ListParagraph"/>
        <w:numPr>
          <w:ilvl w:val="0"/>
          <w:numId w:val="30"/>
        </w:num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Ensuring that there are more practical solutions contained in the action plan, including greater outreach to those working directly with children and young people in services</w:t>
      </w:r>
      <w:r w:rsidR="00787249">
        <w:rPr>
          <w:rFonts w:ascii="Arial" w:eastAsiaTheme="minorEastAsia" w:hAnsi="Arial" w:cs="Arial"/>
          <w:color w:val="414042"/>
          <w:sz w:val="24"/>
          <w:szCs w:val="24"/>
        </w:rPr>
        <w:t xml:space="preserve">; and </w:t>
      </w:r>
    </w:p>
    <w:p w:rsidR="00624DBD" w:rsidRPr="00634C5B" w:rsidRDefault="00787249" w:rsidP="00FE0D5F">
      <w:pPr>
        <w:pStyle w:val="ListParagraph"/>
        <w:numPr>
          <w:ilvl w:val="0"/>
          <w:numId w:val="30"/>
        </w:num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 xml:space="preserve">Establishing mechanisms by which the IDG engages a broader range of stakeholders on the </w:t>
      </w:r>
      <w:r w:rsidR="009A78B7">
        <w:rPr>
          <w:rFonts w:ascii="Arial" w:eastAsiaTheme="minorEastAsia" w:hAnsi="Arial" w:cs="Arial"/>
          <w:color w:val="414042"/>
          <w:sz w:val="24"/>
          <w:szCs w:val="24"/>
        </w:rPr>
        <w:t xml:space="preserve">development and implementation of its Action Plans. </w:t>
      </w:r>
      <w:r w:rsidR="00624DBD">
        <w:rPr>
          <w:rFonts w:ascii="Arial" w:eastAsiaTheme="minorEastAsia" w:hAnsi="Arial" w:cs="Arial"/>
          <w:color w:val="414042"/>
          <w:sz w:val="24"/>
          <w:szCs w:val="24"/>
        </w:rPr>
        <w:t xml:space="preserve"> </w:t>
      </w:r>
    </w:p>
    <w:p w:rsidR="00624DBD" w:rsidRDefault="00624DBD" w:rsidP="00624DBD">
      <w:pPr>
        <w:spacing w:line="276" w:lineRule="auto"/>
        <w:ind w:right="-433"/>
        <w:rPr>
          <w:rFonts w:ascii="Arial" w:eastAsiaTheme="minorEastAsia" w:hAnsi="Arial" w:cs="Arial"/>
          <w:color w:val="414042"/>
          <w:sz w:val="24"/>
          <w:szCs w:val="24"/>
        </w:rPr>
      </w:pPr>
    </w:p>
    <w:p w:rsidR="00624DBD" w:rsidRPr="009B156D" w:rsidRDefault="00624DBD" w:rsidP="00624DBD">
      <w:pPr>
        <w:spacing w:line="276" w:lineRule="auto"/>
        <w:ind w:right="-433"/>
        <w:rPr>
          <w:rFonts w:ascii="Arial" w:eastAsiaTheme="minorEastAsia" w:hAnsi="Arial" w:cs="Arial"/>
          <w:color w:val="414042"/>
          <w:sz w:val="24"/>
          <w:szCs w:val="24"/>
        </w:rPr>
      </w:pPr>
      <w:r>
        <w:rPr>
          <w:rFonts w:ascii="Arial" w:eastAsiaTheme="minorEastAsia" w:hAnsi="Arial" w:cs="Arial"/>
          <w:color w:val="414042"/>
          <w:sz w:val="24"/>
          <w:szCs w:val="24"/>
        </w:rPr>
        <w:t xml:space="preserve">We will engage with the IDG to ensure that the priority areas are fully addressed in this initial phase of delivery, but that all recommendations are directly reflected in the Action Plan in a phased basis. The timeframes in the Action Plan are largely short term, with most </w:t>
      </w:r>
      <w:r w:rsidR="00B11A9F">
        <w:rPr>
          <w:rFonts w:ascii="Arial" w:eastAsiaTheme="minorEastAsia" w:hAnsi="Arial" w:cs="Arial"/>
          <w:color w:val="414042"/>
          <w:sz w:val="24"/>
          <w:szCs w:val="24"/>
        </w:rPr>
        <w:t xml:space="preserve">due for </w:t>
      </w:r>
      <w:r>
        <w:rPr>
          <w:rFonts w:ascii="Arial" w:eastAsiaTheme="minorEastAsia" w:hAnsi="Arial" w:cs="Arial"/>
          <w:color w:val="414042"/>
          <w:sz w:val="24"/>
          <w:szCs w:val="24"/>
        </w:rPr>
        <w:t>complet</w:t>
      </w:r>
      <w:r w:rsidR="00B11A9F">
        <w:rPr>
          <w:rFonts w:ascii="Arial" w:eastAsiaTheme="minorEastAsia" w:hAnsi="Arial" w:cs="Arial"/>
          <w:color w:val="414042"/>
          <w:sz w:val="24"/>
          <w:szCs w:val="24"/>
        </w:rPr>
        <w:t>ion</w:t>
      </w:r>
      <w:r>
        <w:rPr>
          <w:rFonts w:ascii="Arial" w:eastAsiaTheme="minorEastAsia" w:hAnsi="Arial" w:cs="Arial"/>
          <w:color w:val="414042"/>
          <w:sz w:val="24"/>
          <w:szCs w:val="24"/>
        </w:rPr>
        <w:t xml:space="preserve"> in 2020, and only a few extending to 2021. We understand that this Action Plan reflects the initial actions over the first phase of delivery, and will discuss with the IDG the timeframe for subsequent Plans. </w:t>
      </w:r>
      <w:r w:rsidR="00B11A9F">
        <w:rPr>
          <w:rFonts w:ascii="Arial" w:eastAsiaTheme="minorEastAsia" w:hAnsi="Arial" w:cs="Arial"/>
          <w:color w:val="414042"/>
          <w:sz w:val="24"/>
          <w:szCs w:val="24"/>
        </w:rPr>
        <w:t xml:space="preserve"> </w:t>
      </w:r>
      <w:r>
        <w:rPr>
          <w:rFonts w:ascii="Arial" w:eastAsiaTheme="minorEastAsia" w:hAnsi="Arial" w:cs="Arial"/>
          <w:color w:val="414042"/>
          <w:sz w:val="24"/>
          <w:szCs w:val="24"/>
        </w:rPr>
        <w:t xml:space="preserve">We will also seek to reach agreement with the IDG on a set of indicators by which we can measure the outcomes of their work to implement the Still Waiting recommendations. </w:t>
      </w:r>
    </w:p>
    <w:p w:rsidR="00624DBD" w:rsidRDefault="00624DBD" w:rsidP="00133117">
      <w:pPr>
        <w:pStyle w:val="NICCYBodyText"/>
      </w:pPr>
    </w:p>
    <w:p w:rsidR="00EB1906" w:rsidRDefault="00133117" w:rsidP="00133117">
      <w:pPr>
        <w:pStyle w:val="NICCYBodyText"/>
      </w:pPr>
      <w:r>
        <w:t xml:space="preserve">The IDG have agreed to provide a report on its progress on implementing its Action Plan in December, and </w:t>
      </w:r>
      <w:r w:rsidR="00FE7165">
        <w:t xml:space="preserve">in February 2020 </w:t>
      </w:r>
      <w:r w:rsidR="009C6035">
        <w:t xml:space="preserve">(to coincide with Children’s Mental Health Week) </w:t>
      </w:r>
      <w:r>
        <w:t>we will subsequently publish a</w:t>
      </w:r>
      <w:r w:rsidR="00FE7165">
        <w:t xml:space="preserve"> Monitoring Report containing our analysis of the IDG response to the Still Waiting recommendations. Reflecting our commitment to this work, this will be the first in a series of four annual Monitoring Reports on the implementation of Still Waiting</w:t>
      </w:r>
      <w:r w:rsidR="001C6489">
        <w:t xml:space="preserve">, culminating in the final report in February 2023. </w:t>
      </w:r>
    </w:p>
    <w:p w:rsidR="00EB1906" w:rsidRDefault="00EB1906" w:rsidP="00133117">
      <w:pPr>
        <w:pStyle w:val="NICCYBodyText"/>
      </w:pPr>
    </w:p>
    <w:p w:rsidR="008469FF" w:rsidRDefault="00EB1906" w:rsidP="009F5CC4">
      <w:pPr>
        <w:pStyle w:val="NICCYBodyText"/>
        <w:spacing w:line="276" w:lineRule="auto"/>
      </w:pPr>
      <w:r>
        <w:t>These reports will provide an independent assessment of progress made against the recommendations set out in the report, and we</w:t>
      </w:r>
      <w:r w:rsidRPr="000128F7">
        <w:t xml:space="preserve"> will engage </w:t>
      </w:r>
      <w:r>
        <w:t>with a wide range of stakeholders</w:t>
      </w:r>
      <w:r w:rsidRPr="000128F7">
        <w:t xml:space="preserve"> </w:t>
      </w:r>
      <w:r>
        <w:t>to inform this monitoring process</w:t>
      </w:r>
      <w:r w:rsidR="009F5CC4">
        <w:t xml:space="preserve">, including children and young people </w:t>
      </w:r>
      <w:r w:rsidR="009F5CC4">
        <w:lastRenderedPageBreak/>
        <w:t xml:space="preserve">themselves. </w:t>
      </w:r>
      <w:r w:rsidR="004F1379">
        <w:t>The final Monitoring R</w:t>
      </w:r>
      <w:r w:rsidR="001C6489">
        <w:t xml:space="preserve">eport will </w:t>
      </w:r>
      <w:r w:rsidR="004F1379">
        <w:t xml:space="preserve">provide a more in-depth review of progress, and will </w:t>
      </w:r>
      <w:r w:rsidR="001C6489">
        <w:t>also be informed by children and young people who have sought to access support for their emotional and mental health</w:t>
      </w:r>
      <w:r w:rsidR="00E55808">
        <w:t>.</w:t>
      </w:r>
    </w:p>
    <w:p w:rsidR="00FE0D5F" w:rsidRDefault="00FE0D5F" w:rsidP="009F5CC4">
      <w:pPr>
        <w:pStyle w:val="NICCYBodyText"/>
        <w:spacing w:line="276" w:lineRule="auto"/>
      </w:pPr>
    </w:p>
    <w:p w:rsidR="00C0365A" w:rsidRDefault="009F5CC4" w:rsidP="00133117">
      <w:pPr>
        <w:pStyle w:val="NICCYBodyText"/>
      </w:pPr>
      <w:r>
        <w:t>Ultimately, the success or otherwise of any strategy / action plan should be judged on its outcomes</w:t>
      </w:r>
      <w:r w:rsidR="009C6035">
        <w:t xml:space="preserve"> </w:t>
      </w:r>
      <w:r>
        <w:t>–</w:t>
      </w:r>
      <w:r w:rsidR="009C6035">
        <w:t xml:space="preserve"> </w:t>
      </w:r>
      <w:r>
        <w:t>in this case the extent to which it has made a tangible difference to the availability, accessibility, quality and participatory nature of mental health services and support for children and young people.</w:t>
      </w:r>
      <w:r w:rsidR="00BE3B94">
        <w:t xml:space="preserve">  </w:t>
      </w:r>
      <w:r>
        <w:t xml:space="preserve"> </w:t>
      </w:r>
    </w:p>
    <w:p w:rsidR="00C0365A" w:rsidRPr="00FE0D5F" w:rsidRDefault="00C0365A" w:rsidP="00133117">
      <w:pPr>
        <w:pStyle w:val="NICCYBodyText"/>
        <w:rPr>
          <w:sz w:val="16"/>
          <w:szCs w:val="16"/>
        </w:rPr>
      </w:pPr>
      <w:bookmarkStart w:id="0" w:name="_GoBack"/>
      <w:bookmarkEnd w:id="0"/>
    </w:p>
    <w:p w:rsidR="00FF6690" w:rsidRPr="00FF6690" w:rsidRDefault="00FF6690" w:rsidP="00133117">
      <w:pPr>
        <w:pStyle w:val="NICCYBodyText"/>
        <w:rPr>
          <w:b/>
          <w:color w:val="00B0F0"/>
        </w:rPr>
      </w:pPr>
      <w:r w:rsidRPr="00FF6690">
        <w:rPr>
          <w:b/>
          <w:color w:val="00B0F0"/>
        </w:rPr>
        <w:t xml:space="preserve">Young People’s Engagement </w:t>
      </w:r>
    </w:p>
    <w:p w:rsidR="00FF6690" w:rsidRDefault="00FF6690" w:rsidP="00133117">
      <w:pPr>
        <w:pStyle w:val="NICCYBodyText"/>
      </w:pPr>
      <w:r>
        <w:t>The experiences of young people accessing services was the core of Still Waiting and our work to ensure implementation is centred on our commitment to honour their words and views. T</w:t>
      </w:r>
      <w:r w:rsidR="00C0365A">
        <w:t>his includes informing children and young people of our findings and supporting them to have thei</w:t>
      </w:r>
      <w:r w:rsidR="002E1264">
        <w:t xml:space="preserve">r voices heard in relation to the provision of emotional and mental health services. </w:t>
      </w:r>
      <w:r w:rsidR="00C0365A">
        <w:t xml:space="preserve"> </w:t>
      </w:r>
    </w:p>
    <w:p w:rsidR="00FF6690" w:rsidRPr="00FE0D5F" w:rsidRDefault="00FF6690" w:rsidP="00133117">
      <w:pPr>
        <w:pStyle w:val="NICCYBodyText"/>
        <w:rPr>
          <w:sz w:val="16"/>
          <w:szCs w:val="16"/>
        </w:rPr>
      </w:pPr>
    </w:p>
    <w:p w:rsidR="009A78B7" w:rsidRDefault="00FF6690" w:rsidP="00133117">
      <w:pPr>
        <w:pStyle w:val="NICCYBodyText"/>
      </w:pPr>
      <w:r>
        <w:t>The NICCY Youth Panel group on mental health continues to meet to support the im</w:t>
      </w:r>
      <w:r w:rsidR="006A5E7E">
        <w:t xml:space="preserve">plementation of the Review. They </w:t>
      </w:r>
      <w:r w:rsidR="00C0365A">
        <w:t>are currently working in partnership with young people from ‘Elephant in the Room’</w:t>
      </w:r>
      <w:r w:rsidR="002E1264">
        <w:t xml:space="preserve"> to develop a campaign resource </w:t>
      </w:r>
      <w:r w:rsidR="00440912">
        <w:t xml:space="preserve">‘Tool Kit’ </w:t>
      </w:r>
      <w:r w:rsidR="006A5E7E">
        <w:t>which will</w:t>
      </w:r>
      <w:r w:rsidR="002E1264">
        <w:t xml:space="preserve"> be made available to children and young people across Northern Ireland to </w:t>
      </w:r>
      <w:r w:rsidR="006A5E7E">
        <w:t>support their engagement with</w:t>
      </w:r>
      <w:r w:rsidR="002E1264">
        <w:t xml:space="preserve"> Government in delivering on their </w:t>
      </w:r>
      <w:r w:rsidR="00440912">
        <w:t>A</w:t>
      </w:r>
      <w:r w:rsidR="00173DB9">
        <w:t xml:space="preserve">rticle 24 </w:t>
      </w:r>
      <w:r w:rsidR="00440912">
        <w:t>R</w:t>
      </w:r>
      <w:r w:rsidR="002E1264">
        <w:t xml:space="preserve">ight to the </w:t>
      </w:r>
      <w:r w:rsidR="00173DB9">
        <w:t>highest attainable standard</w:t>
      </w:r>
      <w:r w:rsidR="00440912">
        <w:t>s</w:t>
      </w:r>
      <w:r w:rsidR="00173DB9">
        <w:t xml:space="preserve"> of mental health.</w:t>
      </w:r>
    </w:p>
    <w:p w:rsidR="00E55808" w:rsidRDefault="00E55808" w:rsidP="00133117">
      <w:pPr>
        <w:pStyle w:val="NICCYBodyText"/>
      </w:pPr>
    </w:p>
    <w:p w:rsidR="00133117" w:rsidRDefault="00FF6690" w:rsidP="00133117">
      <w:pPr>
        <w:pStyle w:val="NICCYBodyText"/>
        <w:rPr>
          <w:b/>
          <w:color w:val="00B0F0"/>
        </w:rPr>
      </w:pPr>
      <w:r w:rsidRPr="00FF6690">
        <w:rPr>
          <w:b/>
          <w:color w:val="00B0F0"/>
        </w:rPr>
        <w:t xml:space="preserve">Conclusion </w:t>
      </w:r>
    </w:p>
    <w:p w:rsidR="007211D1" w:rsidRPr="007211D1" w:rsidRDefault="00C654BE" w:rsidP="007211D1">
      <w:pPr>
        <w:pStyle w:val="NICCYBodyText"/>
      </w:pPr>
      <w:r>
        <w:t>When writing the re</w:t>
      </w:r>
      <w:r w:rsidR="008943BF">
        <w:t>commendations for ‘Still Waiting’,</w:t>
      </w:r>
      <w:r>
        <w:t xml:space="preserve"> </w:t>
      </w:r>
      <w:r w:rsidR="00345AF2">
        <w:t xml:space="preserve">the </w:t>
      </w:r>
      <w:r>
        <w:t xml:space="preserve">intention was that they should </w:t>
      </w:r>
      <w:r w:rsidR="00475CA3">
        <w:t>be</w:t>
      </w:r>
      <w:r>
        <w:t xml:space="preserve"> </w:t>
      </w:r>
      <w:r w:rsidR="008943BF">
        <w:t xml:space="preserve">as practical as possible </w:t>
      </w:r>
      <w:r w:rsidR="001F34E8">
        <w:t xml:space="preserve">and </w:t>
      </w:r>
      <w:r>
        <w:t xml:space="preserve">helpful </w:t>
      </w:r>
      <w:r w:rsidR="001F34E8">
        <w:t>to a</w:t>
      </w:r>
      <w:r w:rsidR="00475CA3">
        <w:t xml:space="preserve"> system that was still in development. We heard directly from children of their experiences seeking to access services, reviewed data from service providers and analysed the resources expended. </w:t>
      </w:r>
      <w:r w:rsidR="000E2DF6">
        <w:t>The Commissioner</w:t>
      </w:r>
      <w:r w:rsidR="00475CA3">
        <w:t xml:space="preserve"> w</w:t>
      </w:r>
      <w:r w:rsidR="000E2DF6">
        <w:t>as</w:t>
      </w:r>
      <w:r w:rsidR="00475CA3">
        <w:t xml:space="preserve"> clear that this was not a report that should remain on a shelf, but </w:t>
      </w:r>
      <w:r w:rsidR="008943BF">
        <w:t xml:space="preserve">rather one into which </w:t>
      </w:r>
      <w:r w:rsidR="00475CA3">
        <w:t xml:space="preserve">we would put </w:t>
      </w:r>
      <w:r w:rsidR="008943BF">
        <w:t xml:space="preserve">as much effort and energy </w:t>
      </w:r>
      <w:r w:rsidR="00475CA3">
        <w:t xml:space="preserve">engaging </w:t>
      </w:r>
      <w:r w:rsidR="00F46EC2">
        <w:t xml:space="preserve">relevant authorities in implementing the report, as we had done in writing it. </w:t>
      </w:r>
      <w:r w:rsidR="008943BF">
        <w:t xml:space="preserve"> </w:t>
      </w:r>
      <w:r w:rsidR="00F46EC2">
        <w:t xml:space="preserve">One year on, while </w:t>
      </w:r>
      <w:r w:rsidR="000E2DF6">
        <w:t>the Commissioner</w:t>
      </w:r>
      <w:r w:rsidR="00F46EC2">
        <w:t xml:space="preserve"> would have liked to see quicker progress, </w:t>
      </w:r>
      <w:r w:rsidR="008943BF">
        <w:t xml:space="preserve">we are </w:t>
      </w:r>
      <w:r w:rsidR="00F46EC2">
        <w:t>nevertheless pleased at the re</w:t>
      </w:r>
      <w:r w:rsidR="008943BF">
        <w:t>sponses</w:t>
      </w:r>
      <w:r w:rsidR="00F46EC2">
        <w:t xml:space="preserve"> we have received from t</w:t>
      </w:r>
      <w:r w:rsidR="008943BF">
        <w:t>he key departments and agencies -</w:t>
      </w:r>
      <w:r w:rsidR="00F46EC2">
        <w:t xml:space="preserve"> particularly in </w:t>
      </w:r>
      <w:r w:rsidR="008943BF">
        <w:t>establishing the IDG</w:t>
      </w:r>
      <w:r w:rsidR="00042070">
        <w:t xml:space="preserve"> and producing its recent Action Plan</w:t>
      </w:r>
      <w:r w:rsidR="00F46EC2">
        <w:t xml:space="preserve">. </w:t>
      </w:r>
      <w:r w:rsidR="008943BF">
        <w:t xml:space="preserve"> </w:t>
      </w:r>
      <w:r w:rsidR="00223553">
        <w:t xml:space="preserve">This reflects a recognition of </w:t>
      </w:r>
      <w:r w:rsidR="008943BF">
        <w:t xml:space="preserve">the importance placed on providing </w:t>
      </w:r>
      <w:r w:rsidR="00223553">
        <w:t>high quality</w:t>
      </w:r>
      <w:r w:rsidR="008943BF">
        <w:t>,</w:t>
      </w:r>
      <w:r w:rsidR="00223553">
        <w:t xml:space="preserve"> emotional and mental health services </w:t>
      </w:r>
      <w:r w:rsidR="008943BF">
        <w:t>for</w:t>
      </w:r>
      <w:r w:rsidR="00223553">
        <w:t xml:space="preserve"> children and young people in Northern Ireland. </w:t>
      </w:r>
      <w:r w:rsidR="008943BF">
        <w:t xml:space="preserve"> </w:t>
      </w:r>
      <w:r w:rsidR="000E2DF6">
        <w:t>The Commissioner</w:t>
      </w:r>
      <w:r w:rsidR="008943BF">
        <w:t xml:space="preserve"> sincerely welcome</w:t>
      </w:r>
      <w:r w:rsidR="000E2DF6">
        <w:t>s</w:t>
      </w:r>
      <w:r w:rsidR="008943BF">
        <w:t xml:space="preserve"> this and look</w:t>
      </w:r>
      <w:r w:rsidR="000E2DF6">
        <w:t>s</w:t>
      </w:r>
      <w:r w:rsidR="008943BF">
        <w:t xml:space="preserve"> forward with optimism to reporting on progress in February 2020.</w:t>
      </w:r>
    </w:p>
    <w:sectPr w:rsidR="007211D1" w:rsidRPr="007211D1"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463" w:rsidRDefault="00A01463" w:rsidP="00280C3B">
      <w:r>
        <w:separator/>
      </w:r>
    </w:p>
  </w:endnote>
  <w:endnote w:type="continuationSeparator" w:id="0">
    <w:p w:rsidR="00A01463" w:rsidRDefault="00A01463"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FuturaLT-Book">
    <w:panose1 w:val="00000000000000000000"/>
    <w:charset w:val="00"/>
    <w:family w:val="swiss"/>
    <w:notTrueType/>
    <w:pitch w:val="default"/>
    <w:sig w:usb0="00000003" w:usb1="00000000" w:usb2="00000000" w:usb3="00000000" w:csb0="00000001" w:csb1="00000000"/>
  </w:font>
  <w:font w:name="Futura Book">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A0" w:rsidRDefault="007E5014" w:rsidP="006013F5">
    <w:pPr>
      <w:pStyle w:val="Footer"/>
      <w:framePr w:wrap="around" w:vAnchor="text" w:hAnchor="margin" w:xAlign="right" w:y="1"/>
      <w:rPr>
        <w:rStyle w:val="PageNumber"/>
      </w:rPr>
    </w:pPr>
    <w:r>
      <w:rPr>
        <w:rStyle w:val="PageNumber"/>
      </w:rPr>
      <w:fldChar w:fldCharType="begin"/>
    </w:r>
    <w:r w:rsidR="002A5FA0">
      <w:rPr>
        <w:rStyle w:val="PageNumber"/>
      </w:rPr>
      <w:instrText xml:space="preserve">PAGE  </w:instrText>
    </w:r>
    <w:r>
      <w:rPr>
        <w:rStyle w:val="PageNumber"/>
      </w:rPr>
      <w:fldChar w:fldCharType="end"/>
    </w:r>
  </w:p>
  <w:p w:rsidR="002A5FA0" w:rsidRDefault="002A5FA0" w:rsidP="00D8195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A0" w:rsidRPr="008C32B9" w:rsidRDefault="007E5014"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2A5FA0"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FE0D5F">
      <w:rPr>
        <w:rStyle w:val="PageNumber"/>
        <w:rFonts w:ascii="Arial" w:hAnsi="Arial" w:cs="Arial"/>
        <w:noProof/>
        <w:color w:val="414042"/>
        <w:sz w:val="16"/>
        <w:szCs w:val="16"/>
      </w:rPr>
      <w:t>10</w:t>
    </w:r>
    <w:r w:rsidRPr="008C32B9">
      <w:rPr>
        <w:rStyle w:val="PageNumber"/>
        <w:rFonts w:ascii="Arial" w:hAnsi="Arial" w:cs="Arial"/>
        <w:color w:val="414042"/>
        <w:sz w:val="16"/>
        <w:szCs w:val="16"/>
      </w:rPr>
      <w:fldChar w:fldCharType="end"/>
    </w:r>
  </w:p>
  <w:p w:rsidR="002A5FA0" w:rsidRPr="008C32B9" w:rsidRDefault="002A5FA0"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78082D">
      <w:rPr>
        <w:rFonts w:ascii="Arial" w:hAnsi="Arial" w:cs="Arial"/>
        <w:noProof/>
        <w:color w:val="414042"/>
        <w:sz w:val="16"/>
        <w:szCs w:val="16"/>
        <w:lang w:val="en-GB" w:eastAsia="en-GB"/>
      </w:rPr>
      <mc:AlternateContent>
        <mc:Choice Requires="wpg">
          <w:drawing>
            <wp:anchor distT="0" distB="0" distL="114300" distR="114300" simplePos="0" relativeHeight="251663360" behindDoc="0" locked="0" layoutInCell="1" allowOverlap="1" wp14:anchorId="7A2CCFBD" wp14:editId="242A6DE3">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A2CCFBD"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rsidR="002A5FA0" w:rsidRDefault="002A5FA0"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rsidR="002A5FA0" w:rsidRDefault="002A5FA0"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rsidR="002A5FA0" w:rsidRDefault="002A5FA0"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rsidR="002A5FA0" w:rsidRDefault="002A5FA0"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rsidR="002A5FA0" w:rsidRDefault="002A5FA0"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463" w:rsidRDefault="00A01463" w:rsidP="00280C3B">
      <w:r>
        <w:separator/>
      </w:r>
    </w:p>
  </w:footnote>
  <w:footnote w:type="continuationSeparator" w:id="0">
    <w:p w:rsidR="00A01463" w:rsidRDefault="00A01463" w:rsidP="00280C3B">
      <w:r>
        <w:continuationSeparator/>
      </w:r>
    </w:p>
  </w:footnote>
  <w:footnote w:id="1">
    <w:p w:rsidR="006A3324" w:rsidRPr="00371693" w:rsidRDefault="006A3324" w:rsidP="00371693">
      <w:pPr>
        <w:pStyle w:val="NICCYBodyText"/>
        <w:rPr>
          <w:sz w:val="20"/>
          <w:szCs w:val="20"/>
        </w:rPr>
      </w:pPr>
      <w:r w:rsidRPr="00371693">
        <w:rPr>
          <w:rStyle w:val="FootnoteReference"/>
          <w:sz w:val="20"/>
          <w:szCs w:val="20"/>
        </w:rPr>
        <w:footnoteRef/>
      </w:r>
      <w:r w:rsidRPr="00371693">
        <w:rPr>
          <w:sz w:val="20"/>
          <w:szCs w:val="20"/>
        </w:rPr>
        <w:t xml:space="preserve"> While financial resources are critical in delivering several recommendations, staffing resource and capacity to undertake some of the actions are also </w:t>
      </w:r>
      <w:r w:rsidR="00820E5C" w:rsidRPr="00371693">
        <w:rPr>
          <w:sz w:val="20"/>
          <w:szCs w:val="20"/>
        </w:rPr>
        <w:t>important, and currently constrained. These need to be addressed to ensure progress</w:t>
      </w:r>
      <w:r w:rsidR="009C2EB2" w:rsidRPr="00371693">
        <w:rPr>
          <w:sz w:val="20"/>
          <w:szCs w:val="20"/>
        </w:rPr>
        <w:t>.</w:t>
      </w:r>
      <w:r w:rsidR="00820E5C" w:rsidRPr="00371693">
        <w:rPr>
          <w:sz w:val="20"/>
          <w:szCs w:val="20"/>
        </w:rPr>
        <w:t xml:space="preserve"> </w:t>
      </w:r>
    </w:p>
  </w:footnote>
  <w:footnote w:id="2">
    <w:p w:rsidR="00F16A74" w:rsidRPr="00DC432E" w:rsidRDefault="00F16A74" w:rsidP="00DC432E">
      <w:pPr>
        <w:pStyle w:val="NICCYBodyText"/>
        <w:rPr>
          <w:sz w:val="20"/>
          <w:szCs w:val="20"/>
        </w:rPr>
      </w:pPr>
      <w:r w:rsidRPr="00DC432E">
        <w:rPr>
          <w:rStyle w:val="FootnoteReference"/>
          <w:sz w:val="20"/>
          <w:szCs w:val="20"/>
        </w:rPr>
        <w:footnoteRef/>
      </w:r>
      <w:r w:rsidRPr="00DC432E">
        <w:rPr>
          <w:sz w:val="20"/>
          <w:szCs w:val="20"/>
        </w:rPr>
        <w:t xml:space="preserve"> A letter from the Permanent Secretary of </w:t>
      </w:r>
      <w:proofErr w:type="spellStart"/>
      <w:r w:rsidRPr="00DC432E">
        <w:rPr>
          <w:sz w:val="20"/>
          <w:szCs w:val="20"/>
        </w:rPr>
        <w:t>DoH</w:t>
      </w:r>
      <w:proofErr w:type="spellEnd"/>
      <w:r w:rsidRPr="00DC432E">
        <w:rPr>
          <w:sz w:val="20"/>
          <w:szCs w:val="20"/>
        </w:rPr>
        <w:t xml:space="preserve">, Richard Pengelly, to the Commissioner on 17 June 2019 clarified that, while </w:t>
      </w:r>
      <w:r w:rsidR="006760D1" w:rsidRPr="00DC432E">
        <w:rPr>
          <w:sz w:val="20"/>
          <w:szCs w:val="20"/>
        </w:rPr>
        <w:t>a large amount had been</w:t>
      </w:r>
      <w:r w:rsidRPr="00DC432E">
        <w:rPr>
          <w:sz w:val="20"/>
          <w:szCs w:val="20"/>
        </w:rPr>
        <w:t xml:space="preserve"> allocated from the Transformation Fund in </w:t>
      </w:r>
      <w:r w:rsidR="006760D1" w:rsidRPr="00DC432E">
        <w:rPr>
          <w:sz w:val="20"/>
          <w:szCs w:val="20"/>
        </w:rPr>
        <w:t>2018-19, due to challenges in recruiting staff in the timeframe available on</w:t>
      </w:r>
      <w:r w:rsidR="00DC432E">
        <w:rPr>
          <w:sz w:val="20"/>
          <w:szCs w:val="20"/>
        </w:rPr>
        <w:t>l</w:t>
      </w:r>
      <w:r w:rsidR="006760D1" w:rsidRPr="00DC432E">
        <w:rPr>
          <w:sz w:val="20"/>
          <w:szCs w:val="20"/>
        </w:rPr>
        <w:t>y £0.451m was spent. The funding allocation of £0.666m allocated to CAMHS Transformation</w:t>
      </w:r>
      <w:r w:rsidR="00DC432E" w:rsidRPr="00DC432E">
        <w:rPr>
          <w:sz w:val="20"/>
          <w:szCs w:val="20"/>
        </w:rPr>
        <w:t xml:space="preserve"> projects in 2019-20 did not include funding for the CAMHS dataset or the Managed Care Network. </w:t>
      </w:r>
    </w:p>
  </w:footnote>
  <w:footnote w:id="3">
    <w:p w:rsidR="001F34E8" w:rsidRPr="001F34E8" w:rsidRDefault="001F34E8" w:rsidP="001F34E8">
      <w:pPr>
        <w:pStyle w:val="NICCYBodyText"/>
      </w:pPr>
      <w:r w:rsidRPr="002B3683">
        <w:rPr>
          <w:rStyle w:val="FootnoteReference"/>
        </w:rPr>
        <w:footnoteRef/>
      </w:r>
      <w:r w:rsidRPr="002B3683">
        <w:t xml:space="preserve"> </w:t>
      </w:r>
      <w:r w:rsidR="00345AF2" w:rsidRPr="00345AF2">
        <w:t>The</w:t>
      </w:r>
      <w:r w:rsidR="00345AF2">
        <w:t xml:space="preserve"> IDG Action Plan is available on the Department of Health website.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2A5FA0" w:rsidTr="000D52AB">
      <w:tc>
        <w:tcPr>
          <w:tcW w:w="5027" w:type="dxa"/>
          <w:shd w:val="clear" w:color="auto" w:fill="auto"/>
        </w:tcPr>
        <w:p w:rsidR="002A5FA0" w:rsidRDefault="002A5FA0" w:rsidP="000D52AB">
          <w:pPr>
            <w:pStyle w:val="CompanyName"/>
            <w:rPr>
              <w:rFonts w:ascii="Futura Book" w:hAnsi="Futura Book" w:cs="Arial"/>
              <w:lang w:val="en-GB"/>
            </w:rPr>
          </w:pPr>
        </w:p>
      </w:tc>
      <w:tc>
        <w:tcPr>
          <w:tcW w:w="4855" w:type="dxa"/>
          <w:shd w:val="clear" w:color="auto" w:fill="auto"/>
        </w:tcPr>
        <w:p w:rsidR="002A5FA0" w:rsidRDefault="002A5FA0" w:rsidP="000D52AB">
          <w:pPr>
            <w:pStyle w:val="CompanyName"/>
            <w:rPr>
              <w:rFonts w:ascii="Futura Book" w:hAnsi="Futura Book" w:cs="Arial"/>
              <w:lang w:val="en-GB"/>
            </w:rPr>
          </w:pPr>
        </w:p>
      </w:tc>
    </w:tr>
  </w:tbl>
  <w:p w:rsidR="002A5FA0" w:rsidRDefault="002A5FA0">
    <w:pPr>
      <w:pStyle w:val="Header"/>
    </w:pPr>
    <w:r>
      <w:rPr>
        <w:rFonts w:ascii="Futura Book" w:hAnsi="Futura Book" w:cs="Arial"/>
        <w:noProof/>
        <w:lang w:val="en-GB" w:eastAsia="en-GB"/>
      </w:rPr>
      <w:drawing>
        <wp:anchor distT="0" distB="0" distL="114300" distR="114300" simplePos="0" relativeHeight="251661312" behindDoc="0" locked="0" layoutInCell="1" allowOverlap="1" wp14:anchorId="2FBE15B9" wp14:editId="2A542C1B">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361A"/>
    <w:multiLevelType w:val="hybridMultilevel"/>
    <w:tmpl w:val="8A5ED3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6309F"/>
    <w:multiLevelType w:val="hybridMultilevel"/>
    <w:tmpl w:val="26528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20F86"/>
    <w:multiLevelType w:val="hybridMultilevel"/>
    <w:tmpl w:val="87C0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C5E6E73"/>
    <w:multiLevelType w:val="hybridMultilevel"/>
    <w:tmpl w:val="90BA9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1251A"/>
    <w:multiLevelType w:val="hybridMultilevel"/>
    <w:tmpl w:val="90BA9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531BF9"/>
    <w:multiLevelType w:val="hybridMultilevel"/>
    <w:tmpl w:val="D02E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2" w15:restartNumberingAfterBreak="0">
    <w:nsid w:val="37D520D0"/>
    <w:multiLevelType w:val="hybridMultilevel"/>
    <w:tmpl w:val="B322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4" w15:restartNumberingAfterBreak="0">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EF56ED"/>
    <w:multiLevelType w:val="hybridMultilevel"/>
    <w:tmpl w:val="1744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61E16"/>
    <w:multiLevelType w:val="hybridMultilevel"/>
    <w:tmpl w:val="CFA6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19" w15:restartNumberingAfterBreak="0">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42653"/>
    <w:multiLevelType w:val="hybridMultilevel"/>
    <w:tmpl w:val="F68C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675170"/>
    <w:multiLevelType w:val="hybridMultilevel"/>
    <w:tmpl w:val="04D0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E40970"/>
    <w:multiLevelType w:val="hybridMultilevel"/>
    <w:tmpl w:val="67F0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732014"/>
    <w:multiLevelType w:val="hybridMultilevel"/>
    <w:tmpl w:val="49B03DAE"/>
    <w:lvl w:ilvl="0" w:tplc="F9F84DE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CD344B"/>
    <w:multiLevelType w:val="hybridMultilevel"/>
    <w:tmpl w:val="B3BC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58578D"/>
    <w:multiLevelType w:val="hybridMultilevel"/>
    <w:tmpl w:val="779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F6597A"/>
    <w:multiLevelType w:val="hybridMultilevel"/>
    <w:tmpl w:val="C2C8E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8"/>
  </w:num>
  <w:num w:numId="4">
    <w:abstractNumId w:val="20"/>
  </w:num>
  <w:num w:numId="5">
    <w:abstractNumId w:val="16"/>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num>
  <w:num w:numId="9">
    <w:abstractNumId w:val="9"/>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
  </w:num>
  <w:num w:numId="13">
    <w:abstractNumId w:val="11"/>
  </w:num>
  <w:num w:numId="14">
    <w:abstractNumId w:val="10"/>
  </w:num>
  <w:num w:numId="15">
    <w:abstractNumId w:val="25"/>
  </w:num>
  <w:num w:numId="16">
    <w:abstractNumId w:val="27"/>
  </w:num>
  <w:num w:numId="17">
    <w:abstractNumId w:val="21"/>
  </w:num>
  <w:num w:numId="18">
    <w:abstractNumId w:val="5"/>
  </w:num>
  <w:num w:numId="19">
    <w:abstractNumId w:val="0"/>
  </w:num>
  <w:num w:numId="20">
    <w:abstractNumId w:val="6"/>
  </w:num>
  <w:num w:numId="21">
    <w:abstractNumId w:val="4"/>
  </w:num>
  <w:num w:numId="22">
    <w:abstractNumId w:val="22"/>
  </w:num>
  <w:num w:numId="23">
    <w:abstractNumId w:val="7"/>
  </w:num>
  <w:num w:numId="24">
    <w:abstractNumId w:val="12"/>
  </w:num>
  <w:num w:numId="25">
    <w:abstractNumId w:val="26"/>
  </w:num>
  <w:num w:numId="26">
    <w:abstractNumId w:val="15"/>
  </w:num>
  <w:num w:numId="27">
    <w:abstractNumId w:val="24"/>
  </w:num>
  <w:num w:numId="28">
    <w:abstractNumId w:val="17"/>
  </w:num>
  <w:num w:numId="29">
    <w:abstractNumId w:val="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1266F"/>
    <w:rsid w:val="00014CFA"/>
    <w:rsid w:val="0001682B"/>
    <w:rsid w:val="0003468A"/>
    <w:rsid w:val="00042070"/>
    <w:rsid w:val="0004654A"/>
    <w:rsid w:val="00086B62"/>
    <w:rsid w:val="0009375F"/>
    <w:rsid w:val="000A27FD"/>
    <w:rsid w:val="000B4A57"/>
    <w:rsid w:val="000C3AD9"/>
    <w:rsid w:val="000D0FDC"/>
    <w:rsid w:val="000D52AB"/>
    <w:rsid w:val="000D6F96"/>
    <w:rsid w:val="000E2DF6"/>
    <w:rsid w:val="000F3047"/>
    <w:rsid w:val="00102EB2"/>
    <w:rsid w:val="00117B06"/>
    <w:rsid w:val="001317BA"/>
    <w:rsid w:val="00133117"/>
    <w:rsid w:val="0014131C"/>
    <w:rsid w:val="001537F1"/>
    <w:rsid w:val="0016521C"/>
    <w:rsid w:val="0016572F"/>
    <w:rsid w:val="00166D0C"/>
    <w:rsid w:val="00173DB9"/>
    <w:rsid w:val="00174943"/>
    <w:rsid w:val="0018273D"/>
    <w:rsid w:val="0018447B"/>
    <w:rsid w:val="00190B8F"/>
    <w:rsid w:val="001936E2"/>
    <w:rsid w:val="00194555"/>
    <w:rsid w:val="00196B35"/>
    <w:rsid w:val="001A25B2"/>
    <w:rsid w:val="001B36BB"/>
    <w:rsid w:val="001C6489"/>
    <w:rsid w:val="001D2AA2"/>
    <w:rsid w:val="001D6C5E"/>
    <w:rsid w:val="001D7538"/>
    <w:rsid w:val="001E7C18"/>
    <w:rsid w:val="001F34E8"/>
    <w:rsid w:val="00204287"/>
    <w:rsid w:val="00223553"/>
    <w:rsid w:val="0022418C"/>
    <w:rsid w:val="00241A07"/>
    <w:rsid w:val="00250353"/>
    <w:rsid w:val="002511C0"/>
    <w:rsid w:val="002601F1"/>
    <w:rsid w:val="00266E51"/>
    <w:rsid w:val="00272600"/>
    <w:rsid w:val="00280C3B"/>
    <w:rsid w:val="002A5FA0"/>
    <w:rsid w:val="002B3683"/>
    <w:rsid w:val="002B68B7"/>
    <w:rsid w:val="002C0DDB"/>
    <w:rsid w:val="002C4975"/>
    <w:rsid w:val="002D12A6"/>
    <w:rsid w:val="002E1264"/>
    <w:rsid w:val="002E64A8"/>
    <w:rsid w:val="002F025E"/>
    <w:rsid w:val="002F4560"/>
    <w:rsid w:val="00316CF3"/>
    <w:rsid w:val="00324BCD"/>
    <w:rsid w:val="00327A73"/>
    <w:rsid w:val="00332F63"/>
    <w:rsid w:val="00345AF2"/>
    <w:rsid w:val="00361F02"/>
    <w:rsid w:val="00371693"/>
    <w:rsid w:val="00385516"/>
    <w:rsid w:val="00385663"/>
    <w:rsid w:val="003A780E"/>
    <w:rsid w:val="003B4260"/>
    <w:rsid w:val="003B57AD"/>
    <w:rsid w:val="003E70F5"/>
    <w:rsid w:val="003F3682"/>
    <w:rsid w:val="003F49FE"/>
    <w:rsid w:val="003F5501"/>
    <w:rsid w:val="003F6EE2"/>
    <w:rsid w:val="003F76BF"/>
    <w:rsid w:val="00403894"/>
    <w:rsid w:val="00403DDA"/>
    <w:rsid w:val="00416233"/>
    <w:rsid w:val="004200FE"/>
    <w:rsid w:val="00432B30"/>
    <w:rsid w:val="00440912"/>
    <w:rsid w:val="00441A4E"/>
    <w:rsid w:val="00443A38"/>
    <w:rsid w:val="00451456"/>
    <w:rsid w:val="00464F95"/>
    <w:rsid w:val="00475CA3"/>
    <w:rsid w:val="0048284A"/>
    <w:rsid w:val="0048475E"/>
    <w:rsid w:val="00485BB0"/>
    <w:rsid w:val="0048778B"/>
    <w:rsid w:val="00494AF3"/>
    <w:rsid w:val="004B2E61"/>
    <w:rsid w:val="004B644F"/>
    <w:rsid w:val="004C026E"/>
    <w:rsid w:val="004C77EA"/>
    <w:rsid w:val="004D14DF"/>
    <w:rsid w:val="004D1516"/>
    <w:rsid w:val="004D21A5"/>
    <w:rsid w:val="004F1379"/>
    <w:rsid w:val="0050043B"/>
    <w:rsid w:val="00502DDB"/>
    <w:rsid w:val="00504ACA"/>
    <w:rsid w:val="00520556"/>
    <w:rsid w:val="0053659C"/>
    <w:rsid w:val="00544F22"/>
    <w:rsid w:val="00547BE3"/>
    <w:rsid w:val="0055304A"/>
    <w:rsid w:val="00564A69"/>
    <w:rsid w:val="00575069"/>
    <w:rsid w:val="005809C6"/>
    <w:rsid w:val="005836BA"/>
    <w:rsid w:val="00584D46"/>
    <w:rsid w:val="0058525A"/>
    <w:rsid w:val="00592A92"/>
    <w:rsid w:val="00597B67"/>
    <w:rsid w:val="005A2B24"/>
    <w:rsid w:val="005B626C"/>
    <w:rsid w:val="005C425F"/>
    <w:rsid w:val="005E1541"/>
    <w:rsid w:val="005E464D"/>
    <w:rsid w:val="006013F5"/>
    <w:rsid w:val="00615C9E"/>
    <w:rsid w:val="00624DBD"/>
    <w:rsid w:val="00625972"/>
    <w:rsid w:val="006344E4"/>
    <w:rsid w:val="00634C5B"/>
    <w:rsid w:val="00640853"/>
    <w:rsid w:val="00641FE0"/>
    <w:rsid w:val="00642C37"/>
    <w:rsid w:val="00643428"/>
    <w:rsid w:val="00645C65"/>
    <w:rsid w:val="00645CAF"/>
    <w:rsid w:val="00656BAA"/>
    <w:rsid w:val="006760D1"/>
    <w:rsid w:val="00685F54"/>
    <w:rsid w:val="006A3324"/>
    <w:rsid w:val="006A5E7E"/>
    <w:rsid w:val="006C2566"/>
    <w:rsid w:val="006D13F2"/>
    <w:rsid w:val="006E5BA5"/>
    <w:rsid w:val="006F409E"/>
    <w:rsid w:val="006F51CE"/>
    <w:rsid w:val="0070063E"/>
    <w:rsid w:val="00701F1E"/>
    <w:rsid w:val="00711D80"/>
    <w:rsid w:val="0071758E"/>
    <w:rsid w:val="007211D1"/>
    <w:rsid w:val="007215F3"/>
    <w:rsid w:val="0072346E"/>
    <w:rsid w:val="00727D62"/>
    <w:rsid w:val="00730E48"/>
    <w:rsid w:val="00736428"/>
    <w:rsid w:val="0076018E"/>
    <w:rsid w:val="0078082D"/>
    <w:rsid w:val="00787249"/>
    <w:rsid w:val="00791E93"/>
    <w:rsid w:val="00795FEB"/>
    <w:rsid w:val="007A5E2D"/>
    <w:rsid w:val="007B1CC3"/>
    <w:rsid w:val="007B2781"/>
    <w:rsid w:val="007E0D62"/>
    <w:rsid w:val="007E2CF5"/>
    <w:rsid w:val="007E5014"/>
    <w:rsid w:val="008106C5"/>
    <w:rsid w:val="00820E5C"/>
    <w:rsid w:val="00831BDB"/>
    <w:rsid w:val="008469FF"/>
    <w:rsid w:val="008506A4"/>
    <w:rsid w:val="00851167"/>
    <w:rsid w:val="00870403"/>
    <w:rsid w:val="008719A5"/>
    <w:rsid w:val="00873EBD"/>
    <w:rsid w:val="008943BF"/>
    <w:rsid w:val="00894486"/>
    <w:rsid w:val="008A06AF"/>
    <w:rsid w:val="008A0776"/>
    <w:rsid w:val="008A31A5"/>
    <w:rsid w:val="008A32FE"/>
    <w:rsid w:val="008C1637"/>
    <w:rsid w:val="008C32B9"/>
    <w:rsid w:val="008D30F8"/>
    <w:rsid w:val="008D3D75"/>
    <w:rsid w:val="008E3945"/>
    <w:rsid w:val="008F1F69"/>
    <w:rsid w:val="0090329D"/>
    <w:rsid w:val="0091062C"/>
    <w:rsid w:val="009108C4"/>
    <w:rsid w:val="009116C1"/>
    <w:rsid w:val="00933AC8"/>
    <w:rsid w:val="009405BC"/>
    <w:rsid w:val="009408C7"/>
    <w:rsid w:val="00964715"/>
    <w:rsid w:val="009675A2"/>
    <w:rsid w:val="00982039"/>
    <w:rsid w:val="00984E23"/>
    <w:rsid w:val="00997CB1"/>
    <w:rsid w:val="009A1AB6"/>
    <w:rsid w:val="009A5DED"/>
    <w:rsid w:val="009A78B7"/>
    <w:rsid w:val="009B0C99"/>
    <w:rsid w:val="009B156D"/>
    <w:rsid w:val="009B4098"/>
    <w:rsid w:val="009C2EB2"/>
    <w:rsid w:val="009C33DA"/>
    <w:rsid w:val="009C394B"/>
    <w:rsid w:val="009C6035"/>
    <w:rsid w:val="009E095A"/>
    <w:rsid w:val="009E41A0"/>
    <w:rsid w:val="009E6D40"/>
    <w:rsid w:val="009F2391"/>
    <w:rsid w:val="009F5CC4"/>
    <w:rsid w:val="00A01463"/>
    <w:rsid w:val="00A03AF5"/>
    <w:rsid w:val="00A11095"/>
    <w:rsid w:val="00A13398"/>
    <w:rsid w:val="00A3100B"/>
    <w:rsid w:val="00A31BF4"/>
    <w:rsid w:val="00A42D4E"/>
    <w:rsid w:val="00A502E6"/>
    <w:rsid w:val="00A53D00"/>
    <w:rsid w:val="00A61804"/>
    <w:rsid w:val="00A670FC"/>
    <w:rsid w:val="00A7556D"/>
    <w:rsid w:val="00A85DDA"/>
    <w:rsid w:val="00A924DE"/>
    <w:rsid w:val="00AB0F81"/>
    <w:rsid w:val="00AB5744"/>
    <w:rsid w:val="00AB7E9C"/>
    <w:rsid w:val="00AC42C1"/>
    <w:rsid w:val="00AC6036"/>
    <w:rsid w:val="00AE23B4"/>
    <w:rsid w:val="00AE756A"/>
    <w:rsid w:val="00B0549E"/>
    <w:rsid w:val="00B11A9F"/>
    <w:rsid w:val="00B1640B"/>
    <w:rsid w:val="00B50701"/>
    <w:rsid w:val="00B513C3"/>
    <w:rsid w:val="00B606FB"/>
    <w:rsid w:val="00B60E0B"/>
    <w:rsid w:val="00B612A6"/>
    <w:rsid w:val="00B75255"/>
    <w:rsid w:val="00B85AD6"/>
    <w:rsid w:val="00B92422"/>
    <w:rsid w:val="00B95DC9"/>
    <w:rsid w:val="00BA779F"/>
    <w:rsid w:val="00BB2F80"/>
    <w:rsid w:val="00BB603F"/>
    <w:rsid w:val="00BC4DDC"/>
    <w:rsid w:val="00BD2723"/>
    <w:rsid w:val="00BD500B"/>
    <w:rsid w:val="00BE0052"/>
    <w:rsid w:val="00BE3B94"/>
    <w:rsid w:val="00BF609E"/>
    <w:rsid w:val="00C0365A"/>
    <w:rsid w:val="00C06BD6"/>
    <w:rsid w:val="00C06F31"/>
    <w:rsid w:val="00C16BAB"/>
    <w:rsid w:val="00C55B58"/>
    <w:rsid w:val="00C654BE"/>
    <w:rsid w:val="00C749C1"/>
    <w:rsid w:val="00C97B17"/>
    <w:rsid w:val="00CC44EA"/>
    <w:rsid w:val="00CE341E"/>
    <w:rsid w:val="00CE6B29"/>
    <w:rsid w:val="00CF0EBE"/>
    <w:rsid w:val="00CF1E19"/>
    <w:rsid w:val="00CF2EF5"/>
    <w:rsid w:val="00D41517"/>
    <w:rsid w:val="00D42788"/>
    <w:rsid w:val="00D439B2"/>
    <w:rsid w:val="00D43B41"/>
    <w:rsid w:val="00D46982"/>
    <w:rsid w:val="00D60DE1"/>
    <w:rsid w:val="00D81956"/>
    <w:rsid w:val="00D83711"/>
    <w:rsid w:val="00D94E0A"/>
    <w:rsid w:val="00DA240A"/>
    <w:rsid w:val="00DA4EBB"/>
    <w:rsid w:val="00DB7E5C"/>
    <w:rsid w:val="00DC3547"/>
    <w:rsid w:val="00DC432E"/>
    <w:rsid w:val="00DD06A0"/>
    <w:rsid w:val="00DD1F34"/>
    <w:rsid w:val="00DD4528"/>
    <w:rsid w:val="00DF20BC"/>
    <w:rsid w:val="00E03CDC"/>
    <w:rsid w:val="00E1246A"/>
    <w:rsid w:val="00E32DD6"/>
    <w:rsid w:val="00E33096"/>
    <w:rsid w:val="00E54805"/>
    <w:rsid w:val="00E55808"/>
    <w:rsid w:val="00E614AC"/>
    <w:rsid w:val="00E6353E"/>
    <w:rsid w:val="00E70819"/>
    <w:rsid w:val="00E74BA7"/>
    <w:rsid w:val="00E760EA"/>
    <w:rsid w:val="00E775F9"/>
    <w:rsid w:val="00E832D3"/>
    <w:rsid w:val="00E8515A"/>
    <w:rsid w:val="00E852FA"/>
    <w:rsid w:val="00E86AA3"/>
    <w:rsid w:val="00E907ED"/>
    <w:rsid w:val="00E96E61"/>
    <w:rsid w:val="00EA1820"/>
    <w:rsid w:val="00EA55B7"/>
    <w:rsid w:val="00EB1906"/>
    <w:rsid w:val="00EB3C3F"/>
    <w:rsid w:val="00EC0410"/>
    <w:rsid w:val="00EE0D0D"/>
    <w:rsid w:val="00EE2F25"/>
    <w:rsid w:val="00EE7908"/>
    <w:rsid w:val="00EF62E7"/>
    <w:rsid w:val="00F0414C"/>
    <w:rsid w:val="00F16A74"/>
    <w:rsid w:val="00F31EAE"/>
    <w:rsid w:val="00F337A5"/>
    <w:rsid w:val="00F4011A"/>
    <w:rsid w:val="00F46EC2"/>
    <w:rsid w:val="00F77A22"/>
    <w:rsid w:val="00F965D1"/>
    <w:rsid w:val="00FA1B45"/>
    <w:rsid w:val="00FC03A1"/>
    <w:rsid w:val="00FE0D5F"/>
    <w:rsid w:val="00FE38DA"/>
    <w:rsid w:val="00FE7165"/>
    <w:rsid w:val="00FF5D6F"/>
    <w:rsid w:val="00FF6690"/>
    <w:rsid w:val="00FF6B98"/>
    <w:rsid w:val="00FF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BA8434"/>
  <w15:docId w15:val="{B83B2D71-7F24-4A90-B019-C3F8D56C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unhideWhenUsed/>
    <w:rsid w:val="00E614AC"/>
    <w:pPr>
      <w:spacing w:before="100" w:beforeAutospacing="1" w:after="300"/>
    </w:pPr>
    <w:rPr>
      <w:sz w:val="24"/>
      <w:szCs w:val="24"/>
      <w:lang w:val="en-US"/>
    </w:rPr>
  </w:style>
  <w:style w:type="paragraph" w:customStyle="1" w:styleId="Style1">
    <w:name w:val="Style1"/>
    <w:basedOn w:val="Normal"/>
    <w:link w:val="Style1Char"/>
    <w:qFormat/>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paragraph" w:customStyle="1" w:styleId="Default">
    <w:name w:val="Default"/>
    <w:rsid w:val="000D0FDC"/>
    <w:pPr>
      <w:autoSpaceDE w:val="0"/>
      <w:autoSpaceDN w:val="0"/>
      <w:adjustRightInd w:val="0"/>
    </w:pPr>
    <w:rPr>
      <w:rFonts w:ascii="Arial" w:hAnsi="Arial" w:cs="Arial"/>
      <w:color w:val="000000"/>
      <w:lang w:val="en-GB"/>
    </w:rPr>
  </w:style>
  <w:style w:type="paragraph" w:customStyle="1" w:styleId="yiv2257994374niccyheading">
    <w:name w:val="yiv2257994374niccyheading"/>
    <w:basedOn w:val="Normal"/>
    <w:rsid w:val="00FF5D6F"/>
    <w:pPr>
      <w:spacing w:before="100" w:beforeAutospacing="1" w:after="100" w:afterAutospacing="1"/>
    </w:pPr>
    <w:rPr>
      <w:sz w:val="24"/>
      <w:szCs w:val="24"/>
      <w:lang w:eastAsia="en-GB"/>
    </w:rPr>
  </w:style>
  <w:style w:type="character" w:styleId="CommentReference">
    <w:name w:val="annotation reference"/>
    <w:basedOn w:val="DefaultParagraphFont"/>
    <w:uiPriority w:val="99"/>
    <w:semiHidden/>
    <w:unhideWhenUsed/>
    <w:rsid w:val="00A3100B"/>
    <w:rPr>
      <w:sz w:val="16"/>
      <w:szCs w:val="16"/>
    </w:rPr>
  </w:style>
  <w:style w:type="paragraph" w:styleId="CommentText">
    <w:name w:val="annotation text"/>
    <w:basedOn w:val="Normal"/>
    <w:link w:val="CommentTextChar"/>
    <w:uiPriority w:val="99"/>
    <w:semiHidden/>
    <w:unhideWhenUsed/>
    <w:rsid w:val="00A3100B"/>
  </w:style>
  <w:style w:type="character" w:customStyle="1" w:styleId="CommentTextChar">
    <w:name w:val="Comment Text Char"/>
    <w:basedOn w:val="DefaultParagraphFont"/>
    <w:link w:val="CommentText"/>
    <w:uiPriority w:val="99"/>
    <w:semiHidden/>
    <w:rsid w:val="00A3100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3100B"/>
    <w:rPr>
      <w:b/>
      <w:bCs/>
    </w:rPr>
  </w:style>
  <w:style w:type="character" w:customStyle="1" w:styleId="CommentSubjectChar">
    <w:name w:val="Comment Subject Char"/>
    <w:basedOn w:val="CommentTextChar"/>
    <w:link w:val="CommentSubject"/>
    <w:uiPriority w:val="99"/>
    <w:semiHidden/>
    <w:rsid w:val="00A3100B"/>
    <w:rPr>
      <w:rFonts w:ascii="Times New Roman" w:eastAsia="Times New Roman" w:hAnsi="Times New Roman" w:cs="Times New Roman"/>
      <w:b/>
      <w:bCs/>
      <w:sz w:val="20"/>
      <w:szCs w:val="20"/>
      <w:lang w:val="en-GB"/>
    </w:rPr>
  </w:style>
  <w:style w:type="paragraph" w:customStyle="1" w:styleId="NICCYBodyTest">
    <w:name w:val="NICCY Body Test"/>
    <w:basedOn w:val="Normal"/>
    <w:link w:val="NICCYBodyTestChar"/>
    <w:qFormat/>
    <w:rsid w:val="001D7538"/>
    <w:pPr>
      <w:widowControl w:val="0"/>
      <w:autoSpaceDE w:val="0"/>
      <w:autoSpaceDN w:val="0"/>
      <w:adjustRightInd w:val="0"/>
      <w:spacing w:line="288" w:lineRule="auto"/>
      <w:textAlignment w:val="center"/>
    </w:pPr>
    <w:rPr>
      <w:rFonts w:ascii="Arial" w:eastAsiaTheme="minorEastAsia" w:hAnsi="Arial" w:cs="Arial"/>
      <w:color w:val="414042"/>
      <w:sz w:val="24"/>
      <w:szCs w:val="24"/>
    </w:rPr>
  </w:style>
  <w:style w:type="character" w:customStyle="1" w:styleId="NICCYBodyTestChar">
    <w:name w:val="NICCY Body Test Char"/>
    <w:basedOn w:val="DefaultParagraphFont"/>
    <w:link w:val="NICCYBodyTest"/>
    <w:rsid w:val="001D7538"/>
    <w:rPr>
      <w:rFonts w:ascii="Arial" w:hAnsi="Arial" w:cs="Arial"/>
      <w:color w:val="414042"/>
      <w:lang w:val="en-GB"/>
    </w:rPr>
  </w:style>
  <w:style w:type="paragraph" w:styleId="Revision">
    <w:name w:val="Revision"/>
    <w:hidden/>
    <w:uiPriority w:val="99"/>
    <w:semiHidden/>
    <w:rsid w:val="00FA1B45"/>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746466041">
      <w:bodyDiv w:val="1"/>
      <w:marLeft w:val="0"/>
      <w:marRight w:val="0"/>
      <w:marTop w:val="0"/>
      <w:marBottom w:val="0"/>
      <w:divBdr>
        <w:top w:val="none" w:sz="0" w:space="0" w:color="auto"/>
        <w:left w:val="none" w:sz="0" w:space="0" w:color="auto"/>
        <w:bottom w:val="none" w:sz="0" w:space="0" w:color="auto"/>
        <w:right w:val="none" w:sz="0" w:space="0" w:color="auto"/>
      </w:divBdr>
    </w:div>
    <w:div w:id="1676424087">
      <w:bodyDiv w:val="1"/>
      <w:marLeft w:val="0"/>
      <w:marRight w:val="0"/>
      <w:marTop w:val="0"/>
      <w:marBottom w:val="0"/>
      <w:divBdr>
        <w:top w:val="none" w:sz="0" w:space="0" w:color="auto"/>
        <w:left w:val="none" w:sz="0" w:space="0" w:color="auto"/>
        <w:bottom w:val="none" w:sz="0" w:space="0" w:color="auto"/>
        <w:right w:val="none" w:sz="0" w:space="0" w:color="auto"/>
      </w:divBdr>
    </w:div>
    <w:div w:id="19590199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7B786-A915-46EF-BDB9-4E3563CB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3304</Words>
  <Characters>18834</Characters>
  <Application>Microsoft Office Word</Application>
  <DocSecurity>2</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 McGall</cp:lastModifiedBy>
  <cp:revision>4</cp:revision>
  <cp:lastPrinted>2019-10-09T14:16:00Z</cp:lastPrinted>
  <dcterms:created xsi:type="dcterms:W3CDTF">2019-10-09T16:37:00Z</dcterms:created>
  <dcterms:modified xsi:type="dcterms:W3CDTF">2019-10-10T08:55:00Z</dcterms:modified>
</cp:coreProperties>
</file>