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A29F" w14:textId="44B421EE" w:rsidR="00967E1D" w:rsidRPr="0034578D" w:rsidRDefault="00967E1D" w:rsidP="0034578D">
      <w:pPr>
        <w:pStyle w:val="NICCYHeading"/>
        <w:rPr>
          <w:color w:val="FF0000"/>
          <w:lang w:val="en-US"/>
        </w:rPr>
      </w:pPr>
      <w:r w:rsidRPr="0034578D">
        <w:rPr>
          <w:color w:val="FF0000"/>
          <w:lang w:val="en-US"/>
        </w:rPr>
        <w:t>Advice on the Programme for Government</w:t>
      </w:r>
      <w:r w:rsidR="0034578D" w:rsidRPr="0034578D">
        <w:rPr>
          <w:color w:val="FF0000"/>
          <w:lang w:val="en-US"/>
        </w:rPr>
        <w:t xml:space="preserve"> Draft Outcomes Framework</w:t>
      </w:r>
    </w:p>
    <w:p w14:paraId="1865AE4D" w14:textId="484B685F" w:rsidR="00967E1D" w:rsidRDefault="00967E1D" w:rsidP="00967E1D">
      <w:pPr>
        <w:widowControl w:val="0"/>
        <w:autoSpaceDE w:val="0"/>
        <w:autoSpaceDN w:val="0"/>
        <w:adjustRightInd w:val="0"/>
        <w:spacing w:line="276" w:lineRule="auto"/>
        <w:rPr>
          <w:rFonts w:ascii="Arial" w:hAnsi="Arial" w:cs="Arial"/>
          <w:color w:val="414042"/>
          <w:sz w:val="24"/>
          <w:szCs w:val="24"/>
          <w:lang w:val="en-US"/>
        </w:rPr>
      </w:pPr>
      <w:r>
        <w:rPr>
          <w:rFonts w:ascii="Arial" w:hAnsi="Arial" w:cs="Arial"/>
          <w:color w:val="414042"/>
          <w:sz w:val="24"/>
          <w:szCs w:val="24"/>
          <w:lang w:val="en-US"/>
        </w:rPr>
        <w:t>M</w:t>
      </w:r>
      <w:r w:rsidR="0034578D">
        <w:rPr>
          <w:rFonts w:ascii="Arial" w:hAnsi="Arial" w:cs="Arial"/>
          <w:color w:val="414042"/>
          <w:sz w:val="24"/>
          <w:szCs w:val="24"/>
          <w:lang w:val="en-US"/>
        </w:rPr>
        <w:t>arch 21</w:t>
      </w:r>
    </w:p>
    <w:p w14:paraId="2616F7CE" w14:textId="1E1C60A0" w:rsidR="00967E1D" w:rsidRDefault="00967E1D" w:rsidP="00967E1D">
      <w:pPr>
        <w:widowControl w:val="0"/>
        <w:autoSpaceDE w:val="0"/>
        <w:autoSpaceDN w:val="0"/>
        <w:adjustRightInd w:val="0"/>
        <w:spacing w:line="276" w:lineRule="auto"/>
        <w:rPr>
          <w:rFonts w:ascii="Arial" w:hAnsi="Arial" w:cs="Arial"/>
          <w:color w:val="414042"/>
          <w:sz w:val="24"/>
          <w:szCs w:val="24"/>
          <w:lang w:val="en-US"/>
        </w:rPr>
      </w:pPr>
    </w:p>
    <w:p w14:paraId="3F51F876" w14:textId="5A2D61EA" w:rsidR="00967E1D" w:rsidRDefault="00967E1D" w:rsidP="00967E1D">
      <w:pPr>
        <w:widowControl w:val="0"/>
        <w:autoSpaceDE w:val="0"/>
        <w:autoSpaceDN w:val="0"/>
        <w:adjustRightInd w:val="0"/>
        <w:spacing w:line="276" w:lineRule="auto"/>
        <w:rPr>
          <w:rFonts w:ascii="Arial" w:hAnsi="Arial" w:cs="Arial"/>
          <w:color w:val="414042"/>
          <w:sz w:val="24"/>
          <w:szCs w:val="24"/>
          <w:lang w:val="en-US"/>
        </w:rPr>
      </w:pPr>
      <w:r>
        <w:rPr>
          <w:rFonts w:ascii="Arial" w:hAnsi="Arial" w:cs="Arial"/>
          <w:color w:val="414042"/>
          <w:sz w:val="24"/>
          <w:szCs w:val="24"/>
          <w:lang w:val="en-US"/>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her functions, the Commissioner’s paramount consideration is the rights of the child or young person, having particular regard to their wishes and feelings. In exercising her functions, the Commissioner is required to have regard to all relevant provisions of the United Nations Convention on the Rights of the Child (UNCRC).  </w:t>
      </w:r>
    </w:p>
    <w:p w14:paraId="15AB4F08" w14:textId="68039842" w:rsidR="006E06E5" w:rsidRDefault="006E06E5" w:rsidP="005679FD">
      <w:pPr>
        <w:pStyle w:val="NICCYBodyText"/>
      </w:pPr>
    </w:p>
    <w:p w14:paraId="6CF4F836" w14:textId="209ECE04" w:rsidR="006E06E5" w:rsidRDefault="00661C26" w:rsidP="005679FD">
      <w:pPr>
        <w:pStyle w:val="NICCYBodyText"/>
      </w:pPr>
      <w:r>
        <w:t>The Commissioner</w:t>
      </w:r>
      <w:r w:rsidR="006E06E5">
        <w:t xml:space="preserve"> welcome</w:t>
      </w:r>
      <w:r>
        <w:t>s</w:t>
      </w:r>
      <w:r w:rsidR="006E06E5">
        <w:t xml:space="preserve"> the consultation on the PFG</w:t>
      </w:r>
      <w:r>
        <w:t xml:space="preserve"> Draft Outcomes Framework</w:t>
      </w:r>
      <w:r w:rsidR="006E06E5">
        <w:t xml:space="preserve"> and the Executive’s commitment to focussing on the things that matter most to people in designing, shaping and delivering public services to achieve the best possible wellbeing outcomes for the people of Northern Ireland. </w:t>
      </w:r>
    </w:p>
    <w:p w14:paraId="589F04FD" w14:textId="678F38A5" w:rsidR="006E06E5" w:rsidRDefault="006E06E5" w:rsidP="005679FD">
      <w:pPr>
        <w:pStyle w:val="NICCYBodyText"/>
      </w:pPr>
    </w:p>
    <w:p w14:paraId="238757DF" w14:textId="5F429D0A" w:rsidR="005679FD" w:rsidRDefault="006E06E5" w:rsidP="00AB1C8E">
      <w:pPr>
        <w:pStyle w:val="NICCYBodyText"/>
      </w:pPr>
      <w:r>
        <w:t xml:space="preserve">This is a critical point </w:t>
      </w:r>
      <w:r w:rsidR="00FC2F92">
        <w:t>for our society</w:t>
      </w:r>
      <w:r>
        <w:t>, and a time for the Executive to demonstrate that it can lead Northern Ireland beyond the divisions of the past, the stasis of the three years without government, and the crisis of the Covid-19 pandemic to deliver a society where rights and equality are prioritised. In the words of the Belfast Agreement, we need our politic</w:t>
      </w:r>
      <w:r w:rsidR="00AB1C8E">
        <w:t>al leaders</w:t>
      </w:r>
      <w:r>
        <w:t xml:space="preserve"> to ‘</w:t>
      </w:r>
      <w:r w:rsidR="00AB1C8E">
        <w:t>firmly dedicate ourselves to the achievement of reconciliation, tolerance, and mutual trust, and to the protection and vindication of the human rights of all.’</w:t>
      </w:r>
      <w:r w:rsidR="00040FD7">
        <w:rPr>
          <w:rStyle w:val="FootnoteReference"/>
        </w:rPr>
        <w:footnoteReference w:id="1"/>
      </w:r>
      <w:r w:rsidR="00AB1C8E">
        <w:t xml:space="preserve"> </w:t>
      </w:r>
    </w:p>
    <w:p w14:paraId="0CCFE237" w14:textId="5C901CEF" w:rsidR="005679FD" w:rsidRDefault="005679FD" w:rsidP="005679FD">
      <w:pPr>
        <w:pStyle w:val="NICCYBodyText"/>
      </w:pPr>
    </w:p>
    <w:p w14:paraId="19FABA5D" w14:textId="79C6767D" w:rsidR="00AB1C8E" w:rsidRDefault="008534DC" w:rsidP="005679FD">
      <w:pPr>
        <w:pStyle w:val="NICCYBodyText"/>
      </w:pPr>
      <w:r>
        <w:t xml:space="preserve">NICCY is </w:t>
      </w:r>
      <w:r w:rsidR="00AB1C8E">
        <w:t xml:space="preserve">pleased to note that the Executive has recognised that the Covid-19 pandemic has provided ‘a different perspective on the way we live our lives’, and the need to </w:t>
      </w:r>
      <w:r w:rsidR="00AB1C8E">
        <w:lastRenderedPageBreak/>
        <w:t>challenge old assumptions and work collaboratively across government boundaries and across sectors to deliver more effectively for</w:t>
      </w:r>
      <w:r w:rsidR="00C03FA5">
        <w:t xml:space="preserve"> society</w:t>
      </w:r>
      <w:r>
        <w:t>’</w:t>
      </w:r>
      <w:r w:rsidR="00C03FA5">
        <w:t>.</w:t>
      </w:r>
    </w:p>
    <w:p w14:paraId="24757682" w14:textId="49501F96" w:rsidR="00C03FA5" w:rsidRDefault="00C03FA5" w:rsidP="005679FD">
      <w:pPr>
        <w:pStyle w:val="NICCYBodyText"/>
      </w:pPr>
    </w:p>
    <w:p w14:paraId="21D88679" w14:textId="71FAF89A" w:rsidR="00C03FA5" w:rsidRDefault="008534DC" w:rsidP="005679FD">
      <w:pPr>
        <w:pStyle w:val="NICCYBodyText"/>
      </w:pPr>
      <w:r>
        <w:t>O</w:t>
      </w:r>
      <w:r w:rsidR="00C03FA5">
        <w:t xml:space="preserve">ver the last 12 months, children and young people have been </w:t>
      </w:r>
      <w:r>
        <w:t xml:space="preserve">particularly severely </w:t>
      </w:r>
      <w:r w:rsidR="00C03FA5">
        <w:t>affected by the Covid pandemic response. While they were the group least likely to fall ill from Covid, they have been greatly constrained, lost access to many critical services and faced a great deal of stress and anxiety. They have overwhelmingly complied with the measures required to protect the adult population, but have suffered greatly in the process. It is now time for the rights and wellbeing of children and young people to be</w:t>
      </w:r>
      <w:r w:rsidR="000B7048">
        <w:t xml:space="preserve"> placed centre stage,</w:t>
      </w:r>
      <w:r w:rsidR="00C03FA5">
        <w:t xml:space="preserve"> as we</w:t>
      </w:r>
      <w:r w:rsidR="000B7048">
        <w:t xml:space="preserve"> seek to</w:t>
      </w:r>
      <w:r w:rsidR="00C03FA5">
        <w:t xml:space="preserve"> ‘Build Back Fairer’ from this Covid pandemic. This means prioritising services to children and young people who have been badly affected, </w:t>
      </w:r>
      <w:r w:rsidR="000B7048">
        <w:t>for example the many whose mental and physical health ha</w:t>
      </w:r>
      <w:r w:rsidR="00E74C23">
        <w:t>s</w:t>
      </w:r>
      <w:r w:rsidR="000B7048">
        <w:t xml:space="preserve"> suffered. </w:t>
      </w:r>
      <w:r w:rsidR="009A0681">
        <w:t>T</w:t>
      </w:r>
      <w:r w:rsidR="000B7048">
        <w:t>he pandemic has brought into focus</w:t>
      </w:r>
      <w:r w:rsidR="001548BD">
        <w:t xml:space="preserve"> the deep inequalities in society faced by groups of children</w:t>
      </w:r>
      <w:r w:rsidR="000B7048">
        <w:t xml:space="preserve"> who are vulnerable due to disabilities, health conditions, discrimination or family circumstances. The Executive must focus on the children who have not had the same chances in life as other children, and demonstrate a commitment to providing them and their families with the services they require to flourish.</w:t>
      </w:r>
    </w:p>
    <w:p w14:paraId="6E1D7D84" w14:textId="7C65283C" w:rsidR="000B7048" w:rsidRDefault="000B7048" w:rsidP="005679FD">
      <w:pPr>
        <w:pStyle w:val="NICCYBodyText"/>
      </w:pPr>
    </w:p>
    <w:p w14:paraId="4FC58C98" w14:textId="306D240F" w:rsidR="000B7048" w:rsidRDefault="000B7048" w:rsidP="005679FD">
      <w:pPr>
        <w:pStyle w:val="NICCYBodyText"/>
      </w:pPr>
      <w:r>
        <w:t xml:space="preserve">It is therefore very positive indeed that the first outcome listed in the Programme for Government </w:t>
      </w:r>
      <w:r w:rsidR="00DA6FCD">
        <w:t xml:space="preserve">Draft Outcomes Framework </w:t>
      </w:r>
      <w:r>
        <w:t>is ‘Our children and young people have the best start in life’. It is entirely appropriate that, while all outcomes apply to children, there is one that focusses entirely on children</w:t>
      </w:r>
      <w:r w:rsidR="00C461AB">
        <w:t>,</w:t>
      </w:r>
      <w:r>
        <w:t xml:space="preserve"> indicat</w:t>
      </w:r>
      <w:r w:rsidR="00AD4ED8">
        <w:t>ing</w:t>
      </w:r>
      <w:r>
        <w:t xml:space="preserve"> a </w:t>
      </w:r>
      <w:r w:rsidR="00C461AB">
        <w:t xml:space="preserve">commitment to prioritising their rights and well being. Quite rightly the document outlines the importance of ensuring children are able to enjoy their childhood, as well as preparing them for their lives in the future, as adults able to contribute to a health, prospering society. </w:t>
      </w:r>
    </w:p>
    <w:p w14:paraId="091A2C49" w14:textId="688B299D" w:rsidR="00C461AB" w:rsidRDefault="00C461AB" w:rsidP="005679FD">
      <w:pPr>
        <w:pStyle w:val="NICCYBodyText"/>
      </w:pPr>
    </w:p>
    <w:p w14:paraId="3DC85AEE" w14:textId="05B24F4F" w:rsidR="00C461AB" w:rsidRDefault="00C461AB" w:rsidP="005679FD">
      <w:pPr>
        <w:pStyle w:val="NICCYBodyText"/>
      </w:pPr>
      <w:r>
        <w:t xml:space="preserve">While it is helpful to indicate a range of strategies that will support the delivery of this outcome, it is the </w:t>
      </w:r>
      <w:r w:rsidR="00631195">
        <w:t xml:space="preserve">Executive’s </w:t>
      </w:r>
      <w:r>
        <w:t>Children</w:t>
      </w:r>
      <w:r w:rsidR="00631195">
        <w:t xml:space="preserve"> and Young People</w:t>
      </w:r>
      <w:r>
        <w:t>’s Strategy</w:t>
      </w:r>
      <w:r w:rsidR="00631195">
        <w:t xml:space="preserve"> (CYPS)</w:t>
      </w:r>
      <w:r>
        <w:t xml:space="preserve"> that should </w:t>
      </w:r>
      <w:r w:rsidR="00D31491">
        <w:t>be the</w:t>
      </w:r>
      <w:r w:rsidR="005C4C08">
        <w:t xml:space="preserve"> overarching</w:t>
      </w:r>
      <w:r w:rsidR="00D31491">
        <w:t xml:space="preserve"> delivery mechanism for this outcome. The other Strategies listed should sit under the C</w:t>
      </w:r>
      <w:r w:rsidR="00631195">
        <w:t>YPS</w:t>
      </w:r>
      <w:r w:rsidR="00D31491">
        <w:t>, delivering on the eight wellbeing outcomes contained within it, in accordance with the Children’s Services Cooperation Act 2015</w:t>
      </w:r>
      <w:r w:rsidR="00631195">
        <w:t xml:space="preserve"> (CSCA)</w:t>
      </w:r>
      <w:r w:rsidR="00D31491">
        <w:t>. These are as follows:</w:t>
      </w:r>
    </w:p>
    <w:p w14:paraId="71D9DD59" w14:textId="4E0D9B7D" w:rsidR="00D31491" w:rsidRPr="00965E87" w:rsidRDefault="00D31491" w:rsidP="00965E87">
      <w:pPr>
        <w:pStyle w:val="NICCYBodyText"/>
      </w:pPr>
    </w:p>
    <w:p w14:paraId="293BF8D1" w14:textId="28710554" w:rsidR="00965E87" w:rsidRPr="00965E87" w:rsidRDefault="00965E87" w:rsidP="00965E87">
      <w:pPr>
        <w:pStyle w:val="NICCYBodyText"/>
        <w:numPr>
          <w:ilvl w:val="0"/>
          <w:numId w:val="18"/>
        </w:numPr>
      </w:pPr>
      <w:r w:rsidRPr="00965E87">
        <w:rPr>
          <w:rStyle w:val="legds"/>
        </w:rPr>
        <w:t>physical and mental health;</w:t>
      </w:r>
      <w:r>
        <w:rPr>
          <w:rStyle w:val="legds"/>
        </w:rPr>
        <w:t xml:space="preserve"> (</w:t>
      </w:r>
      <w:r w:rsidR="001F2563">
        <w:rPr>
          <w:rStyle w:val="legds"/>
        </w:rPr>
        <w:t xml:space="preserve">linking to </w:t>
      </w:r>
      <w:r>
        <w:rPr>
          <w:rStyle w:val="legds"/>
        </w:rPr>
        <w:t>PfG Obj 4)</w:t>
      </w:r>
    </w:p>
    <w:p w14:paraId="7CC52F3B" w14:textId="17939BFA" w:rsidR="00965E87" w:rsidRPr="00965E87" w:rsidRDefault="00965E87" w:rsidP="00965E87">
      <w:pPr>
        <w:pStyle w:val="NICCYBodyText"/>
        <w:numPr>
          <w:ilvl w:val="0"/>
          <w:numId w:val="18"/>
        </w:numPr>
      </w:pPr>
      <w:r w:rsidRPr="00965E87">
        <w:rPr>
          <w:rStyle w:val="legds"/>
        </w:rPr>
        <w:t>the enjoyment of play and leisure;</w:t>
      </w:r>
      <w:r>
        <w:rPr>
          <w:rStyle w:val="legds"/>
        </w:rPr>
        <w:t xml:space="preserve"> </w:t>
      </w:r>
    </w:p>
    <w:p w14:paraId="33B1EB50" w14:textId="19CCABE3" w:rsidR="00965E87" w:rsidRPr="00965E87" w:rsidRDefault="00965E87" w:rsidP="00965E87">
      <w:pPr>
        <w:pStyle w:val="NICCYBodyText"/>
        <w:numPr>
          <w:ilvl w:val="0"/>
          <w:numId w:val="18"/>
        </w:numPr>
      </w:pPr>
      <w:r w:rsidRPr="00965E87">
        <w:rPr>
          <w:rStyle w:val="legds"/>
        </w:rPr>
        <w:t>learning and achievement;</w:t>
      </w:r>
      <w:r>
        <w:rPr>
          <w:rStyle w:val="legds"/>
        </w:rPr>
        <w:t xml:space="preserve"> (</w:t>
      </w:r>
      <w:r w:rsidR="001F2563">
        <w:rPr>
          <w:rStyle w:val="legds"/>
        </w:rPr>
        <w:t xml:space="preserve">linking to </w:t>
      </w:r>
      <w:r>
        <w:rPr>
          <w:rStyle w:val="legds"/>
        </w:rPr>
        <w:t>PfG Obj 5)</w:t>
      </w:r>
    </w:p>
    <w:p w14:paraId="4B9D1FB9" w14:textId="5B5B32C2" w:rsidR="00965E87" w:rsidRPr="00965E87" w:rsidRDefault="00965E87" w:rsidP="00965E87">
      <w:pPr>
        <w:pStyle w:val="NICCYBodyText"/>
        <w:numPr>
          <w:ilvl w:val="0"/>
          <w:numId w:val="18"/>
        </w:numPr>
      </w:pPr>
      <w:r w:rsidRPr="00965E87">
        <w:rPr>
          <w:rStyle w:val="legds"/>
        </w:rPr>
        <w:lastRenderedPageBreak/>
        <w:t>living in safety and with stability;</w:t>
      </w:r>
      <w:r>
        <w:rPr>
          <w:rStyle w:val="legds"/>
        </w:rPr>
        <w:t xml:space="preserve"> (</w:t>
      </w:r>
      <w:r w:rsidR="001F2563">
        <w:rPr>
          <w:rStyle w:val="legds"/>
        </w:rPr>
        <w:t xml:space="preserve">linking to </w:t>
      </w:r>
      <w:r>
        <w:rPr>
          <w:rStyle w:val="legds"/>
        </w:rPr>
        <w:t xml:space="preserve">PfG Obj </w:t>
      </w:r>
      <w:r w:rsidR="001C6995">
        <w:rPr>
          <w:rStyle w:val="legds"/>
        </w:rPr>
        <w:t>7</w:t>
      </w:r>
      <w:r>
        <w:rPr>
          <w:rStyle w:val="legds"/>
        </w:rPr>
        <w:t>)</w:t>
      </w:r>
    </w:p>
    <w:p w14:paraId="65D6D6DE" w14:textId="5F4AB51B" w:rsidR="00965E87" w:rsidRPr="00965E87" w:rsidRDefault="00965E87" w:rsidP="00965E87">
      <w:pPr>
        <w:pStyle w:val="NICCYBodyText"/>
        <w:numPr>
          <w:ilvl w:val="0"/>
          <w:numId w:val="18"/>
        </w:numPr>
      </w:pPr>
      <w:r w:rsidRPr="00965E87">
        <w:rPr>
          <w:rStyle w:val="legds"/>
        </w:rPr>
        <w:t>economic and environmental well-being;</w:t>
      </w:r>
      <w:r w:rsidR="001C6995">
        <w:rPr>
          <w:rStyle w:val="legds"/>
        </w:rPr>
        <w:t xml:space="preserve"> (</w:t>
      </w:r>
      <w:r w:rsidR="001F2563">
        <w:rPr>
          <w:rStyle w:val="legds"/>
        </w:rPr>
        <w:t xml:space="preserve">linking to </w:t>
      </w:r>
      <w:r w:rsidR="001C6995">
        <w:rPr>
          <w:rStyle w:val="legds"/>
        </w:rPr>
        <w:t>PfG Objs 2 &amp; 8)</w:t>
      </w:r>
    </w:p>
    <w:p w14:paraId="7DFDFA9B" w14:textId="4979136C" w:rsidR="00965E87" w:rsidRPr="00965E87" w:rsidRDefault="00965E87" w:rsidP="00965E87">
      <w:pPr>
        <w:pStyle w:val="NICCYBodyText"/>
        <w:numPr>
          <w:ilvl w:val="0"/>
          <w:numId w:val="18"/>
        </w:numPr>
      </w:pPr>
      <w:r w:rsidRPr="00965E87">
        <w:rPr>
          <w:rStyle w:val="legds"/>
        </w:rPr>
        <w:t>the making by them of a positive contribution to society;</w:t>
      </w:r>
      <w:r w:rsidR="001C6995">
        <w:rPr>
          <w:rStyle w:val="legds"/>
        </w:rPr>
        <w:t xml:space="preserve"> </w:t>
      </w:r>
    </w:p>
    <w:p w14:paraId="13840519" w14:textId="08FF2BE3" w:rsidR="00965E87" w:rsidRPr="00965E87" w:rsidRDefault="00965E87" w:rsidP="00965E87">
      <w:pPr>
        <w:pStyle w:val="NICCYBodyText"/>
        <w:numPr>
          <w:ilvl w:val="0"/>
          <w:numId w:val="18"/>
        </w:numPr>
      </w:pPr>
      <w:r w:rsidRPr="00965E87">
        <w:rPr>
          <w:rStyle w:val="legds"/>
        </w:rPr>
        <w:t>living in a society which respects their rights;</w:t>
      </w:r>
    </w:p>
    <w:p w14:paraId="4AC43C11" w14:textId="68E32907" w:rsidR="00965E87" w:rsidRDefault="00965E87" w:rsidP="00965E87">
      <w:pPr>
        <w:pStyle w:val="NICCYBodyText"/>
        <w:numPr>
          <w:ilvl w:val="0"/>
          <w:numId w:val="18"/>
        </w:numPr>
        <w:rPr>
          <w:rStyle w:val="legds"/>
        </w:rPr>
      </w:pPr>
      <w:r w:rsidRPr="00965E87">
        <w:rPr>
          <w:rStyle w:val="legds"/>
        </w:rPr>
        <w:t>living in a society in which equality of opportunity and good relations are promoted between persons who share a relevant characteristic and persons who do not share that characteristic.</w:t>
      </w:r>
      <w:r w:rsidR="001C6995">
        <w:rPr>
          <w:rStyle w:val="legds"/>
        </w:rPr>
        <w:t xml:space="preserve"> (</w:t>
      </w:r>
      <w:r w:rsidR="001F2563">
        <w:rPr>
          <w:rStyle w:val="legds"/>
        </w:rPr>
        <w:t xml:space="preserve">linking to </w:t>
      </w:r>
      <w:r w:rsidR="001C6995">
        <w:rPr>
          <w:rStyle w:val="legds"/>
        </w:rPr>
        <w:t xml:space="preserve">PFG Obj </w:t>
      </w:r>
      <w:r w:rsidR="00BF3898">
        <w:rPr>
          <w:rStyle w:val="legds"/>
        </w:rPr>
        <w:t>3</w:t>
      </w:r>
      <w:r w:rsidR="001C6995">
        <w:rPr>
          <w:rStyle w:val="legds"/>
        </w:rPr>
        <w:t>)</w:t>
      </w:r>
    </w:p>
    <w:p w14:paraId="09090ED3" w14:textId="3B8A7504" w:rsidR="001C6995" w:rsidRDefault="001C6995" w:rsidP="001C6995">
      <w:pPr>
        <w:pStyle w:val="NICCYBodyText"/>
        <w:rPr>
          <w:rStyle w:val="legds"/>
        </w:rPr>
      </w:pPr>
    </w:p>
    <w:p w14:paraId="1C07C276" w14:textId="3ED39D7D" w:rsidR="00641378" w:rsidRDefault="001C6995" w:rsidP="001C6995">
      <w:pPr>
        <w:pStyle w:val="NICCYBodyText"/>
      </w:pPr>
      <w:r>
        <w:t xml:space="preserve">As indicated above, a number of these correspond to a greater or lesser degree with one or more Programme for Government outcome. It will be important to ensure that each PFG outcome reflects the particular needs of children, and how these link to the delivery of the Children and Young People’s Strategy. </w:t>
      </w:r>
      <w:r w:rsidR="00641378">
        <w:t xml:space="preserve">For example, under the outcome: ‘We all enjoy long, healthy active lives’ there should be a specific focus on health services for children and young people, </w:t>
      </w:r>
      <w:r w:rsidR="002E5F8D">
        <w:t xml:space="preserve">including mental health services </w:t>
      </w:r>
      <w:r w:rsidR="00641378">
        <w:t xml:space="preserve">and commitments to reduce the waiting times for paediatric services. </w:t>
      </w:r>
    </w:p>
    <w:p w14:paraId="71B7A0F0" w14:textId="77777777" w:rsidR="00641378" w:rsidRDefault="00641378" w:rsidP="001C6995">
      <w:pPr>
        <w:pStyle w:val="NICCYBodyText"/>
      </w:pPr>
    </w:p>
    <w:p w14:paraId="49B7F56A" w14:textId="70BBDA6E" w:rsidR="001C6995" w:rsidRDefault="001C6995" w:rsidP="001C6995">
      <w:pPr>
        <w:pStyle w:val="NICCYBodyText"/>
      </w:pPr>
      <w:r>
        <w:t>It is to be noted that a number of the Children’s Strategy wellbeing outcomes do not have corresponding PfG outcomes, in particular:</w:t>
      </w:r>
    </w:p>
    <w:p w14:paraId="11630E72" w14:textId="77777777" w:rsidR="001C6995" w:rsidRDefault="001C6995" w:rsidP="001C6995">
      <w:pPr>
        <w:pStyle w:val="NICCYBodyText"/>
      </w:pPr>
    </w:p>
    <w:p w14:paraId="3075D530" w14:textId="4145F51B" w:rsidR="001C6995" w:rsidRDefault="001C6995" w:rsidP="001C6995">
      <w:pPr>
        <w:pStyle w:val="NICCYBodyText"/>
        <w:ind w:firstLine="397"/>
      </w:pPr>
      <w:r>
        <w:t>2. the enjoyment of play and leisure;</w:t>
      </w:r>
    </w:p>
    <w:p w14:paraId="0D38FFEA" w14:textId="57C46AF3" w:rsidR="001C6995" w:rsidRPr="00965E87" w:rsidRDefault="001C6995" w:rsidP="001C6995">
      <w:pPr>
        <w:pStyle w:val="NICCYBodyText"/>
        <w:numPr>
          <w:ilvl w:val="0"/>
          <w:numId w:val="19"/>
        </w:numPr>
      </w:pPr>
      <w:r w:rsidRPr="00965E87">
        <w:rPr>
          <w:rStyle w:val="legds"/>
        </w:rPr>
        <w:t>the making by them of a positive contribution to society;</w:t>
      </w:r>
      <w:r>
        <w:rPr>
          <w:rStyle w:val="legds"/>
        </w:rPr>
        <w:t xml:space="preserve"> and</w:t>
      </w:r>
    </w:p>
    <w:p w14:paraId="5EBE7199" w14:textId="4B5127F3" w:rsidR="001C6995" w:rsidRDefault="001C6995" w:rsidP="001C6995">
      <w:pPr>
        <w:pStyle w:val="NICCYBodyText"/>
        <w:numPr>
          <w:ilvl w:val="0"/>
          <w:numId w:val="19"/>
        </w:numPr>
        <w:rPr>
          <w:rStyle w:val="legds"/>
        </w:rPr>
      </w:pPr>
      <w:r w:rsidRPr="00965E87">
        <w:rPr>
          <w:rStyle w:val="legds"/>
        </w:rPr>
        <w:t>living in a society which respects their rights</w:t>
      </w:r>
      <w:r>
        <w:rPr>
          <w:rStyle w:val="legds"/>
        </w:rPr>
        <w:t>.</w:t>
      </w:r>
    </w:p>
    <w:p w14:paraId="03767C75" w14:textId="73914C8C" w:rsidR="001C6995" w:rsidRDefault="001C6995" w:rsidP="001C6995">
      <w:pPr>
        <w:pStyle w:val="NICCYBodyText"/>
        <w:rPr>
          <w:rStyle w:val="legds"/>
        </w:rPr>
      </w:pPr>
    </w:p>
    <w:p w14:paraId="0BC34BBD" w14:textId="3CE590B5" w:rsidR="00641378" w:rsidRDefault="001C6995" w:rsidP="001C6995">
      <w:pPr>
        <w:pStyle w:val="NICCYBodyText"/>
        <w:rPr>
          <w:rStyle w:val="legds"/>
        </w:rPr>
      </w:pPr>
      <w:r>
        <w:rPr>
          <w:rStyle w:val="legds"/>
        </w:rPr>
        <w:t>It is important that there is a particular focus on these under the first PfG outcome, which is not the case</w:t>
      </w:r>
      <w:r w:rsidR="00641378">
        <w:rPr>
          <w:rStyle w:val="legds"/>
        </w:rPr>
        <w:t xml:space="preserve"> in the draft document</w:t>
      </w:r>
      <w:r>
        <w:rPr>
          <w:rStyle w:val="legds"/>
        </w:rPr>
        <w:t>.</w:t>
      </w:r>
      <w:r w:rsidR="00641378">
        <w:rPr>
          <w:rStyle w:val="legds"/>
        </w:rPr>
        <w:t xml:space="preserve"> NICCY can advise on what should be contained under each of these, </w:t>
      </w:r>
      <w:r w:rsidR="00116A37">
        <w:rPr>
          <w:rStyle w:val="legds"/>
        </w:rPr>
        <w:t>and</w:t>
      </w:r>
      <w:r w:rsidR="00641378">
        <w:rPr>
          <w:rStyle w:val="legds"/>
        </w:rPr>
        <w:t xml:space="preserve"> the Delivery Plan for the CYPS should also inform this.</w:t>
      </w:r>
    </w:p>
    <w:p w14:paraId="4DED5402" w14:textId="24BCABEB" w:rsidR="003C16FA" w:rsidRDefault="003C16FA" w:rsidP="001C6995">
      <w:pPr>
        <w:pStyle w:val="NICCYBodyText"/>
        <w:rPr>
          <w:rStyle w:val="legds"/>
        </w:rPr>
      </w:pPr>
    </w:p>
    <w:p w14:paraId="06316D05" w14:textId="161A3B37" w:rsidR="00D2354D" w:rsidRDefault="003C16FA" w:rsidP="003C16FA">
      <w:pPr>
        <w:pStyle w:val="NICCYBodyText"/>
      </w:pPr>
      <w:r>
        <w:t>NICCY supports the Outcomes based approach</w:t>
      </w:r>
      <w:r w:rsidR="00E17C25">
        <w:t xml:space="preserve"> adopted by the</w:t>
      </w:r>
      <w:r>
        <w:t xml:space="preserve"> PFG, but also </w:t>
      </w:r>
      <w:r w:rsidR="00E17C25">
        <w:t>would advise on the necessity of</w:t>
      </w:r>
      <w:r w:rsidR="00D2354D">
        <w:t xml:space="preserve"> also having a focus o</w:t>
      </w:r>
      <w:r w:rsidR="00363F39">
        <w:t>n</w:t>
      </w:r>
      <w:r>
        <w:t xml:space="preserve"> Process based actions. </w:t>
      </w:r>
      <w:r w:rsidR="00D2354D">
        <w:t xml:space="preserve">Article 4 of the UNCRC </w:t>
      </w:r>
      <w:r w:rsidR="00734074">
        <w:t>states:</w:t>
      </w:r>
    </w:p>
    <w:p w14:paraId="0B9093BC" w14:textId="44804101" w:rsidR="00A719C4" w:rsidRDefault="00A719C4" w:rsidP="003C16FA">
      <w:pPr>
        <w:pStyle w:val="NICCYBodyText"/>
      </w:pPr>
    </w:p>
    <w:p w14:paraId="074A9590" w14:textId="235FC2F3" w:rsidR="00A719C4" w:rsidRPr="00734074" w:rsidRDefault="00A719C4" w:rsidP="00734074">
      <w:pPr>
        <w:pStyle w:val="NICCYBodyText"/>
        <w:ind w:left="397"/>
        <w:rPr>
          <w:i/>
          <w:iCs/>
        </w:rPr>
      </w:pPr>
      <w:r w:rsidRPr="00734074">
        <w:rPr>
          <w:i/>
          <w:iCs/>
        </w:rPr>
        <w:t xml:space="preserve">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t>
      </w:r>
      <w:r w:rsidRPr="00734074">
        <w:rPr>
          <w:i/>
          <w:iCs/>
        </w:rPr>
        <w:lastRenderedPageBreak/>
        <w:t>within the framework of international co-operation.</w:t>
      </w:r>
      <w:r w:rsidR="00A24C66">
        <w:rPr>
          <w:rStyle w:val="FootnoteReference"/>
          <w:i/>
          <w:iCs/>
        </w:rPr>
        <w:footnoteReference w:id="2"/>
      </w:r>
    </w:p>
    <w:p w14:paraId="1A3AB798" w14:textId="77777777" w:rsidR="00D2354D" w:rsidRDefault="00D2354D" w:rsidP="003C16FA">
      <w:pPr>
        <w:pStyle w:val="NICCYBodyText"/>
      </w:pPr>
    </w:p>
    <w:p w14:paraId="30E9FD6A" w14:textId="4C8CC4D7" w:rsidR="00CA2EA3" w:rsidRDefault="00185900" w:rsidP="001C6995">
      <w:pPr>
        <w:pStyle w:val="NICCYBodyText"/>
      </w:pPr>
      <w:r>
        <w:t>Th</w:t>
      </w:r>
      <w:r w:rsidR="00FD5927">
        <w:t xml:space="preserve">is emphasises the importance of </w:t>
      </w:r>
      <w:r w:rsidR="00687B7F">
        <w:t>pu</w:t>
      </w:r>
      <w:r w:rsidR="00FD5927">
        <w:t xml:space="preserve">tting </w:t>
      </w:r>
      <w:r w:rsidR="00FD1FE9">
        <w:t xml:space="preserve">appropriate </w:t>
      </w:r>
      <w:r w:rsidR="00FD5927">
        <w:t>implementation measures in place</w:t>
      </w:r>
      <w:r w:rsidR="00415901">
        <w:t xml:space="preserve"> t</w:t>
      </w:r>
      <w:r w:rsidR="00116A37">
        <w:t xml:space="preserve">o truly prioritise children and young people in the PfG, </w:t>
      </w:r>
      <w:r w:rsidR="00114CFB">
        <w:t>and ensure effective delive</w:t>
      </w:r>
      <w:r w:rsidR="004A1D90">
        <w:t>ry. Inde</w:t>
      </w:r>
      <w:r w:rsidR="00294739">
        <w:t>e</w:t>
      </w:r>
      <w:r w:rsidR="004A1D90">
        <w:t>d,</w:t>
      </w:r>
      <w:r w:rsidR="00116A37">
        <w:t xml:space="preserve"> concrete steps </w:t>
      </w:r>
      <w:r w:rsidR="004A1D90">
        <w:t xml:space="preserve">are required </w:t>
      </w:r>
      <w:r w:rsidR="00116A37">
        <w:t xml:space="preserve">to embed a child rights approach within the heart of government, and in the delivery of each department and statutory agency. While the devolved governments in Scotland and Wales have taken practical steps to demonstrate their commitment to </w:t>
      </w:r>
      <w:r w:rsidR="00CA2EA3">
        <w:t>children’s rights, including the Scottish Government recently incorporating the UN Convention on the Rights of the Child into domestic legislation, the Northern Ireland Executive have not yet taken equivalent actions to demonstrate their commitment to children’s rights.</w:t>
      </w:r>
    </w:p>
    <w:p w14:paraId="4BD38D85" w14:textId="77777777" w:rsidR="003F7E2C" w:rsidRDefault="003F7E2C" w:rsidP="001C6995">
      <w:pPr>
        <w:pStyle w:val="NICCYBodyText"/>
      </w:pPr>
    </w:p>
    <w:p w14:paraId="55A4772B" w14:textId="42435598" w:rsidR="00CA2EA3" w:rsidRDefault="00CA2EA3" w:rsidP="009D715A">
      <w:pPr>
        <w:pStyle w:val="NICCYBodyText"/>
        <w:spacing w:after="120"/>
      </w:pPr>
      <w:r>
        <w:t xml:space="preserve">To fully deliver on the first PfG outcome, and to demonstrate the appropriate commitment to children’s rights in transitioning from the Covid pandemic, </w:t>
      </w:r>
      <w:r w:rsidR="009D715A">
        <w:t xml:space="preserve">it is critical that </w:t>
      </w:r>
      <w:r>
        <w:t>the following actions be taken:</w:t>
      </w:r>
    </w:p>
    <w:p w14:paraId="24A98D14" w14:textId="2399F235" w:rsidR="00CA2EA3" w:rsidRDefault="00CA2EA3" w:rsidP="009D715A">
      <w:pPr>
        <w:pStyle w:val="NICCYBodyText"/>
        <w:numPr>
          <w:ilvl w:val="0"/>
          <w:numId w:val="20"/>
        </w:numPr>
        <w:spacing w:after="120"/>
      </w:pPr>
      <w:r>
        <w:t>Incorporation of the UN Convention on the Rights of the Child into domestic legislation through its inclusion in a Bill of Rights for Northern Ireland.</w:t>
      </w:r>
      <w:r>
        <w:rPr>
          <w:rStyle w:val="FootnoteReference"/>
        </w:rPr>
        <w:footnoteReference w:id="3"/>
      </w:r>
    </w:p>
    <w:p w14:paraId="5C5EC3BE" w14:textId="4380D3ED" w:rsidR="00CA2EA3" w:rsidRDefault="00CA2EA3" w:rsidP="009D715A">
      <w:pPr>
        <w:pStyle w:val="NICCYBodyText"/>
        <w:numPr>
          <w:ilvl w:val="0"/>
          <w:numId w:val="20"/>
        </w:numPr>
        <w:spacing w:after="120"/>
      </w:pPr>
      <w:r>
        <w:t>Requiring Child Rights Impact Assessments to be undertaken early in the development of policies, legislation</w:t>
      </w:r>
      <w:r w:rsidR="009F3D45">
        <w:t xml:space="preserve">, budgets or administrative decisions </w:t>
      </w:r>
      <w:r>
        <w:t>directly or indirectly affecting children and young people.</w:t>
      </w:r>
      <w:r>
        <w:rPr>
          <w:rStyle w:val="FootnoteReference"/>
        </w:rPr>
        <w:footnoteReference w:id="4"/>
      </w:r>
    </w:p>
    <w:p w14:paraId="3C1DEEFE" w14:textId="666208A2" w:rsidR="002D4135" w:rsidRDefault="002D4135" w:rsidP="009D715A">
      <w:pPr>
        <w:pStyle w:val="NICCYBodyText"/>
        <w:numPr>
          <w:ilvl w:val="0"/>
          <w:numId w:val="20"/>
        </w:numPr>
        <w:spacing w:after="120"/>
      </w:pPr>
      <w:r>
        <w:t>The development of a</w:t>
      </w:r>
      <w:r w:rsidR="009265E2">
        <w:t xml:space="preserve"> Delivery Plan for the Children and Young People’s Strategy, ensuring the collaboration of </w:t>
      </w:r>
      <w:r w:rsidR="009729C3">
        <w:t>all government departments and agencies, and indeed all children’s authorities to deliver improvements in children</w:t>
      </w:r>
      <w:r w:rsidR="00324678">
        <w:t>’</w:t>
      </w:r>
      <w:r w:rsidR="009729C3">
        <w:t>s wellbeing as outlined in the PfG and the eight</w:t>
      </w:r>
      <w:r w:rsidR="005E0D3E">
        <w:t xml:space="preserve"> CSCA</w:t>
      </w:r>
      <w:r w:rsidR="009729C3">
        <w:t xml:space="preserve"> wellbeing outcomes, </w:t>
      </w:r>
      <w:r w:rsidR="00DF3A71">
        <w:t>with regard to all relevant provisions of the UNCRC</w:t>
      </w:r>
      <w:r w:rsidR="00541A34">
        <w:t>.</w:t>
      </w:r>
    </w:p>
    <w:p w14:paraId="0925712F" w14:textId="294B34F6" w:rsidR="00CA2EA3" w:rsidRDefault="000B0209" w:rsidP="009D715A">
      <w:pPr>
        <w:pStyle w:val="NICCYBodyText"/>
        <w:numPr>
          <w:ilvl w:val="0"/>
          <w:numId w:val="20"/>
        </w:numPr>
        <w:spacing w:after="120"/>
      </w:pPr>
      <w:r>
        <w:t>A multi-year c</w:t>
      </w:r>
      <w:r w:rsidR="00CA2EA3">
        <w:t>hildren’s budget</w:t>
      </w:r>
      <w:r>
        <w:t>,</w:t>
      </w:r>
      <w:r w:rsidR="00CA2EA3">
        <w:rPr>
          <w:rStyle w:val="FootnoteReference"/>
        </w:rPr>
        <w:footnoteReference w:id="5"/>
      </w:r>
      <w:r w:rsidR="00CA2EA3">
        <w:t xml:space="preserve"> </w:t>
      </w:r>
      <w:r>
        <w:t xml:space="preserve">outlining the </w:t>
      </w:r>
      <w:r w:rsidR="00E91A6F">
        <w:t xml:space="preserve">financial </w:t>
      </w:r>
      <w:r w:rsidR="002D33D2">
        <w:t xml:space="preserve">allocation to </w:t>
      </w:r>
      <w:r w:rsidR="00E91A6F">
        <w:t xml:space="preserve">delivering on </w:t>
      </w:r>
      <w:r w:rsidR="00E91A6F">
        <w:lastRenderedPageBreak/>
        <w:t xml:space="preserve">children’s rights and well being. </w:t>
      </w:r>
    </w:p>
    <w:p w14:paraId="0EA3E490" w14:textId="03236318" w:rsidR="00116A37" w:rsidRDefault="00CA2EA3" w:rsidP="009D715A">
      <w:pPr>
        <w:pStyle w:val="NICCYBodyText"/>
        <w:numPr>
          <w:ilvl w:val="0"/>
          <w:numId w:val="20"/>
        </w:numPr>
        <w:spacing w:after="120"/>
      </w:pPr>
      <w:r>
        <w:t>A comprehensive data set measuring children’s wellbeing outcomes, associated with the delivery of the Children and Young People’s Strategy</w:t>
      </w:r>
      <w:r w:rsidR="007B4E8A">
        <w:t xml:space="preserve"> (and therefore the PfG)</w:t>
      </w:r>
      <w:r w:rsidR="00B82DE8">
        <w:t xml:space="preserve">, collected on an annual basis and able to be </w:t>
      </w:r>
      <w:r w:rsidR="00294739">
        <w:t>disaggregated</w:t>
      </w:r>
      <w:r w:rsidR="00B82DE8">
        <w:t xml:space="preserve"> by a range of </w:t>
      </w:r>
      <w:r w:rsidR="004413F8">
        <w:t>relevant</w:t>
      </w:r>
      <w:r w:rsidR="00B82DE8">
        <w:t xml:space="preserve"> characteristics, for example, </w:t>
      </w:r>
      <w:r w:rsidR="004413F8">
        <w:t xml:space="preserve">those listed in </w:t>
      </w:r>
      <w:r w:rsidR="009D6E5E">
        <w:t>Section 75(1) of the Northern Ireland Act 1998.</w:t>
      </w:r>
      <w:r w:rsidR="00B82DE8">
        <w:t xml:space="preserve"> </w:t>
      </w:r>
    </w:p>
    <w:p w14:paraId="52B5D1EE" w14:textId="0CCD7501" w:rsidR="00E026D4" w:rsidRDefault="009D6E5E" w:rsidP="009D715A">
      <w:pPr>
        <w:pStyle w:val="NICCYBodyText"/>
        <w:numPr>
          <w:ilvl w:val="0"/>
          <w:numId w:val="20"/>
        </w:numPr>
        <w:spacing w:after="120"/>
      </w:pPr>
      <w:r>
        <w:t>The establishment of</w:t>
      </w:r>
      <w:r w:rsidR="00E27A25">
        <w:t xml:space="preserve"> mechanisms to ensure the meaningful participation of children and young people in </w:t>
      </w:r>
      <w:r w:rsidR="00A423BC">
        <w:t xml:space="preserve">decision making by </w:t>
      </w:r>
      <w:r w:rsidR="00001A6F">
        <w:t>g</w:t>
      </w:r>
      <w:r w:rsidR="00A423BC">
        <w:t xml:space="preserve">overnment, the Assembly, and in the </w:t>
      </w:r>
      <w:r w:rsidR="00001A6F">
        <w:t>delivery of services. This should be coordinated across government through</w:t>
      </w:r>
      <w:r w:rsidR="00E026D4">
        <w:t xml:space="preserve"> </w:t>
      </w:r>
      <w:r w:rsidR="00B94ADA">
        <w:t xml:space="preserve">the CYPS </w:t>
      </w:r>
      <w:r w:rsidR="00E026D4">
        <w:t>Participation mechanism and</w:t>
      </w:r>
      <w:r w:rsidR="00001A6F">
        <w:t xml:space="preserve"> </w:t>
      </w:r>
      <w:r w:rsidR="005658AD">
        <w:t xml:space="preserve">at the Assembly </w:t>
      </w:r>
      <w:r w:rsidR="00001A6F">
        <w:t>through the</w:t>
      </w:r>
      <w:r w:rsidR="00E026D4">
        <w:t xml:space="preserve"> Youth Assembly</w:t>
      </w:r>
      <w:r w:rsidR="005658AD">
        <w:t>.</w:t>
      </w:r>
    </w:p>
    <w:p w14:paraId="1B0042D4" w14:textId="5152F4A6" w:rsidR="007853E4" w:rsidRDefault="00C4199D" w:rsidP="000A4965">
      <w:pPr>
        <w:pStyle w:val="NICCYBodyText"/>
        <w:spacing w:after="120"/>
      </w:pPr>
      <w:r>
        <w:t xml:space="preserve">All these measures of implementation should </w:t>
      </w:r>
      <w:r w:rsidR="006640BB">
        <w:t>focus on collaboration between all bodies – government departments, statutory agencies and CVS agencies – to deliver more effectively on children</w:t>
      </w:r>
      <w:r w:rsidR="00F66381">
        <w:t>’</w:t>
      </w:r>
      <w:r w:rsidR="006640BB">
        <w:t xml:space="preserve">s rights and wellbeing. </w:t>
      </w:r>
    </w:p>
    <w:p w14:paraId="21EE7349" w14:textId="136E8C10" w:rsidR="00116A37" w:rsidRDefault="00B94ADA" w:rsidP="00116A37">
      <w:pPr>
        <w:pStyle w:val="NICCYBodyText"/>
      </w:pPr>
      <w:r>
        <w:rPr>
          <w:rStyle w:val="legds"/>
        </w:rPr>
        <w:t>We</w:t>
      </w:r>
      <w:r w:rsidR="00116A37">
        <w:rPr>
          <w:rStyle w:val="legds"/>
        </w:rPr>
        <w:t xml:space="preserve"> note that there is no longer a specific outcome associated with tackling poverty and disadvantage – this is included within ‘</w:t>
      </w:r>
      <w:r w:rsidR="00116A37">
        <w:t xml:space="preserve">We have a caring society that supports people throughout their lives.’ Given the impact of the Covid Pandemic in exacerbating socio-economic inequalities, </w:t>
      </w:r>
      <w:r>
        <w:t>NICCY</w:t>
      </w:r>
      <w:r w:rsidR="00116A37">
        <w:t xml:space="preserve"> strongly recommend</w:t>
      </w:r>
      <w:r>
        <w:t>s</w:t>
      </w:r>
      <w:r w:rsidR="00116A37">
        <w:t xml:space="preserve"> the inclusion of a specific outcome relating to economic wellbeing.</w:t>
      </w:r>
    </w:p>
    <w:p w14:paraId="7B12E37F" w14:textId="77777777" w:rsidR="00D31491" w:rsidRPr="00965E87" w:rsidRDefault="00D31491" w:rsidP="00965E87">
      <w:pPr>
        <w:pStyle w:val="NICCYBodyText"/>
      </w:pPr>
    </w:p>
    <w:p w14:paraId="55618EA3" w14:textId="77777777" w:rsidR="00A50C9C" w:rsidRPr="005547B6" w:rsidRDefault="00A50C9C" w:rsidP="005547B6">
      <w:pPr>
        <w:pStyle w:val="NICCYSubTitle"/>
        <w:rPr>
          <w:color w:val="FF0000"/>
        </w:rPr>
      </w:pPr>
      <w:r w:rsidRPr="005547B6">
        <w:rPr>
          <w:color w:val="FF0000"/>
        </w:rPr>
        <w:t>Conclusion</w:t>
      </w:r>
    </w:p>
    <w:p w14:paraId="7F3ABCC9" w14:textId="655CA759" w:rsidR="00FE3404" w:rsidRDefault="00A50C9C" w:rsidP="005679FD">
      <w:pPr>
        <w:pStyle w:val="NICCYBodyText"/>
      </w:pPr>
      <w:r>
        <w:t>The Commissioner warmly welcomes</w:t>
      </w:r>
      <w:r w:rsidR="00456828">
        <w:t xml:space="preserve"> the inclusion of the first Outcome in this PfG Draft Outcomes </w:t>
      </w:r>
      <w:r w:rsidR="00DE4350">
        <w:t>Framework and</w:t>
      </w:r>
      <w:r w:rsidR="00E14AD8">
        <w:t xml:space="preserve"> has made a number of recommendations as to how this should </w:t>
      </w:r>
      <w:r w:rsidR="00FE3404">
        <w:t>be implemented</w:t>
      </w:r>
      <w:r w:rsidR="001B31B8">
        <w:t>, which are summarised below</w:t>
      </w:r>
      <w:r w:rsidR="00FE3404">
        <w:t>.</w:t>
      </w:r>
    </w:p>
    <w:p w14:paraId="1B97F8B3" w14:textId="302CA566" w:rsidR="00FE3404" w:rsidRDefault="00FE3404" w:rsidP="005679FD">
      <w:pPr>
        <w:pStyle w:val="NICCYBodyText"/>
      </w:pPr>
    </w:p>
    <w:p w14:paraId="04E3AB6C" w14:textId="40965C33" w:rsidR="00FE3404" w:rsidRPr="005547B6" w:rsidRDefault="001B31B8" w:rsidP="00FE3404">
      <w:pPr>
        <w:pStyle w:val="NICCYBodyText"/>
        <w:rPr>
          <w:b/>
          <w:bCs/>
        </w:rPr>
      </w:pPr>
      <w:r w:rsidRPr="005547B6">
        <w:rPr>
          <w:b/>
          <w:bCs/>
        </w:rPr>
        <w:t>The</w:t>
      </w:r>
      <w:r w:rsidR="00FE3404" w:rsidRPr="005547B6">
        <w:rPr>
          <w:b/>
          <w:bCs/>
        </w:rPr>
        <w:t xml:space="preserve"> rights and wellbeing of children and young people </w:t>
      </w:r>
      <w:r w:rsidRPr="005547B6">
        <w:rPr>
          <w:b/>
          <w:bCs/>
        </w:rPr>
        <w:t xml:space="preserve">must </w:t>
      </w:r>
      <w:r w:rsidR="00FE3404" w:rsidRPr="005547B6">
        <w:rPr>
          <w:b/>
          <w:bCs/>
        </w:rPr>
        <w:t>be placed centre stage as we seek to ‘Build Back Fairer’ from this Covid pandemic. This means prioritising services to children and young people who have been badly affected, for example the many whose mental and physical health has suffered. The Executive must</w:t>
      </w:r>
      <w:r w:rsidRPr="005547B6">
        <w:rPr>
          <w:b/>
          <w:bCs/>
        </w:rPr>
        <w:t xml:space="preserve"> also</w:t>
      </w:r>
      <w:r w:rsidR="00FE3404" w:rsidRPr="005547B6">
        <w:rPr>
          <w:b/>
          <w:bCs/>
        </w:rPr>
        <w:t xml:space="preserve"> focus on the children who have not had the same chances in life as other</w:t>
      </w:r>
      <w:r w:rsidR="00DE4350">
        <w:rPr>
          <w:b/>
          <w:bCs/>
        </w:rPr>
        <w:t>s</w:t>
      </w:r>
      <w:r w:rsidR="00FE3404" w:rsidRPr="005547B6">
        <w:rPr>
          <w:b/>
          <w:bCs/>
        </w:rPr>
        <w:t>, and demonstrate a commitment to providing them and their families with the services they require to flourish.</w:t>
      </w:r>
    </w:p>
    <w:p w14:paraId="3BD200A3" w14:textId="2D340DA0" w:rsidR="00FE3404" w:rsidRPr="005547B6" w:rsidRDefault="00FE3404" w:rsidP="005679FD">
      <w:pPr>
        <w:pStyle w:val="NICCYBodyText"/>
        <w:rPr>
          <w:b/>
          <w:bCs/>
        </w:rPr>
      </w:pPr>
    </w:p>
    <w:p w14:paraId="63C7F81C" w14:textId="4B06A6B4" w:rsidR="00FE3404" w:rsidRPr="005547B6" w:rsidRDefault="00345E10" w:rsidP="005679FD">
      <w:pPr>
        <w:pStyle w:val="NICCYBodyText"/>
        <w:rPr>
          <w:b/>
          <w:bCs/>
        </w:rPr>
      </w:pPr>
      <w:r w:rsidRPr="005547B6">
        <w:rPr>
          <w:b/>
          <w:bCs/>
        </w:rPr>
        <w:t xml:space="preserve">It is appropriate therefore that that the first outcome listed in the Programme for Government Draft Outcomes Framework is ‘Our children and young people have the best start in life’. </w:t>
      </w:r>
      <w:r w:rsidR="004D513B" w:rsidRPr="005547B6">
        <w:rPr>
          <w:b/>
          <w:bCs/>
        </w:rPr>
        <w:t xml:space="preserve">While it is helpful to indicate a range of strategies that will support </w:t>
      </w:r>
      <w:r w:rsidR="004D513B" w:rsidRPr="005547B6">
        <w:rPr>
          <w:b/>
          <w:bCs/>
        </w:rPr>
        <w:lastRenderedPageBreak/>
        <w:t>the delivery of this outcome, it is the Executive’s Children and Young People’s Strategy (CYPS) that should be the overarching delivery mechanism for this outcome. The other Strategies listed should sit under the CYPS, delivering on the eight wellbeing outcomes contained within it, in accordance with the Children’s Services Cooperation Act 2015 (CSCA).</w:t>
      </w:r>
      <w:r w:rsidR="00590988" w:rsidRPr="005547B6">
        <w:rPr>
          <w:b/>
          <w:bCs/>
        </w:rPr>
        <w:t xml:space="preserve"> </w:t>
      </w:r>
      <w:r w:rsidR="00F05AF4">
        <w:rPr>
          <w:b/>
          <w:bCs/>
        </w:rPr>
        <w:t xml:space="preserve">The PfG </w:t>
      </w:r>
      <w:r w:rsidR="00F97E5E">
        <w:rPr>
          <w:b/>
          <w:bCs/>
        </w:rPr>
        <w:t xml:space="preserve">Draft </w:t>
      </w:r>
      <w:r w:rsidR="00F05AF4">
        <w:rPr>
          <w:b/>
          <w:bCs/>
        </w:rPr>
        <w:t xml:space="preserve">Outcomes </w:t>
      </w:r>
      <w:r w:rsidR="00F97E5E">
        <w:rPr>
          <w:b/>
          <w:bCs/>
        </w:rPr>
        <w:t xml:space="preserve">Framework </w:t>
      </w:r>
      <w:r w:rsidR="00F05AF4">
        <w:rPr>
          <w:b/>
          <w:bCs/>
        </w:rPr>
        <w:t>reflect</w:t>
      </w:r>
      <w:r w:rsidR="00F97E5E">
        <w:rPr>
          <w:b/>
          <w:bCs/>
        </w:rPr>
        <w:t>s</w:t>
      </w:r>
      <w:r w:rsidR="00F05AF4">
        <w:rPr>
          <w:b/>
          <w:bCs/>
        </w:rPr>
        <w:t xml:space="preserve"> most of the eight CSCA wellbeing outcomes, with the exception of Play and Leisure, Participation and Respecting Children’s Rights</w:t>
      </w:r>
      <w:r w:rsidR="00D740E5">
        <w:rPr>
          <w:b/>
          <w:bCs/>
        </w:rPr>
        <w:t xml:space="preserve">. </w:t>
      </w:r>
      <w:r w:rsidR="00F97E5E">
        <w:rPr>
          <w:b/>
          <w:bCs/>
        </w:rPr>
        <w:t>It should</w:t>
      </w:r>
      <w:r w:rsidR="00D740E5">
        <w:rPr>
          <w:b/>
          <w:bCs/>
        </w:rPr>
        <w:t xml:space="preserve"> be revised</w:t>
      </w:r>
      <w:r w:rsidR="00F97E5E">
        <w:rPr>
          <w:b/>
          <w:bCs/>
        </w:rPr>
        <w:t>, therefore,</w:t>
      </w:r>
      <w:r w:rsidR="00D740E5">
        <w:rPr>
          <w:b/>
          <w:bCs/>
        </w:rPr>
        <w:t xml:space="preserve"> to contain actions relating to these three areas. </w:t>
      </w:r>
    </w:p>
    <w:p w14:paraId="7AA772AE" w14:textId="3435081F" w:rsidR="00FE3404" w:rsidRPr="005547B6" w:rsidRDefault="00FE3404" w:rsidP="005679FD">
      <w:pPr>
        <w:pStyle w:val="NICCYBodyText"/>
        <w:rPr>
          <w:b/>
          <w:bCs/>
        </w:rPr>
      </w:pPr>
    </w:p>
    <w:p w14:paraId="71856560" w14:textId="7C7D7E50" w:rsidR="00F26D86" w:rsidRPr="005547B6" w:rsidRDefault="00F26D86" w:rsidP="005679FD">
      <w:pPr>
        <w:pStyle w:val="NICCYBodyText"/>
        <w:rPr>
          <w:b/>
          <w:bCs/>
        </w:rPr>
      </w:pPr>
      <w:r w:rsidRPr="005547B6">
        <w:rPr>
          <w:b/>
          <w:bCs/>
        </w:rPr>
        <w:t>In addition, each</w:t>
      </w:r>
      <w:r w:rsidR="00590988" w:rsidRPr="005547B6">
        <w:rPr>
          <w:b/>
          <w:bCs/>
        </w:rPr>
        <w:t xml:space="preserve"> of the other</w:t>
      </w:r>
      <w:r w:rsidRPr="005547B6">
        <w:rPr>
          <w:b/>
          <w:bCs/>
        </w:rPr>
        <w:t xml:space="preserve"> PFG outcome</w:t>
      </w:r>
      <w:r w:rsidR="00590988" w:rsidRPr="005547B6">
        <w:rPr>
          <w:b/>
          <w:bCs/>
        </w:rPr>
        <w:t>s</w:t>
      </w:r>
      <w:r w:rsidRPr="005547B6">
        <w:rPr>
          <w:b/>
          <w:bCs/>
        </w:rPr>
        <w:t xml:space="preserve"> should reflect the particular needs of children, and how these link to the delivery of the Children and Young People’s Strategy.</w:t>
      </w:r>
      <w:r w:rsidR="00590988" w:rsidRPr="005547B6">
        <w:rPr>
          <w:b/>
          <w:bCs/>
        </w:rPr>
        <w:t xml:space="preserve"> </w:t>
      </w:r>
      <w:r w:rsidR="00613591">
        <w:rPr>
          <w:b/>
          <w:bCs/>
        </w:rPr>
        <w:t xml:space="preserve">A tenth outcome focussing on tackling poverty and disadvantage should be included. </w:t>
      </w:r>
    </w:p>
    <w:p w14:paraId="6A62B581" w14:textId="77777777" w:rsidR="005547B6" w:rsidRPr="005547B6" w:rsidRDefault="005547B6" w:rsidP="005679FD">
      <w:pPr>
        <w:pStyle w:val="NICCYBodyText"/>
        <w:rPr>
          <w:b/>
          <w:bCs/>
        </w:rPr>
      </w:pPr>
    </w:p>
    <w:p w14:paraId="0F742D7D" w14:textId="5DDF933E" w:rsidR="005547B6" w:rsidRPr="005547B6" w:rsidRDefault="005547B6" w:rsidP="005547B6">
      <w:pPr>
        <w:pStyle w:val="NICCYBodyText"/>
        <w:spacing w:after="120"/>
        <w:rPr>
          <w:b/>
          <w:bCs/>
        </w:rPr>
      </w:pPr>
      <w:r w:rsidRPr="005547B6">
        <w:rPr>
          <w:b/>
          <w:bCs/>
        </w:rPr>
        <w:t xml:space="preserve">While </w:t>
      </w:r>
      <w:r w:rsidR="00590988" w:rsidRPr="005547B6">
        <w:rPr>
          <w:b/>
          <w:bCs/>
        </w:rPr>
        <w:t xml:space="preserve">NICCY supports the Outcomes based approach adopted by the PFG, </w:t>
      </w:r>
      <w:r w:rsidRPr="005547B6">
        <w:rPr>
          <w:b/>
          <w:bCs/>
        </w:rPr>
        <w:t>it is also necessary to have</w:t>
      </w:r>
      <w:r w:rsidR="00590988" w:rsidRPr="005547B6">
        <w:rPr>
          <w:b/>
          <w:bCs/>
        </w:rPr>
        <w:t xml:space="preserve"> a focus o</w:t>
      </w:r>
      <w:r w:rsidR="00A8309F">
        <w:rPr>
          <w:b/>
          <w:bCs/>
        </w:rPr>
        <w:t>n</w:t>
      </w:r>
      <w:r w:rsidR="00590988" w:rsidRPr="005547B6">
        <w:rPr>
          <w:b/>
          <w:bCs/>
        </w:rPr>
        <w:t xml:space="preserve"> Process based actions</w:t>
      </w:r>
      <w:r w:rsidRPr="005547B6">
        <w:rPr>
          <w:b/>
          <w:bCs/>
        </w:rPr>
        <w:t xml:space="preserve"> to fulfil</w:t>
      </w:r>
      <w:r w:rsidR="00590988" w:rsidRPr="005547B6">
        <w:rPr>
          <w:b/>
          <w:bCs/>
        </w:rPr>
        <w:t xml:space="preserve"> Article 4 of the UNCRC</w:t>
      </w:r>
      <w:r w:rsidRPr="005547B6">
        <w:rPr>
          <w:b/>
          <w:bCs/>
        </w:rPr>
        <w:t>. To fully deliver on the first PfG outcome, and to demonstrate the appropriate commitment to children’s rights in transitioning from the Covid pandemic, it is critical that the following actions be taken:</w:t>
      </w:r>
    </w:p>
    <w:p w14:paraId="7701C0EA" w14:textId="635438EB" w:rsidR="005547B6" w:rsidRPr="005547B6" w:rsidRDefault="005547B6" w:rsidP="005547B6">
      <w:pPr>
        <w:pStyle w:val="NICCYBodyText"/>
        <w:numPr>
          <w:ilvl w:val="0"/>
          <w:numId w:val="21"/>
        </w:numPr>
        <w:spacing w:after="120"/>
        <w:rPr>
          <w:b/>
          <w:bCs/>
        </w:rPr>
      </w:pPr>
      <w:r w:rsidRPr="005547B6">
        <w:rPr>
          <w:b/>
          <w:bCs/>
        </w:rPr>
        <w:t>Incorporation of the UN Convention on the Rights of the Child into domestic legislation through its inclusion in a Bill of Rights for Northern Ireland.</w:t>
      </w:r>
    </w:p>
    <w:p w14:paraId="1952CD2B" w14:textId="0E8966DB" w:rsidR="005547B6" w:rsidRPr="005547B6" w:rsidRDefault="005547B6" w:rsidP="005547B6">
      <w:pPr>
        <w:pStyle w:val="NICCYBodyText"/>
        <w:numPr>
          <w:ilvl w:val="0"/>
          <w:numId w:val="21"/>
        </w:numPr>
        <w:spacing w:after="120"/>
        <w:rPr>
          <w:b/>
          <w:bCs/>
        </w:rPr>
      </w:pPr>
      <w:r w:rsidRPr="005547B6">
        <w:rPr>
          <w:b/>
          <w:bCs/>
        </w:rPr>
        <w:t>Requiring Child Rights Impact Assessments to be undertaken early in the development of policies, legislation, budgets or administrative decisions directly or indirectly affecting children and young people.</w:t>
      </w:r>
    </w:p>
    <w:p w14:paraId="18959D5A" w14:textId="77777777" w:rsidR="005547B6" w:rsidRPr="005547B6" w:rsidRDefault="005547B6" w:rsidP="005547B6">
      <w:pPr>
        <w:pStyle w:val="NICCYBodyText"/>
        <w:numPr>
          <w:ilvl w:val="0"/>
          <w:numId w:val="21"/>
        </w:numPr>
        <w:spacing w:after="120"/>
        <w:rPr>
          <w:b/>
          <w:bCs/>
        </w:rPr>
      </w:pPr>
      <w:r w:rsidRPr="005547B6">
        <w:rPr>
          <w:b/>
          <w:bCs/>
        </w:rPr>
        <w:t>The development of a Delivery Plan for the Children and Young People’s Strategy, ensuring the collaboration of all government departments and agencies, and indeed all children’s authorities to deliver improvements in children’s wellbeing as outlined in the PfG and the eight CSCA wellbeing outcomes, with regard to all relevant provisions of the UNCRC</w:t>
      </w:r>
    </w:p>
    <w:p w14:paraId="3EC2380C" w14:textId="652092A2" w:rsidR="005547B6" w:rsidRPr="005547B6" w:rsidRDefault="005547B6" w:rsidP="005547B6">
      <w:pPr>
        <w:pStyle w:val="NICCYBodyText"/>
        <w:numPr>
          <w:ilvl w:val="0"/>
          <w:numId w:val="21"/>
        </w:numPr>
        <w:spacing w:after="120"/>
        <w:rPr>
          <w:b/>
          <w:bCs/>
        </w:rPr>
      </w:pPr>
      <w:r w:rsidRPr="005547B6">
        <w:rPr>
          <w:b/>
          <w:bCs/>
        </w:rPr>
        <w:t xml:space="preserve">A multi-year children’s budget, outlining the financial allocation to delivering on children’s rights and wellbeing. </w:t>
      </w:r>
    </w:p>
    <w:p w14:paraId="3BED0099" w14:textId="5AC93995" w:rsidR="005547B6" w:rsidRPr="005547B6" w:rsidRDefault="005547B6" w:rsidP="005547B6">
      <w:pPr>
        <w:pStyle w:val="NICCYBodyText"/>
        <w:numPr>
          <w:ilvl w:val="0"/>
          <w:numId w:val="21"/>
        </w:numPr>
        <w:spacing w:after="120"/>
        <w:rPr>
          <w:b/>
          <w:bCs/>
        </w:rPr>
      </w:pPr>
      <w:r w:rsidRPr="005547B6">
        <w:rPr>
          <w:b/>
          <w:bCs/>
        </w:rPr>
        <w:t xml:space="preserve">A comprehensive data set measuring children’s wellbeing outcomes, associated with the delivery of the Children and Young People’s Strategy (and therefore the PfG), collected on an annual basis and able to be </w:t>
      </w:r>
      <w:r w:rsidR="00A8309F" w:rsidRPr="005547B6">
        <w:rPr>
          <w:b/>
          <w:bCs/>
        </w:rPr>
        <w:t>disaggregated</w:t>
      </w:r>
      <w:r w:rsidRPr="005547B6">
        <w:rPr>
          <w:b/>
          <w:bCs/>
        </w:rPr>
        <w:t xml:space="preserve"> </w:t>
      </w:r>
      <w:r w:rsidRPr="005547B6">
        <w:rPr>
          <w:b/>
          <w:bCs/>
        </w:rPr>
        <w:lastRenderedPageBreak/>
        <w:t xml:space="preserve">by a range of relevant characteristics, for example, those listed in Section 75(1) of the Northern Ireland Act 1998. </w:t>
      </w:r>
    </w:p>
    <w:p w14:paraId="0E3CB810" w14:textId="3D36ADE3" w:rsidR="005547B6" w:rsidRPr="005547B6" w:rsidRDefault="005547B6" w:rsidP="005547B6">
      <w:pPr>
        <w:pStyle w:val="NICCYBodyText"/>
        <w:numPr>
          <w:ilvl w:val="0"/>
          <w:numId w:val="21"/>
        </w:numPr>
        <w:spacing w:after="120"/>
        <w:rPr>
          <w:b/>
          <w:bCs/>
        </w:rPr>
      </w:pPr>
      <w:r w:rsidRPr="005547B6">
        <w:rPr>
          <w:b/>
          <w:bCs/>
        </w:rPr>
        <w:t xml:space="preserve">The establishment of mechanisms to ensure the meaningful participation of children and young people in decision making by government, the Assembly, and in the delivery of services. This should be coordinated across government through </w:t>
      </w:r>
      <w:r w:rsidR="00A8309F">
        <w:rPr>
          <w:b/>
          <w:bCs/>
        </w:rPr>
        <w:t xml:space="preserve">CYPS </w:t>
      </w:r>
      <w:r w:rsidRPr="005547B6">
        <w:rPr>
          <w:b/>
          <w:bCs/>
        </w:rPr>
        <w:t>Participation mechanism and at the Assembly through the Youth Assembly.</w:t>
      </w:r>
    </w:p>
    <w:p w14:paraId="7C5A8596" w14:textId="4A6E066B" w:rsidR="00590988" w:rsidRPr="005547B6" w:rsidRDefault="005547B6" w:rsidP="005547B6">
      <w:pPr>
        <w:pStyle w:val="NICCYBodyText"/>
        <w:rPr>
          <w:b/>
          <w:bCs/>
        </w:rPr>
      </w:pPr>
      <w:r w:rsidRPr="005547B6">
        <w:rPr>
          <w:b/>
          <w:bCs/>
        </w:rPr>
        <w:t>All these measures of implementation should focus on collaboration between all bodies – government departments, statutory agencies and CVS agencies – to deliver more effectively on children’s rights and wellbeing.</w:t>
      </w:r>
    </w:p>
    <w:p w14:paraId="3F6A0130" w14:textId="24D8A803" w:rsidR="00FE3404" w:rsidRDefault="00FE3404" w:rsidP="005679FD">
      <w:pPr>
        <w:pStyle w:val="NICCYBodyText"/>
      </w:pPr>
    </w:p>
    <w:p w14:paraId="42CCD6BF" w14:textId="2BFED9F9" w:rsidR="00C461AB" w:rsidRDefault="00F032C5" w:rsidP="005679FD">
      <w:pPr>
        <w:pStyle w:val="NICCYBodyText"/>
      </w:pPr>
      <w:r>
        <w:t xml:space="preserve">NICCY is currently engaging with children and young people to produce a report </w:t>
      </w:r>
      <w:r w:rsidR="00314FB8">
        <w:t xml:space="preserve">with specific recommendations to the Executive on actions it should take to </w:t>
      </w:r>
      <w:r w:rsidR="00B87016">
        <w:t>‘Build Back Fairer’ for children and</w:t>
      </w:r>
      <w:r w:rsidR="00314FB8">
        <w:t xml:space="preserve"> young people</w:t>
      </w:r>
      <w:r w:rsidR="00A34470">
        <w:t>’ as we seek to move forward. This will be published in June 2021 and we hope that this informs the</w:t>
      </w:r>
      <w:r w:rsidR="00B87016">
        <w:t xml:space="preserve"> CYPS Delivery Plan and therefore</w:t>
      </w:r>
      <w:r w:rsidR="00A34470">
        <w:t xml:space="preserve"> the deliver</w:t>
      </w:r>
      <w:r w:rsidR="00294739">
        <w:t>y</w:t>
      </w:r>
      <w:r w:rsidR="00A34470">
        <w:t xml:space="preserve"> of the</w:t>
      </w:r>
      <w:r w:rsidR="00B87016">
        <w:t xml:space="preserve"> P</w:t>
      </w:r>
      <w:r w:rsidR="00A34470">
        <w:t>f</w:t>
      </w:r>
      <w:r w:rsidR="00B87016">
        <w:t>G.</w:t>
      </w:r>
      <w:r w:rsidR="00DC75B0">
        <w:t xml:space="preserve"> We </w:t>
      </w:r>
      <w:r w:rsidR="00EA50C7">
        <w:t xml:space="preserve">trust that this advice is helpful and are happy to provide further advice as required to support the delivery of the PfG </w:t>
      </w:r>
      <w:r w:rsidR="00D84107">
        <w:t xml:space="preserve">in relation to children’s rights and wellbeing. </w:t>
      </w:r>
    </w:p>
    <w:p w14:paraId="5C261E71" w14:textId="3D6AAD8B" w:rsidR="00A34470" w:rsidRDefault="00A34470" w:rsidP="005679FD">
      <w:pPr>
        <w:pStyle w:val="NICCYBodyText"/>
      </w:pPr>
    </w:p>
    <w:p w14:paraId="409074D4" w14:textId="77777777" w:rsidR="00A34470" w:rsidRDefault="00A34470" w:rsidP="005679FD">
      <w:pPr>
        <w:pStyle w:val="NICCYBodyText"/>
      </w:pPr>
    </w:p>
    <w:p w14:paraId="776763D1" w14:textId="77777777" w:rsidR="00C461AB" w:rsidRDefault="00C461AB" w:rsidP="005679FD">
      <w:pPr>
        <w:pStyle w:val="NICCYBodyText"/>
      </w:pPr>
    </w:p>
    <w:sectPr w:rsidR="00C461AB"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5EA8" w14:textId="77777777" w:rsidR="00CF3D35" w:rsidRDefault="00CF3D35" w:rsidP="00280C3B">
      <w:r>
        <w:separator/>
      </w:r>
    </w:p>
  </w:endnote>
  <w:endnote w:type="continuationSeparator" w:id="0">
    <w:p w14:paraId="08AFAAA8" w14:textId="77777777" w:rsidR="00CF3D35" w:rsidRDefault="00CF3D35"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E033"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7AEBE034"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E035"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23033">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7AEBE036" w14:textId="72F21F5A"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B82DE8">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7AEBE039" wp14:editId="1F2F418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EBE03A"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EBE03B"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EBE03C"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EBE03D"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EBE03E"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EBE039"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7AEBE03A"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AEBE03B"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7AEBE03C"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7AEBE03D"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7AEBE03E"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AD6E" w14:textId="77777777" w:rsidR="00CF3D35" w:rsidRDefault="00CF3D35" w:rsidP="00280C3B">
      <w:r>
        <w:separator/>
      </w:r>
    </w:p>
  </w:footnote>
  <w:footnote w:type="continuationSeparator" w:id="0">
    <w:p w14:paraId="0122CB12" w14:textId="77777777" w:rsidR="00CF3D35" w:rsidRDefault="00CF3D35" w:rsidP="00280C3B">
      <w:r>
        <w:continuationSeparator/>
      </w:r>
    </w:p>
  </w:footnote>
  <w:footnote w:id="1">
    <w:p w14:paraId="198F6EEA" w14:textId="41CDC268" w:rsidR="00040FD7" w:rsidRPr="00040FD7" w:rsidRDefault="00CF3D35" w:rsidP="00040FD7">
      <w:pPr>
        <w:pStyle w:val="NICCYBodyText"/>
        <w:rPr>
          <w:sz w:val="20"/>
          <w:szCs w:val="20"/>
        </w:rPr>
      </w:pPr>
      <w:hyperlink r:id="rId1" w:history="1">
        <w:r w:rsidR="00040FD7" w:rsidRPr="00656C50">
          <w:rPr>
            <w:rStyle w:val="Hyperlink"/>
            <w:sz w:val="20"/>
            <w:szCs w:val="20"/>
            <w:vertAlign w:val="superscript"/>
          </w:rPr>
          <w:footnoteRef/>
        </w:r>
        <w:r w:rsidR="00040FD7" w:rsidRPr="00656C50">
          <w:rPr>
            <w:rStyle w:val="Hyperlink"/>
            <w:sz w:val="20"/>
            <w:szCs w:val="20"/>
          </w:rPr>
          <w:t xml:space="preserve"> The Belfast Agreement 1998.</w:t>
        </w:r>
      </w:hyperlink>
    </w:p>
  </w:footnote>
  <w:footnote w:id="2">
    <w:p w14:paraId="2BC6A34B" w14:textId="5C9ED127" w:rsidR="00A24C66" w:rsidRPr="00FD1FE9" w:rsidRDefault="00A24C66" w:rsidP="00FD1FE9">
      <w:pPr>
        <w:pStyle w:val="NICCYBodyText"/>
        <w:rPr>
          <w:sz w:val="20"/>
          <w:szCs w:val="20"/>
        </w:rPr>
      </w:pPr>
      <w:r w:rsidRPr="00FD1FE9">
        <w:rPr>
          <w:rStyle w:val="FootnoteReference"/>
          <w:sz w:val="20"/>
          <w:szCs w:val="20"/>
        </w:rPr>
        <w:footnoteRef/>
      </w:r>
      <w:r w:rsidRPr="00FD1FE9">
        <w:rPr>
          <w:sz w:val="20"/>
          <w:szCs w:val="20"/>
        </w:rPr>
        <w:t xml:space="preserve"> </w:t>
      </w:r>
      <w:r w:rsidR="00FD1FE9">
        <w:rPr>
          <w:sz w:val="20"/>
          <w:szCs w:val="20"/>
        </w:rPr>
        <w:t xml:space="preserve">See the </w:t>
      </w:r>
      <w:hyperlink r:id="rId2" w:history="1">
        <w:r w:rsidR="00FD1FE9" w:rsidRPr="001A4E6F">
          <w:rPr>
            <w:rStyle w:val="Hyperlink"/>
            <w:sz w:val="20"/>
            <w:szCs w:val="20"/>
          </w:rPr>
          <w:t>UN Committee on the Rights of the Child’s General Comment 2</w:t>
        </w:r>
      </w:hyperlink>
      <w:r w:rsidR="00FD1FE9">
        <w:rPr>
          <w:sz w:val="20"/>
          <w:szCs w:val="20"/>
        </w:rPr>
        <w:t xml:space="preserve"> for further guidance on </w:t>
      </w:r>
      <w:r w:rsidR="001A4E6F">
        <w:rPr>
          <w:sz w:val="20"/>
          <w:szCs w:val="20"/>
        </w:rPr>
        <w:t xml:space="preserve">children’s rights </w:t>
      </w:r>
      <w:r w:rsidR="00FD1FE9">
        <w:rPr>
          <w:sz w:val="20"/>
          <w:szCs w:val="20"/>
        </w:rPr>
        <w:t>General Measures of Implementation</w:t>
      </w:r>
      <w:r w:rsidR="00FD1FE9" w:rsidRPr="0089026E">
        <w:rPr>
          <w:sz w:val="20"/>
          <w:szCs w:val="20"/>
        </w:rPr>
        <w:t>.</w:t>
      </w:r>
      <w:r w:rsidR="001A4E6F" w:rsidRPr="0089026E">
        <w:rPr>
          <w:sz w:val="20"/>
          <w:szCs w:val="20"/>
        </w:rPr>
        <w:t xml:space="preserve"> </w:t>
      </w:r>
      <w:r w:rsidR="0089026E" w:rsidRPr="0089026E">
        <w:rPr>
          <w:sz w:val="20"/>
          <w:szCs w:val="20"/>
        </w:rPr>
        <w:t>CRC/GC/2003/5 27 November 2003.</w:t>
      </w:r>
    </w:p>
  </w:footnote>
  <w:footnote w:id="3">
    <w:p w14:paraId="16B38426" w14:textId="46FEBD63" w:rsidR="00CA2EA3" w:rsidRPr="00FD1FE9" w:rsidRDefault="00CA2EA3" w:rsidP="00FD1FE9">
      <w:pPr>
        <w:pStyle w:val="NICCYBodyText"/>
        <w:rPr>
          <w:sz w:val="20"/>
          <w:szCs w:val="20"/>
        </w:rPr>
      </w:pPr>
      <w:r w:rsidRPr="00FD1FE9">
        <w:rPr>
          <w:rStyle w:val="FootnoteReference"/>
          <w:sz w:val="20"/>
          <w:szCs w:val="20"/>
        </w:rPr>
        <w:footnoteRef/>
      </w:r>
      <w:r w:rsidRPr="00FD1FE9">
        <w:rPr>
          <w:sz w:val="20"/>
          <w:szCs w:val="20"/>
        </w:rPr>
        <w:t xml:space="preserve"> </w:t>
      </w:r>
      <w:r w:rsidR="0089026E">
        <w:rPr>
          <w:sz w:val="20"/>
          <w:szCs w:val="20"/>
        </w:rPr>
        <w:t xml:space="preserve">See </w:t>
      </w:r>
      <w:hyperlink r:id="rId3" w:history="1">
        <w:r w:rsidR="0089026E" w:rsidRPr="00FF68A5">
          <w:rPr>
            <w:rStyle w:val="Hyperlink"/>
            <w:sz w:val="20"/>
            <w:szCs w:val="20"/>
          </w:rPr>
          <w:t xml:space="preserve">NICCY’s </w:t>
        </w:r>
        <w:r w:rsidR="00FF68A5" w:rsidRPr="00FF68A5">
          <w:rPr>
            <w:rStyle w:val="Hyperlink"/>
            <w:sz w:val="20"/>
            <w:szCs w:val="20"/>
          </w:rPr>
          <w:t xml:space="preserve">written evidence to the Ad Hoc Committee on a Northern Ireland </w:t>
        </w:r>
        <w:r w:rsidRPr="00FF68A5">
          <w:rPr>
            <w:rStyle w:val="Hyperlink"/>
            <w:sz w:val="20"/>
            <w:szCs w:val="20"/>
          </w:rPr>
          <w:t>Bill of Rights</w:t>
        </w:r>
      </w:hyperlink>
      <w:r w:rsidR="00FF68A5">
        <w:rPr>
          <w:sz w:val="20"/>
          <w:szCs w:val="20"/>
        </w:rPr>
        <w:t>, June 2020.</w:t>
      </w:r>
    </w:p>
  </w:footnote>
  <w:footnote w:id="4">
    <w:p w14:paraId="45D4D815" w14:textId="306DA176" w:rsidR="00CA2EA3" w:rsidRPr="00FD1FE9" w:rsidRDefault="00CA2EA3" w:rsidP="00FD1FE9">
      <w:pPr>
        <w:pStyle w:val="NICCYBodyText"/>
        <w:rPr>
          <w:sz w:val="20"/>
          <w:szCs w:val="20"/>
        </w:rPr>
      </w:pPr>
      <w:r w:rsidRPr="00FD1FE9">
        <w:rPr>
          <w:rStyle w:val="FootnoteReference"/>
          <w:sz w:val="20"/>
          <w:szCs w:val="20"/>
        </w:rPr>
        <w:footnoteRef/>
      </w:r>
      <w:r w:rsidRPr="00FD1FE9">
        <w:rPr>
          <w:sz w:val="20"/>
          <w:szCs w:val="20"/>
        </w:rPr>
        <w:t xml:space="preserve"> </w:t>
      </w:r>
      <w:r w:rsidR="00145B8D">
        <w:rPr>
          <w:sz w:val="20"/>
          <w:szCs w:val="20"/>
        </w:rPr>
        <w:t xml:space="preserve">See </w:t>
      </w:r>
      <w:hyperlink r:id="rId4" w:history="1">
        <w:r w:rsidR="00145B8D" w:rsidRPr="00906B66">
          <w:rPr>
            <w:rStyle w:val="Hyperlink"/>
            <w:sz w:val="20"/>
            <w:szCs w:val="20"/>
          </w:rPr>
          <w:t xml:space="preserve">ENOC’s </w:t>
        </w:r>
        <w:r w:rsidR="00906B66" w:rsidRPr="00906B66">
          <w:rPr>
            <w:rStyle w:val="Hyperlink"/>
            <w:sz w:val="20"/>
            <w:szCs w:val="20"/>
          </w:rPr>
          <w:t xml:space="preserve">position </w:t>
        </w:r>
        <w:r w:rsidR="00145B8D" w:rsidRPr="00906B66">
          <w:rPr>
            <w:rStyle w:val="Hyperlink"/>
            <w:sz w:val="20"/>
            <w:szCs w:val="20"/>
          </w:rPr>
          <w:t>statement on CRIAs</w:t>
        </w:r>
      </w:hyperlink>
      <w:r w:rsidR="00145B8D">
        <w:rPr>
          <w:sz w:val="20"/>
          <w:szCs w:val="20"/>
        </w:rPr>
        <w:t xml:space="preserve"> and </w:t>
      </w:r>
      <w:r w:rsidR="00FD2048">
        <w:rPr>
          <w:sz w:val="20"/>
          <w:szCs w:val="20"/>
        </w:rPr>
        <w:t xml:space="preserve">ENOC (November 2020), </w:t>
      </w:r>
      <w:hyperlink r:id="rId5" w:history="1">
        <w:r w:rsidR="00FD2048" w:rsidRPr="00897ED5">
          <w:rPr>
            <w:rStyle w:val="Hyperlink"/>
            <w:sz w:val="20"/>
            <w:szCs w:val="20"/>
          </w:rPr>
          <w:t>Common Framework of Reference on Child Rights Impact Assessment: A Guide on How to carry out CRIA</w:t>
        </w:r>
      </w:hyperlink>
      <w:r w:rsidR="00211A37" w:rsidRPr="00897ED5">
        <w:rPr>
          <w:sz w:val="20"/>
          <w:szCs w:val="20"/>
        </w:rPr>
        <w:t>, (Brussels, ENOC).</w:t>
      </w:r>
    </w:p>
  </w:footnote>
  <w:footnote w:id="5">
    <w:p w14:paraId="4FBF27A9" w14:textId="2871E03D" w:rsidR="00CA2EA3" w:rsidRPr="00FD1FE9" w:rsidRDefault="00CA2EA3" w:rsidP="00FD1FE9">
      <w:pPr>
        <w:pStyle w:val="NICCYBodyText"/>
        <w:rPr>
          <w:sz w:val="20"/>
          <w:szCs w:val="20"/>
        </w:rPr>
      </w:pPr>
      <w:r w:rsidRPr="00FD1FE9">
        <w:rPr>
          <w:rStyle w:val="FootnoteReference"/>
          <w:sz w:val="20"/>
          <w:szCs w:val="20"/>
        </w:rPr>
        <w:footnoteRef/>
      </w:r>
      <w:r w:rsidRPr="00FD1FE9">
        <w:rPr>
          <w:sz w:val="20"/>
          <w:szCs w:val="20"/>
        </w:rPr>
        <w:t xml:space="preserve"> </w:t>
      </w:r>
      <w:r w:rsidR="00897ED5">
        <w:rPr>
          <w:sz w:val="20"/>
          <w:szCs w:val="20"/>
        </w:rPr>
        <w:t>NICCY has commissioned</w:t>
      </w:r>
      <w:r w:rsidR="00DE2F2E">
        <w:rPr>
          <w:sz w:val="20"/>
          <w:szCs w:val="20"/>
        </w:rPr>
        <w:t xml:space="preserve"> analyses of public expenditure on children in </w:t>
      </w:r>
      <w:hyperlink r:id="rId6" w:history="1">
        <w:r w:rsidR="001343D2" w:rsidRPr="00006D93">
          <w:rPr>
            <w:rStyle w:val="Hyperlink"/>
            <w:sz w:val="20"/>
            <w:szCs w:val="20"/>
          </w:rPr>
          <w:t>2007</w:t>
        </w:r>
      </w:hyperlink>
      <w:r w:rsidR="00006D93">
        <w:rPr>
          <w:sz w:val="20"/>
          <w:szCs w:val="20"/>
        </w:rPr>
        <w:t xml:space="preserve"> and </w:t>
      </w:r>
      <w:hyperlink r:id="rId7" w:history="1">
        <w:r w:rsidR="002923FE" w:rsidRPr="002923FE">
          <w:rPr>
            <w:rStyle w:val="Hyperlink"/>
            <w:sz w:val="20"/>
            <w:szCs w:val="20"/>
          </w:rPr>
          <w:t>2015</w:t>
        </w:r>
      </w:hyperlink>
      <w:r w:rsidR="002923FE">
        <w:rPr>
          <w:sz w:val="20"/>
          <w:szCs w:val="20"/>
        </w:rPr>
        <w:t xml:space="preserve">, </w:t>
      </w:r>
      <w:hyperlink r:id="rId8" w:history="1">
        <w:r w:rsidR="009827AC" w:rsidRPr="009827AC">
          <w:rPr>
            <w:rStyle w:val="Hyperlink"/>
            <w:sz w:val="20"/>
            <w:szCs w:val="20"/>
          </w:rPr>
          <w:t>an exploration of children's budgeting in NI,</w:t>
        </w:r>
      </w:hyperlink>
      <w:r w:rsidR="009827AC">
        <w:rPr>
          <w:sz w:val="20"/>
          <w:szCs w:val="20"/>
        </w:rPr>
        <w:t xml:space="preserve"> and </w:t>
      </w:r>
      <w:r w:rsidR="000C3FF3">
        <w:rPr>
          <w:sz w:val="20"/>
          <w:szCs w:val="20"/>
        </w:rPr>
        <w:t xml:space="preserve">produced </w:t>
      </w:r>
      <w:r w:rsidR="00E6475D">
        <w:rPr>
          <w:sz w:val="20"/>
          <w:szCs w:val="20"/>
        </w:rPr>
        <w:t>more detailed analys</w:t>
      </w:r>
      <w:r w:rsidR="000C3FF3">
        <w:rPr>
          <w:sz w:val="20"/>
          <w:szCs w:val="20"/>
        </w:rPr>
        <w:t>e</w:t>
      </w:r>
      <w:r w:rsidR="00E6475D">
        <w:rPr>
          <w:sz w:val="20"/>
          <w:szCs w:val="20"/>
        </w:rPr>
        <w:t xml:space="preserve">s of </w:t>
      </w:r>
      <w:hyperlink r:id="rId9" w:history="1">
        <w:r w:rsidR="00E6475D" w:rsidRPr="00E6475D">
          <w:rPr>
            <w:rStyle w:val="Hyperlink"/>
            <w:sz w:val="20"/>
            <w:szCs w:val="20"/>
          </w:rPr>
          <w:t>expenditure on education</w:t>
        </w:r>
      </w:hyperlink>
      <w:r w:rsidR="00E6475D">
        <w:rPr>
          <w:sz w:val="20"/>
          <w:szCs w:val="20"/>
        </w:rPr>
        <w:t xml:space="preserve"> and </w:t>
      </w:r>
      <w:hyperlink r:id="rId10" w:history="1">
        <w:r w:rsidR="00E6475D" w:rsidRPr="00E6475D">
          <w:rPr>
            <w:rStyle w:val="Hyperlink"/>
            <w:sz w:val="20"/>
            <w:szCs w:val="20"/>
          </w:rPr>
          <w:t>mental health services for children and young people</w:t>
        </w:r>
      </w:hyperlink>
      <w:r w:rsidR="00E6475D">
        <w:rPr>
          <w:sz w:val="20"/>
          <w:szCs w:val="20"/>
        </w:rPr>
        <w:t xml:space="preserve"> – see Ch</w:t>
      </w:r>
      <w:r w:rsidR="000C3FF3">
        <w:rPr>
          <w:sz w:val="20"/>
          <w:szCs w:val="20"/>
        </w:rPr>
        <w:t>apter 8</w:t>
      </w:r>
      <w:r w:rsidR="00E6475D">
        <w:rPr>
          <w:sz w:val="20"/>
          <w:szCs w:val="20"/>
        </w:rPr>
        <w:t xml:space="preserve">. </w:t>
      </w:r>
    </w:p>
    <w:p w14:paraId="2BA31C23" w14:textId="77777777" w:rsidR="00CA2EA3" w:rsidRPr="00CA2EA3" w:rsidRDefault="00CA2EA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7AEBE031" w14:textId="77777777" w:rsidTr="000D52AB">
      <w:tc>
        <w:tcPr>
          <w:tcW w:w="5027" w:type="dxa"/>
          <w:shd w:val="clear" w:color="auto" w:fill="auto"/>
        </w:tcPr>
        <w:p w14:paraId="7AEBE02F" w14:textId="77777777" w:rsidR="002A5FA0" w:rsidRDefault="002A5FA0" w:rsidP="000D52AB">
          <w:pPr>
            <w:pStyle w:val="CompanyName"/>
            <w:rPr>
              <w:rFonts w:ascii="Futura Book" w:hAnsi="Futura Book" w:cs="Arial"/>
              <w:lang w:val="en-GB"/>
            </w:rPr>
          </w:pPr>
        </w:p>
      </w:tc>
      <w:tc>
        <w:tcPr>
          <w:tcW w:w="4855" w:type="dxa"/>
          <w:shd w:val="clear" w:color="auto" w:fill="auto"/>
        </w:tcPr>
        <w:p w14:paraId="7AEBE030" w14:textId="77777777" w:rsidR="002A5FA0" w:rsidRDefault="002A5FA0" w:rsidP="000D52AB">
          <w:pPr>
            <w:pStyle w:val="CompanyName"/>
            <w:rPr>
              <w:rFonts w:ascii="Futura Book" w:hAnsi="Futura Book" w:cs="Arial"/>
              <w:lang w:val="en-GB"/>
            </w:rPr>
          </w:pPr>
        </w:p>
      </w:tc>
    </w:tr>
  </w:tbl>
  <w:p w14:paraId="7AEBE032"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7AEBE037" wp14:editId="7AEBE038">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599E"/>
    <w:multiLevelType w:val="hybridMultilevel"/>
    <w:tmpl w:val="922C1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35174F"/>
    <w:multiLevelType w:val="hybridMultilevel"/>
    <w:tmpl w:val="73D06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3D8B31B6"/>
    <w:multiLevelType w:val="hybridMultilevel"/>
    <w:tmpl w:val="73D06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6"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7D51BDD"/>
    <w:multiLevelType w:val="hybridMultilevel"/>
    <w:tmpl w:val="258A6D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4"/>
  </w:num>
  <w:num w:numId="4">
    <w:abstractNumId w:val="17"/>
  </w:num>
  <w:num w:numId="5">
    <w:abstractNumId w:val="1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
  </w:num>
  <w:num w:numId="18">
    <w:abstractNumId w:val="5"/>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01A6F"/>
    <w:rsid w:val="00006D93"/>
    <w:rsid w:val="0003468A"/>
    <w:rsid w:val="00040FD7"/>
    <w:rsid w:val="0008037D"/>
    <w:rsid w:val="000A4965"/>
    <w:rsid w:val="000B0209"/>
    <w:rsid w:val="000B7048"/>
    <w:rsid w:val="000C3AD9"/>
    <w:rsid w:val="000C3FF3"/>
    <w:rsid w:val="000D52AB"/>
    <w:rsid w:val="000F3047"/>
    <w:rsid w:val="00114CFB"/>
    <w:rsid w:val="00116A37"/>
    <w:rsid w:val="001343D2"/>
    <w:rsid w:val="00145B8D"/>
    <w:rsid w:val="001548BD"/>
    <w:rsid w:val="0016572F"/>
    <w:rsid w:val="0018273D"/>
    <w:rsid w:val="0018447B"/>
    <w:rsid w:val="00185900"/>
    <w:rsid w:val="00192A89"/>
    <w:rsid w:val="001936E2"/>
    <w:rsid w:val="00194555"/>
    <w:rsid w:val="001A4E6F"/>
    <w:rsid w:val="001B31B8"/>
    <w:rsid w:val="001B36BB"/>
    <w:rsid w:val="001C6995"/>
    <w:rsid w:val="001D2AA2"/>
    <w:rsid w:val="001D2C89"/>
    <w:rsid w:val="001F2563"/>
    <w:rsid w:val="001F4246"/>
    <w:rsid w:val="00211A37"/>
    <w:rsid w:val="00235965"/>
    <w:rsid w:val="00241A07"/>
    <w:rsid w:val="00280C3B"/>
    <w:rsid w:val="002923FE"/>
    <w:rsid w:val="00294739"/>
    <w:rsid w:val="002A5FA0"/>
    <w:rsid w:val="002D33D2"/>
    <w:rsid w:val="002D4135"/>
    <w:rsid w:val="002E1271"/>
    <w:rsid w:val="002E5F8D"/>
    <w:rsid w:val="002E64A8"/>
    <w:rsid w:val="002F025E"/>
    <w:rsid w:val="00314FB8"/>
    <w:rsid w:val="00316CF3"/>
    <w:rsid w:val="00324678"/>
    <w:rsid w:val="0034578D"/>
    <w:rsid w:val="00345E10"/>
    <w:rsid w:val="00363F39"/>
    <w:rsid w:val="00385663"/>
    <w:rsid w:val="003C16FA"/>
    <w:rsid w:val="003C4F80"/>
    <w:rsid w:val="003F3682"/>
    <w:rsid w:val="003F5501"/>
    <w:rsid w:val="003F7E2C"/>
    <w:rsid w:val="004077BB"/>
    <w:rsid w:val="00415901"/>
    <w:rsid w:val="00432B30"/>
    <w:rsid w:val="004413F8"/>
    <w:rsid w:val="00443A38"/>
    <w:rsid w:val="00451456"/>
    <w:rsid w:val="00455424"/>
    <w:rsid w:val="00456828"/>
    <w:rsid w:val="00460794"/>
    <w:rsid w:val="0048475E"/>
    <w:rsid w:val="004A1D90"/>
    <w:rsid w:val="004C026E"/>
    <w:rsid w:val="004D513B"/>
    <w:rsid w:val="0050043B"/>
    <w:rsid w:val="0052507D"/>
    <w:rsid w:val="00541A34"/>
    <w:rsid w:val="005547B6"/>
    <w:rsid w:val="00564A69"/>
    <w:rsid w:val="005658AD"/>
    <w:rsid w:val="005679FD"/>
    <w:rsid w:val="005809C6"/>
    <w:rsid w:val="00584D46"/>
    <w:rsid w:val="00590988"/>
    <w:rsid w:val="00592F33"/>
    <w:rsid w:val="00597B67"/>
    <w:rsid w:val="005B626C"/>
    <w:rsid w:val="005B742A"/>
    <w:rsid w:val="005C425F"/>
    <w:rsid w:val="005C4C08"/>
    <w:rsid w:val="005E0D3E"/>
    <w:rsid w:val="005E1541"/>
    <w:rsid w:val="006013F5"/>
    <w:rsid w:val="00613591"/>
    <w:rsid w:val="00625972"/>
    <w:rsid w:val="00631195"/>
    <w:rsid w:val="00640853"/>
    <w:rsid w:val="00641378"/>
    <w:rsid w:val="00641FE0"/>
    <w:rsid w:val="00645C65"/>
    <w:rsid w:val="00656BAA"/>
    <w:rsid w:val="00656C50"/>
    <w:rsid w:val="00661C26"/>
    <w:rsid w:val="006640BB"/>
    <w:rsid w:val="00670F18"/>
    <w:rsid w:val="00674AAD"/>
    <w:rsid w:val="00687B7F"/>
    <w:rsid w:val="006B6E33"/>
    <w:rsid w:val="006C2566"/>
    <w:rsid w:val="006E06E5"/>
    <w:rsid w:val="006E5BA5"/>
    <w:rsid w:val="006E690F"/>
    <w:rsid w:val="007215F3"/>
    <w:rsid w:val="00723033"/>
    <w:rsid w:val="00727D62"/>
    <w:rsid w:val="00734074"/>
    <w:rsid w:val="007460FE"/>
    <w:rsid w:val="007576C8"/>
    <w:rsid w:val="0076018E"/>
    <w:rsid w:val="007814AF"/>
    <w:rsid w:val="007853E4"/>
    <w:rsid w:val="00791E93"/>
    <w:rsid w:val="00795FEB"/>
    <w:rsid w:val="007A5E2D"/>
    <w:rsid w:val="007B4ABD"/>
    <w:rsid w:val="007B4E8A"/>
    <w:rsid w:val="007C1D9D"/>
    <w:rsid w:val="00831BDB"/>
    <w:rsid w:val="00834203"/>
    <w:rsid w:val="00847527"/>
    <w:rsid w:val="008534DC"/>
    <w:rsid w:val="00870403"/>
    <w:rsid w:val="00873EBD"/>
    <w:rsid w:val="0089026E"/>
    <w:rsid w:val="00897ED5"/>
    <w:rsid w:val="008A06AF"/>
    <w:rsid w:val="008A31A5"/>
    <w:rsid w:val="008A32FE"/>
    <w:rsid w:val="008A53C2"/>
    <w:rsid w:val="008C32B9"/>
    <w:rsid w:val="008E3945"/>
    <w:rsid w:val="00906B66"/>
    <w:rsid w:val="009108C4"/>
    <w:rsid w:val="0092583B"/>
    <w:rsid w:val="009265E2"/>
    <w:rsid w:val="009405BC"/>
    <w:rsid w:val="00963E12"/>
    <w:rsid w:val="00964715"/>
    <w:rsid w:val="00965E87"/>
    <w:rsid w:val="009675A2"/>
    <w:rsid w:val="00967E1D"/>
    <w:rsid w:val="009729C3"/>
    <w:rsid w:val="00982039"/>
    <w:rsid w:val="009827AC"/>
    <w:rsid w:val="00993AE3"/>
    <w:rsid w:val="009A0681"/>
    <w:rsid w:val="009A5DED"/>
    <w:rsid w:val="009C394B"/>
    <w:rsid w:val="009D6E5E"/>
    <w:rsid w:val="009D715A"/>
    <w:rsid w:val="009E095A"/>
    <w:rsid w:val="009E6D40"/>
    <w:rsid w:val="009F0EAC"/>
    <w:rsid w:val="009F2391"/>
    <w:rsid w:val="009F3D45"/>
    <w:rsid w:val="00A03AF5"/>
    <w:rsid w:val="00A13398"/>
    <w:rsid w:val="00A24C66"/>
    <w:rsid w:val="00A34470"/>
    <w:rsid w:val="00A423BC"/>
    <w:rsid w:val="00A50C9C"/>
    <w:rsid w:val="00A53D00"/>
    <w:rsid w:val="00A61804"/>
    <w:rsid w:val="00A719C4"/>
    <w:rsid w:val="00A8309F"/>
    <w:rsid w:val="00A85DDA"/>
    <w:rsid w:val="00AB1C8E"/>
    <w:rsid w:val="00AB5744"/>
    <w:rsid w:val="00AC6036"/>
    <w:rsid w:val="00AD4ED8"/>
    <w:rsid w:val="00B50701"/>
    <w:rsid w:val="00B7751A"/>
    <w:rsid w:val="00B82DE8"/>
    <w:rsid w:val="00B87016"/>
    <w:rsid w:val="00B94ADA"/>
    <w:rsid w:val="00BB603F"/>
    <w:rsid w:val="00BC4DDC"/>
    <w:rsid w:val="00BE0052"/>
    <w:rsid w:val="00BF3898"/>
    <w:rsid w:val="00C03FA5"/>
    <w:rsid w:val="00C06BD6"/>
    <w:rsid w:val="00C4199D"/>
    <w:rsid w:val="00C461AB"/>
    <w:rsid w:val="00C749C1"/>
    <w:rsid w:val="00CA2EA3"/>
    <w:rsid w:val="00CB3758"/>
    <w:rsid w:val="00CF1E19"/>
    <w:rsid w:val="00CF3D35"/>
    <w:rsid w:val="00D2354D"/>
    <w:rsid w:val="00D31491"/>
    <w:rsid w:val="00D42788"/>
    <w:rsid w:val="00D5781D"/>
    <w:rsid w:val="00D60DE1"/>
    <w:rsid w:val="00D740E5"/>
    <w:rsid w:val="00D81956"/>
    <w:rsid w:val="00D84107"/>
    <w:rsid w:val="00D94E0A"/>
    <w:rsid w:val="00DA6FCD"/>
    <w:rsid w:val="00DB7E5C"/>
    <w:rsid w:val="00DC3547"/>
    <w:rsid w:val="00DC75B0"/>
    <w:rsid w:val="00DE2F2E"/>
    <w:rsid w:val="00DE4350"/>
    <w:rsid w:val="00DF20BC"/>
    <w:rsid w:val="00DF3A71"/>
    <w:rsid w:val="00E026D4"/>
    <w:rsid w:val="00E03CDC"/>
    <w:rsid w:val="00E06FBD"/>
    <w:rsid w:val="00E14AD8"/>
    <w:rsid w:val="00E17C25"/>
    <w:rsid w:val="00E27A25"/>
    <w:rsid w:val="00E33096"/>
    <w:rsid w:val="00E614AC"/>
    <w:rsid w:val="00E6475D"/>
    <w:rsid w:val="00E74BA7"/>
    <w:rsid w:val="00E74C23"/>
    <w:rsid w:val="00E760EA"/>
    <w:rsid w:val="00E852FA"/>
    <w:rsid w:val="00E91A6F"/>
    <w:rsid w:val="00EA1820"/>
    <w:rsid w:val="00EA50C7"/>
    <w:rsid w:val="00EA55B7"/>
    <w:rsid w:val="00EB3C3F"/>
    <w:rsid w:val="00EC0410"/>
    <w:rsid w:val="00EE0D0D"/>
    <w:rsid w:val="00EE2F25"/>
    <w:rsid w:val="00EE7908"/>
    <w:rsid w:val="00EF62E7"/>
    <w:rsid w:val="00F02198"/>
    <w:rsid w:val="00F032C5"/>
    <w:rsid w:val="00F05AF4"/>
    <w:rsid w:val="00F26D86"/>
    <w:rsid w:val="00F66381"/>
    <w:rsid w:val="00F7116F"/>
    <w:rsid w:val="00F97E5E"/>
    <w:rsid w:val="00FC2F92"/>
    <w:rsid w:val="00FD1FE9"/>
    <w:rsid w:val="00FD2048"/>
    <w:rsid w:val="00FD5927"/>
    <w:rsid w:val="00FE3404"/>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BE02A"/>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legclearfix">
    <w:name w:val="legclearfix"/>
    <w:basedOn w:val="Normal"/>
    <w:rsid w:val="00965E87"/>
    <w:pPr>
      <w:spacing w:before="100" w:beforeAutospacing="1" w:after="100" w:afterAutospacing="1"/>
    </w:pPr>
    <w:rPr>
      <w:sz w:val="24"/>
      <w:szCs w:val="24"/>
      <w:lang w:eastAsia="en-GB"/>
    </w:rPr>
  </w:style>
  <w:style w:type="character" w:customStyle="1" w:styleId="legds">
    <w:name w:val="legds"/>
    <w:basedOn w:val="DefaultParagraphFont"/>
    <w:rsid w:val="00965E87"/>
  </w:style>
  <w:style w:type="character" w:styleId="CommentReference">
    <w:name w:val="annotation reference"/>
    <w:basedOn w:val="DefaultParagraphFont"/>
    <w:uiPriority w:val="99"/>
    <w:semiHidden/>
    <w:unhideWhenUsed/>
    <w:rsid w:val="007C1D9D"/>
    <w:rPr>
      <w:sz w:val="16"/>
      <w:szCs w:val="16"/>
    </w:rPr>
  </w:style>
  <w:style w:type="paragraph" w:styleId="CommentText">
    <w:name w:val="annotation text"/>
    <w:basedOn w:val="Normal"/>
    <w:link w:val="CommentTextChar"/>
    <w:uiPriority w:val="99"/>
    <w:semiHidden/>
    <w:unhideWhenUsed/>
    <w:rsid w:val="007C1D9D"/>
  </w:style>
  <w:style w:type="character" w:customStyle="1" w:styleId="CommentTextChar">
    <w:name w:val="Comment Text Char"/>
    <w:basedOn w:val="DefaultParagraphFont"/>
    <w:link w:val="CommentText"/>
    <w:uiPriority w:val="99"/>
    <w:semiHidden/>
    <w:rsid w:val="007C1D9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C1D9D"/>
    <w:rPr>
      <w:b/>
      <w:bCs/>
    </w:rPr>
  </w:style>
  <w:style w:type="character" w:customStyle="1" w:styleId="CommentSubjectChar">
    <w:name w:val="Comment Subject Char"/>
    <w:basedOn w:val="CommentTextChar"/>
    <w:link w:val="CommentSubject"/>
    <w:uiPriority w:val="99"/>
    <w:semiHidden/>
    <w:rsid w:val="007C1D9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5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1888908512">
      <w:bodyDiv w:val="1"/>
      <w:marLeft w:val="0"/>
      <w:marRight w:val="0"/>
      <w:marTop w:val="0"/>
      <w:marBottom w:val="0"/>
      <w:divBdr>
        <w:top w:val="none" w:sz="0" w:space="0" w:color="auto"/>
        <w:left w:val="none" w:sz="0" w:space="0" w:color="auto"/>
        <w:bottom w:val="none" w:sz="0" w:space="0" w:color="auto"/>
        <w:right w:val="none" w:sz="0" w:space="0" w:color="auto"/>
      </w:divBdr>
    </w:div>
    <w:div w:id="1899784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iccy.org/publications/2014/march/31/childrens-budgeting-in-ni/" TargetMode="External"/><Relationship Id="rId3" Type="http://schemas.openxmlformats.org/officeDocument/2006/relationships/hyperlink" Target="https://www.niccy.org/media/3631/niccy-committee-briefing-bor-june-2020.pdf" TargetMode="External"/><Relationship Id="rId7" Type="http://schemas.openxmlformats.org/officeDocument/2006/relationships/hyperlink" Target="https://www.niccy.org/publications/2015/october/16/childrens-budgeting/" TargetMode="External"/><Relationship Id="rId2" Type="http://schemas.openxmlformats.org/officeDocument/2006/relationships/hyperlink" Target="https://tbinternet.ohchr.org/_layouts/15/treatybodyexternal/Download.aspx?symbolno=CRC%2fGC%2f2003%2f5&amp;Lang=en" TargetMode="External"/><Relationship Id="rId1" Type="http://schemas.openxmlformats.org/officeDocument/2006/relationships/hyperlink" Target="https://www.gov.uk/government/publications/the-belfast-agreement" TargetMode="External"/><Relationship Id="rId6" Type="http://schemas.openxmlformats.org/officeDocument/2006/relationships/hyperlink" Target="https://www.niccy.org/media/2266/niccy-analysis-public-expenditure-exec-sum-08.pdf" TargetMode="External"/><Relationship Id="rId5" Type="http://schemas.openxmlformats.org/officeDocument/2006/relationships/hyperlink" Target="http://enoc.eu/wp-content/uploads/2020/12/ENOC-Common-Framework-of-Reference-FV.pdf" TargetMode="External"/><Relationship Id="rId10" Type="http://schemas.openxmlformats.org/officeDocument/2006/relationships/hyperlink" Target="https://www.niccy.org/media/3114/niccy-still-waiting-report-sept-18-web.pdf" TargetMode="External"/><Relationship Id="rId4" Type="http://schemas.openxmlformats.org/officeDocument/2006/relationships/hyperlink" Target="http://enoc.eu/wp-content/uploads/2020/11/ENOC-2020-Position-Statement-on-CRIA-FV-1.pdf" TargetMode="External"/><Relationship Id="rId9" Type="http://schemas.openxmlformats.org/officeDocument/2006/relationships/hyperlink" Target="https://www.niccy.org/publications/2017/august/31/cost-of-education-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66C7-0204-4D11-9EAE-B4EADDC4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2150</Words>
  <Characters>12261</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Alex Tennant</cp:lastModifiedBy>
  <cp:revision>15</cp:revision>
  <cp:lastPrinted>2013-11-19T11:46:00Z</cp:lastPrinted>
  <dcterms:created xsi:type="dcterms:W3CDTF">2021-04-01T13:43:00Z</dcterms:created>
  <dcterms:modified xsi:type="dcterms:W3CDTF">2021-04-01T13:55:00Z</dcterms:modified>
</cp:coreProperties>
</file>