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B682" w14:textId="4B823F6C" w:rsidR="002E52C9" w:rsidRPr="002E52C9" w:rsidRDefault="002E52C9" w:rsidP="002E52C9">
      <w:pPr>
        <w:spacing w:line="276" w:lineRule="auto"/>
        <w:ind w:right="-433"/>
        <w:jc w:val="right"/>
        <w:rPr>
          <w:rFonts w:ascii="Arial" w:hAnsi="Arial" w:cs="Arial"/>
          <w:color w:val="414042"/>
          <w:sz w:val="24"/>
          <w:szCs w:val="24"/>
        </w:rPr>
      </w:pPr>
      <w:r w:rsidRPr="002E52C9">
        <w:rPr>
          <w:rFonts w:ascii="Arial" w:hAnsi="Arial" w:cs="Arial"/>
          <w:color w:val="414042"/>
          <w:sz w:val="24"/>
          <w:szCs w:val="24"/>
        </w:rPr>
        <w:br/>
        <w:t>,</w:t>
      </w:r>
    </w:p>
    <w:p w14:paraId="36587697" w14:textId="77777777" w:rsidR="002E52C9" w:rsidRPr="002E52C9" w:rsidRDefault="002E52C9" w:rsidP="002E52C9">
      <w:pPr>
        <w:spacing w:line="276" w:lineRule="auto"/>
        <w:ind w:right="-433"/>
        <w:rPr>
          <w:rFonts w:ascii="Arial" w:hAnsi="Arial" w:cs="Arial"/>
          <w:b/>
          <w:color w:val="414042"/>
          <w:sz w:val="24"/>
          <w:szCs w:val="24"/>
        </w:rPr>
      </w:pPr>
    </w:p>
    <w:p w14:paraId="7ACA3EC4" w14:textId="77777777" w:rsidR="002E52C9" w:rsidRPr="002E52C9" w:rsidRDefault="002E52C9" w:rsidP="002E52C9">
      <w:pPr>
        <w:spacing w:line="276" w:lineRule="auto"/>
        <w:ind w:right="-433"/>
        <w:rPr>
          <w:rFonts w:ascii="Arial" w:hAnsi="Arial" w:cs="Arial"/>
          <w:b/>
          <w:color w:val="FF0000"/>
          <w:sz w:val="28"/>
          <w:szCs w:val="28"/>
        </w:rPr>
      </w:pPr>
      <w:r w:rsidRPr="002E52C9">
        <w:rPr>
          <w:rFonts w:ascii="Arial" w:hAnsi="Arial" w:cs="Arial"/>
          <w:b/>
          <w:color w:val="FF0000"/>
          <w:sz w:val="28"/>
          <w:szCs w:val="28"/>
        </w:rPr>
        <w:t xml:space="preserve">NICCY Response to PSNI EQIA on the use of Spit and Bite Guards </w:t>
      </w:r>
    </w:p>
    <w:p w14:paraId="3BD6E315" w14:textId="5EC7DC90" w:rsidR="002E52C9" w:rsidRPr="002E52C9" w:rsidRDefault="002E52C9" w:rsidP="002E52C9">
      <w:pPr>
        <w:spacing w:line="276" w:lineRule="auto"/>
        <w:ind w:right="-433"/>
        <w:rPr>
          <w:rFonts w:ascii="Arial" w:hAnsi="Arial" w:cs="Arial"/>
          <w:b/>
          <w:color w:val="FF0000"/>
          <w:sz w:val="28"/>
          <w:szCs w:val="28"/>
        </w:rPr>
      </w:pPr>
      <w:r w:rsidRPr="002E52C9">
        <w:rPr>
          <w:rFonts w:ascii="Arial" w:hAnsi="Arial" w:cs="Arial"/>
          <w:b/>
          <w:color w:val="FF0000"/>
          <w:sz w:val="28"/>
          <w:szCs w:val="28"/>
        </w:rPr>
        <w:t>May 2021</w:t>
      </w:r>
    </w:p>
    <w:p w14:paraId="65737439" w14:textId="77777777" w:rsidR="002E52C9" w:rsidRDefault="002E52C9" w:rsidP="002E52C9">
      <w:pPr>
        <w:widowControl w:val="0"/>
        <w:autoSpaceDE w:val="0"/>
        <w:autoSpaceDN w:val="0"/>
        <w:adjustRightInd w:val="0"/>
        <w:spacing w:line="276" w:lineRule="auto"/>
        <w:rPr>
          <w:rFonts w:ascii="Arial" w:eastAsiaTheme="minorEastAsia" w:hAnsi="Arial" w:cs="Arial"/>
          <w:b/>
          <w:color w:val="ED1C24"/>
          <w:sz w:val="24"/>
          <w:szCs w:val="24"/>
        </w:rPr>
      </w:pPr>
    </w:p>
    <w:p w14:paraId="4EFDA0EB" w14:textId="648FF962" w:rsidR="002E52C9" w:rsidRPr="002E52C9" w:rsidRDefault="002E52C9" w:rsidP="002E52C9">
      <w:pPr>
        <w:widowControl w:val="0"/>
        <w:autoSpaceDE w:val="0"/>
        <w:autoSpaceDN w:val="0"/>
        <w:adjustRightInd w:val="0"/>
        <w:spacing w:line="276" w:lineRule="auto"/>
        <w:rPr>
          <w:rFonts w:ascii="Arial" w:eastAsiaTheme="minorEastAsia" w:hAnsi="Arial" w:cs="Arial"/>
          <w:b/>
          <w:color w:val="00B0F0"/>
          <w:sz w:val="24"/>
          <w:szCs w:val="24"/>
        </w:rPr>
      </w:pPr>
      <w:r w:rsidRPr="002E52C9">
        <w:rPr>
          <w:rFonts w:ascii="Arial" w:eastAsiaTheme="minorEastAsia" w:hAnsi="Arial" w:cs="Arial"/>
          <w:b/>
          <w:color w:val="00B0F0"/>
          <w:sz w:val="24"/>
          <w:szCs w:val="24"/>
        </w:rPr>
        <w:t>Introduction</w:t>
      </w:r>
    </w:p>
    <w:p w14:paraId="73134058" w14:textId="77777777" w:rsidR="002E52C9" w:rsidRPr="002E52C9" w:rsidRDefault="002E52C9" w:rsidP="002E52C9">
      <w:pPr>
        <w:spacing w:line="276" w:lineRule="auto"/>
        <w:ind w:right="-433"/>
        <w:rPr>
          <w:rFonts w:ascii="Arial" w:hAnsi="Arial" w:cs="Arial"/>
          <w:color w:val="414042"/>
          <w:sz w:val="24"/>
          <w:szCs w:val="24"/>
        </w:rPr>
      </w:pPr>
      <w:r w:rsidRPr="002E52C9">
        <w:rPr>
          <w:rFonts w:ascii="Arial" w:hAnsi="Arial" w:cs="Arial"/>
          <w:color w:val="414042"/>
          <w:sz w:val="24"/>
          <w:szCs w:val="24"/>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the Commissioner has a statutory duty to advise any relevant authority on matters concerning the rights or best interests of children and young persons. </w:t>
      </w:r>
    </w:p>
    <w:p w14:paraId="44985C2A" w14:textId="77777777" w:rsidR="002E52C9" w:rsidRPr="002E52C9" w:rsidRDefault="002E52C9" w:rsidP="002E52C9">
      <w:pPr>
        <w:spacing w:line="276" w:lineRule="auto"/>
        <w:ind w:right="-433"/>
        <w:rPr>
          <w:rFonts w:ascii="Arial" w:hAnsi="Arial" w:cs="Arial"/>
          <w:color w:val="414042"/>
          <w:sz w:val="24"/>
          <w:szCs w:val="24"/>
        </w:rPr>
      </w:pPr>
    </w:p>
    <w:p w14:paraId="24149C30" w14:textId="77777777" w:rsidR="002E52C9" w:rsidRPr="002E52C9" w:rsidRDefault="002E52C9" w:rsidP="002E52C9">
      <w:pPr>
        <w:spacing w:line="276" w:lineRule="auto"/>
        <w:ind w:right="-433"/>
        <w:rPr>
          <w:rFonts w:ascii="Arial" w:hAnsi="Arial" w:cs="Arial"/>
          <w:color w:val="414042"/>
          <w:sz w:val="24"/>
          <w:szCs w:val="24"/>
        </w:rPr>
      </w:pPr>
      <w:r w:rsidRPr="002E52C9">
        <w:rPr>
          <w:rFonts w:ascii="Arial" w:hAnsi="Arial" w:cs="Arial"/>
          <w:color w:val="414042"/>
          <w:sz w:val="24"/>
          <w:szCs w:val="24"/>
        </w:rPr>
        <w:t xml:space="preserve">The Commissioner’s remit includes children and young people up to 18 years old, or 21 years old, if the young person is disabled or is care experienced. In carrying out her functions, the Commissioner’s paramount consideration is the rights of the child or young person, having </w:t>
      </w:r>
      <w:proofErr w:type="gramStart"/>
      <w:r w:rsidRPr="002E52C9">
        <w:rPr>
          <w:rFonts w:ascii="Arial" w:hAnsi="Arial" w:cs="Arial"/>
          <w:color w:val="414042"/>
          <w:sz w:val="24"/>
          <w:szCs w:val="24"/>
        </w:rPr>
        <w:t>particular regard</w:t>
      </w:r>
      <w:proofErr w:type="gramEnd"/>
      <w:r w:rsidRPr="002E52C9">
        <w:rPr>
          <w:rFonts w:ascii="Arial" w:hAnsi="Arial" w:cs="Arial"/>
          <w:color w:val="414042"/>
          <w:sz w:val="24"/>
          <w:szCs w:val="24"/>
        </w:rPr>
        <w:t xml:space="preserve"> to their wishes and feelings. In exercising her functions, the Commissioner has regard to all relevant provisions of the United Nations Convention on the Rights of the Child (UNCRC).</w:t>
      </w:r>
    </w:p>
    <w:p w14:paraId="45B8AA9D" w14:textId="77777777" w:rsidR="002E52C9" w:rsidRPr="002E52C9" w:rsidRDefault="002E52C9" w:rsidP="002E52C9">
      <w:pPr>
        <w:spacing w:line="276" w:lineRule="auto"/>
        <w:ind w:right="-433"/>
        <w:rPr>
          <w:rFonts w:ascii="Arial" w:hAnsi="Arial" w:cs="Arial"/>
          <w:color w:val="414042"/>
          <w:sz w:val="24"/>
          <w:szCs w:val="24"/>
        </w:rPr>
      </w:pPr>
    </w:p>
    <w:p w14:paraId="58762652" w14:textId="77777777" w:rsidR="002E52C9" w:rsidRPr="00147433" w:rsidRDefault="002E52C9" w:rsidP="002E52C9">
      <w:pPr>
        <w:spacing w:line="276" w:lineRule="auto"/>
        <w:ind w:right="-433"/>
        <w:rPr>
          <w:rFonts w:ascii="Arial" w:hAnsi="Arial" w:cs="Arial"/>
          <w:b/>
          <w:color w:val="00B0F0"/>
          <w:sz w:val="24"/>
          <w:szCs w:val="24"/>
        </w:rPr>
      </w:pPr>
      <w:r w:rsidRPr="00147433">
        <w:rPr>
          <w:rFonts w:ascii="Arial" w:hAnsi="Arial" w:cs="Arial"/>
          <w:b/>
          <w:color w:val="00B0F0"/>
          <w:sz w:val="24"/>
          <w:szCs w:val="24"/>
        </w:rPr>
        <w:t>Children’s Rights</w:t>
      </w:r>
    </w:p>
    <w:p w14:paraId="47A8F719" w14:textId="5E1ABDB2" w:rsidR="002E52C9" w:rsidRPr="002E52C9" w:rsidRDefault="002E52C9" w:rsidP="002E52C9">
      <w:pPr>
        <w:spacing w:line="276" w:lineRule="auto"/>
        <w:ind w:right="-433"/>
        <w:rPr>
          <w:rFonts w:ascii="Arial" w:hAnsi="Arial" w:cs="Arial"/>
          <w:color w:val="414042"/>
          <w:sz w:val="24"/>
          <w:szCs w:val="24"/>
        </w:rPr>
      </w:pPr>
      <w:r w:rsidRPr="002E52C9">
        <w:rPr>
          <w:rFonts w:ascii="Arial" w:hAnsi="Arial" w:cs="Arial"/>
          <w:color w:val="414042"/>
          <w:sz w:val="24"/>
          <w:szCs w:val="24"/>
        </w:rPr>
        <w:t xml:space="preserve">NICCY appreciates that there are </w:t>
      </w:r>
      <w:r>
        <w:rPr>
          <w:rFonts w:ascii="Arial" w:hAnsi="Arial" w:cs="Arial"/>
          <w:color w:val="414042"/>
          <w:sz w:val="24"/>
          <w:szCs w:val="24"/>
        </w:rPr>
        <w:t>perceived</w:t>
      </w:r>
      <w:r w:rsidRPr="002E52C9">
        <w:rPr>
          <w:rFonts w:ascii="Arial" w:hAnsi="Arial" w:cs="Arial"/>
          <w:color w:val="414042"/>
          <w:sz w:val="24"/>
          <w:szCs w:val="24"/>
        </w:rPr>
        <w:t xml:space="preserve"> complexities when reconciling the rights of children and young people with their welfare and best interests. We recommend that the following articles of the UNCRC are </w:t>
      </w:r>
      <w:r>
        <w:rPr>
          <w:rFonts w:ascii="Arial" w:hAnsi="Arial" w:cs="Arial"/>
          <w:color w:val="414042"/>
          <w:sz w:val="24"/>
          <w:szCs w:val="24"/>
        </w:rPr>
        <w:t xml:space="preserve">effectively </w:t>
      </w:r>
      <w:r w:rsidRPr="002E52C9">
        <w:rPr>
          <w:rFonts w:ascii="Arial" w:hAnsi="Arial" w:cs="Arial"/>
          <w:color w:val="414042"/>
          <w:sz w:val="24"/>
          <w:szCs w:val="24"/>
        </w:rPr>
        <w:t>incorporated as underlying principles when considering the EQIA on the use of Spit and Bite guards, particularly Articles 3</w:t>
      </w:r>
      <w:r>
        <w:rPr>
          <w:rFonts w:ascii="Arial" w:hAnsi="Arial" w:cs="Arial"/>
          <w:color w:val="414042"/>
          <w:sz w:val="24"/>
          <w:szCs w:val="24"/>
        </w:rPr>
        <w:t xml:space="preserve"> (this is already a requirement as outlined in S53 of the Justice NI Order, 200</w:t>
      </w:r>
      <w:r w:rsidR="0067036F">
        <w:rPr>
          <w:rFonts w:ascii="Arial" w:hAnsi="Arial" w:cs="Arial"/>
          <w:color w:val="414042"/>
          <w:sz w:val="24"/>
          <w:szCs w:val="24"/>
        </w:rPr>
        <w:t>2</w:t>
      </w:r>
      <w:r w:rsidR="00C17D09">
        <w:rPr>
          <w:rFonts w:ascii="Arial" w:hAnsi="Arial" w:cs="Arial"/>
          <w:color w:val="414042"/>
          <w:sz w:val="24"/>
          <w:szCs w:val="24"/>
        </w:rPr>
        <w:t>)</w:t>
      </w:r>
      <w:r w:rsidR="00C17D09">
        <w:rPr>
          <w:rStyle w:val="FootnoteReference"/>
          <w:rFonts w:ascii="Arial" w:hAnsi="Arial" w:cs="Arial"/>
          <w:color w:val="414042"/>
          <w:sz w:val="24"/>
          <w:szCs w:val="24"/>
        </w:rPr>
        <w:footnoteReference w:id="1"/>
      </w:r>
      <w:r w:rsidRPr="002E52C9">
        <w:rPr>
          <w:rFonts w:ascii="Arial" w:hAnsi="Arial" w:cs="Arial"/>
          <w:color w:val="414042"/>
          <w:sz w:val="24"/>
          <w:szCs w:val="24"/>
        </w:rPr>
        <w:t>.</w:t>
      </w:r>
    </w:p>
    <w:p w14:paraId="381C55B8" w14:textId="77777777" w:rsidR="002E52C9" w:rsidRPr="002E52C9" w:rsidRDefault="002E52C9" w:rsidP="002E52C9">
      <w:pPr>
        <w:spacing w:line="276" w:lineRule="auto"/>
        <w:ind w:right="-433"/>
        <w:rPr>
          <w:rFonts w:ascii="Arial" w:hAnsi="Arial" w:cs="Arial"/>
          <w:color w:val="414042"/>
          <w:sz w:val="24"/>
          <w:szCs w:val="24"/>
        </w:rPr>
      </w:pPr>
    </w:p>
    <w:p w14:paraId="3211534E" w14:textId="070BEC2A"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2</w:t>
      </w:r>
      <w:r w:rsidRPr="002E52C9">
        <w:rPr>
          <w:rFonts w:ascii="Arial" w:hAnsi="Arial" w:cs="Arial"/>
          <w:color w:val="414042"/>
          <w:sz w:val="24"/>
          <w:szCs w:val="24"/>
        </w:rPr>
        <w:t>: Children shall not be discriminated against and shall have equal access to all articles in the UNCRC.</w:t>
      </w:r>
    </w:p>
    <w:p w14:paraId="5DB59A8C" w14:textId="7D879E82"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3</w:t>
      </w:r>
      <w:r w:rsidRPr="002E52C9">
        <w:rPr>
          <w:rFonts w:ascii="Arial" w:hAnsi="Arial" w:cs="Arial"/>
          <w:color w:val="414042"/>
          <w:sz w:val="24"/>
          <w:szCs w:val="24"/>
        </w:rPr>
        <w:t>: All decisions taken which affect children's lives should be taken in the child's best interests.</w:t>
      </w:r>
    </w:p>
    <w:p w14:paraId="1AF6C414" w14:textId="6B419F2D"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6</w:t>
      </w:r>
      <w:r w:rsidRPr="002E52C9">
        <w:rPr>
          <w:rFonts w:ascii="Arial" w:hAnsi="Arial" w:cs="Arial"/>
          <w:color w:val="414042"/>
          <w:sz w:val="24"/>
          <w:szCs w:val="24"/>
        </w:rPr>
        <w:t>: All children have the right to life and to the fullest level of development.</w:t>
      </w:r>
    </w:p>
    <w:p w14:paraId="07CCF73B" w14:textId="72D8881D"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12</w:t>
      </w:r>
      <w:r w:rsidRPr="002E52C9">
        <w:rPr>
          <w:rFonts w:ascii="Arial" w:hAnsi="Arial" w:cs="Arial"/>
          <w:color w:val="414042"/>
          <w:sz w:val="24"/>
          <w:szCs w:val="24"/>
        </w:rPr>
        <w:t>: Children have the right to have their voices heard in all matters concerning them.</w:t>
      </w:r>
    </w:p>
    <w:p w14:paraId="5D353C3E" w14:textId="41D6118C"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19</w:t>
      </w:r>
      <w:r w:rsidRPr="002E52C9">
        <w:rPr>
          <w:rFonts w:ascii="Arial" w:hAnsi="Arial" w:cs="Arial"/>
          <w:color w:val="414042"/>
          <w:sz w:val="24"/>
          <w:szCs w:val="24"/>
        </w:rPr>
        <w:t xml:space="preserve">: Children have the right to be protected against all forms of violence, abuse, </w:t>
      </w:r>
      <w:proofErr w:type="gramStart"/>
      <w:r w:rsidRPr="002E52C9">
        <w:rPr>
          <w:rFonts w:ascii="Arial" w:hAnsi="Arial" w:cs="Arial"/>
          <w:color w:val="414042"/>
          <w:sz w:val="24"/>
          <w:szCs w:val="24"/>
        </w:rPr>
        <w:t>maltreatment</w:t>
      </w:r>
      <w:proofErr w:type="gramEnd"/>
      <w:r w:rsidRPr="002E52C9">
        <w:rPr>
          <w:rFonts w:ascii="Arial" w:hAnsi="Arial" w:cs="Arial"/>
          <w:color w:val="414042"/>
          <w:sz w:val="24"/>
          <w:szCs w:val="24"/>
        </w:rPr>
        <w:t xml:space="preserve"> or exploitation.</w:t>
      </w:r>
    </w:p>
    <w:p w14:paraId="7DA119EB" w14:textId="4271E37D"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36</w:t>
      </w:r>
      <w:r w:rsidRPr="002E52C9">
        <w:rPr>
          <w:rFonts w:ascii="Arial" w:hAnsi="Arial" w:cs="Arial"/>
          <w:color w:val="414042"/>
          <w:sz w:val="24"/>
          <w:szCs w:val="24"/>
        </w:rPr>
        <w:t>: Children should be protected from all other forms of exploitation prejudicial to the welfare of the child.</w:t>
      </w:r>
    </w:p>
    <w:p w14:paraId="286C36FF" w14:textId="6B006434" w:rsidR="002E52C9" w:rsidRPr="002E52C9" w:rsidRDefault="002E52C9" w:rsidP="002E52C9">
      <w:pPr>
        <w:pStyle w:val="ListParagraph"/>
        <w:numPr>
          <w:ilvl w:val="0"/>
          <w:numId w:val="22"/>
        </w:numPr>
        <w:spacing w:line="276" w:lineRule="auto"/>
        <w:ind w:right="-433"/>
        <w:rPr>
          <w:rFonts w:ascii="Arial" w:hAnsi="Arial" w:cs="Arial"/>
          <w:color w:val="414042"/>
          <w:sz w:val="24"/>
          <w:szCs w:val="24"/>
        </w:rPr>
      </w:pPr>
      <w:r w:rsidRPr="002E52C9">
        <w:rPr>
          <w:rFonts w:ascii="Arial" w:hAnsi="Arial" w:cs="Arial"/>
          <w:b/>
          <w:color w:val="414042"/>
          <w:sz w:val="24"/>
          <w:szCs w:val="24"/>
        </w:rPr>
        <w:t>Article 37</w:t>
      </w:r>
      <w:r w:rsidRPr="002E52C9">
        <w:rPr>
          <w:rFonts w:ascii="Arial" w:hAnsi="Arial" w:cs="Arial"/>
          <w:color w:val="414042"/>
          <w:sz w:val="24"/>
          <w:szCs w:val="24"/>
        </w:rPr>
        <w:t xml:space="preserve">: Children should not be subject to cruel, </w:t>
      </w:r>
      <w:proofErr w:type="gramStart"/>
      <w:r w:rsidRPr="002E52C9">
        <w:rPr>
          <w:rFonts w:ascii="Arial" w:hAnsi="Arial" w:cs="Arial"/>
          <w:color w:val="414042"/>
          <w:sz w:val="24"/>
          <w:szCs w:val="24"/>
        </w:rPr>
        <w:t>inhuman</w:t>
      </w:r>
      <w:proofErr w:type="gramEnd"/>
      <w:r w:rsidRPr="002E52C9">
        <w:rPr>
          <w:rFonts w:ascii="Arial" w:hAnsi="Arial" w:cs="Arial"/>
          <w:color w:val="414042"/>
          <w:sz w:val="24"/>
          <w:szCs w:val="24"/>
        </w:rPr>
        <w:t xml:space="preserve"> or degrading treatment or punishment.</w:t>
      </w:r>
    </w:p>
    <w:p w14:paraId="5A869A65" w14:textId="77777777" w:rsidR="002E52C9" w:rsidRPr="002E52C9" w:rsidRDefault="002E52C9" w:rsidP="002E52C9">
      <w:pPr>
        <w:spacing w:line="276" w:lineRule="auto"/>
        <w:ind w:right="-433"/>
        <w:rPr>
          <w:rFonts w:ascii="Arial" w:hAnsi="Arial" w:cs="Arial"/>
          <w:bCs/>
          <w:color w:val="414042"/>
          <w:sz w:val="24"/>
          <w:szCs w:val="36"/>
        </w:rPr>
      </w:pPr>
    </w:p>
    <w:p w14:paraId="78DDF2A6" w14:textId="2043C2FE" w:rsidR="002E52C9" w:rsidRPr="00147433" w:rsidRDefault="002E52C9" w:rsidP="002E52C9">
      <w:pPr>
        <w:spacing w:line="276" w:lineRule="auto"/>
        <w:ind w:right="-433"/>
        <w:rPr>
          <w:rFonts w:ascii="Arial" w:hAnsi="Arial" w:cs="Arial"/>
          <w:bCs/>
          <w:color w:val="414042"/>
          <w:sz w:val="24"/>
          <w:szCs w:val="36"/>
        </w:rPr>
      </w:pPr>
      <w:r w:rsidRPr="002E52C9">
        <w:rPr>
          <w:rFonts w:ascii="Arial" w:hAnsi="Arial" w:cs="Arial"/>
          <w:color w:val="414042"/>
          <w:sz w:val="24"/>
          <w:szCs w:val="24"/>
        </w:rPr>
        <w:t>In 2016, when the UN Committee on the Rights of the Child examined the UK on how well it is meeting its children's rights obligations, it recommended that the UK Government prohibit the police using any harmful devices on children.</w:t>
      </w:r>
      <w:r w:rsidRPr="002E52C9">
        <w:rPr>
          <w:rFonts w:ascii="Arial" w:hAnsi="Arial" w:cs="Arial"/>
          <w:color w:val="414042"/>
          <w:sz w:val="24"/>
          <w:szCs w:val="24"/>
          <w:vertAlign w:val="superscript"/>
        </w:rPr>
        <w:footnoteReference w:id="2"/>
      </w:r>
      <w:r w:rsidRPr="002E52C9">
        <w:rPr>
          <w:rFonts w:ascii="Arial" w:hAnsi="Arial" w:cs="Arial"/>
          <w:bCs/>
          <w:color w:val="414042"/>
          <w:sz w:val="24"/>
          <w:szCs w:val="36"/>
        </w:rPr>
        <w:t xml:space="preserve">  Specifically the Committee </w:t>
      </w:r>
      <w:r>
        <w:rPr>
          <w:rFonts w:ascii="Arial" w:hAnsi="Arial" w:cs="Arial"/>
          <w:bCs/>
          <w:color w:val="414042"/>
          <w:sz w:val="24"/>
          <w:szCs w:val="36"/>
        </w:rPr>
        <w:t xml:space="preserve">was </w:t>
      </w:r>
      <w:r w:rsidRPr="002E52C9">
        <w:rPr>
          <w:rFonts w:ascii="Arial" w:hAnsi="Arial" w:cs="Arial"/>
          <w:bCs/>
          <w:color w:val="414042"/>
          <w:sz w:val="24"/>
          <w:szCs w:val="36"/>
        </w:rPr>
        <w:t>concerned about:</w:t>
      </w:r>
    </w:p>
    <w:p w14:paraId="75B2C1F6" w14:textId="77777777" w:rsidR="002E52C9" w:rsidRPr="002E52C9" w:rsidRDefault="002E52C9" w:rsidP="002E52C9">
      <w:pPr>
        <w:spacing w:line="276" w:lineRule="auto"/>
        <w:ind w:right="-433"/>
        <w:rPr>
          <w:rFonts w:ascii="Arial" w:hAnsi="Arial" w:cs="Arial"/>
          <w:bCs/>
          <w:color w:val="414042"/>
          <w:sz w:val="24"/>
          <w:szCs w:val="36"/>
        </w:rPr>
      </w:pPr>
    </w:p>
    <w:p w14:paraId="65C7FDB7" w14:textId="77777777" w:rsidR="002E52C9" w:rsidRPr="002E52C9" w:rsidRDefault="002E52C9" w:rsidP="002E52C9">
      <w:pPr>
        <w:spacing w:line="276" w:lineRule="auto"/>
        <w:ind w:left="397" w:right="-433"/>
        <w:rPr>
          <w:rFonts w:ascii="Arial" w:hAnsi="Arial" w:cs="Arial"/>
          <w:bCs/>
          <w:color w:val="414042"/>
          <w:sz w:val="24"/>
          <w:szCs w:val="36"/>
        </w:rPr>
      </w:pPr>
      <w:r w:rsidRPr="002E52C9">
        <w:rPr>
          <w:rFonts w:ascii="Arial" w:hAnsi="Arial" w:cs="Arial"/>
          <w:bCs/>
          <w:color w:val="414042"/>
          <w:sz w:val="24"/>
          <w:szCs w:val="36"/>
        </w:rPr>
        <w:t>(a)The use by the police of Tasers and, in the case of Northern Ireland, attenuating energy projectiles against children in the four devolved administrations.</w:t>
      </w:r>
    </w:p>
    <w:p w14:paraId="445D3F5B" w14:textId="77777777" w:rsidR="002E52C9" w:rsidRPr="002E52C9" w:rsidRDefault="002E52C9" w:rsidP="002E52C9">
      <w:pPr>
        <w:spacing w:line="276" w:lineRule="auto"/>
        <w:ind w:right="-433"/>
        <w:rPr>
          <w:rFonts w:ascii="Arial" w:hAnsi="Arial" w:cs="Arial"/>
          <w:bCs/>
          <w:color w:val="414042"/>
          <w:sz w:val="24"/>
          <w:szCs w:val="36"/>
        </w:rPr>
      </w:pPr>
    </w:p>
    <w:p w14:paraId="485452C9" w14:textId="77777777" w:rsidR="002E52C9" w:rsidRPr="002E52C9" w:rsidRDefault="002E52C9" w:rsidP="002E52C9">
      <w:pPr>
        <w:spacing w:line="276" w:lineRule="auto"/>
        <w:ind w:left="397" w:right="-433"/>
        <w:rPr>
          <w:rFonts w:ascii="Arial" w:hAnsi="Arial" w:cs="Arial"/>
          <w:bCs/>
          <w:color w:val="414042"/>
          <w:sz w:val="24"/>
          <w:szCs w:val="36"/>
        </w:rPr>
      </w:pPr>
      <w:r w:rsidRPr="002E52C9">
        <w:rPr>
          <w:rFonts w:ascii="Arial" w:hAnsi="Arial" w:cs="Arial"/>
          <w:bCs/>
          <w:color w:val="414042"/>
          <w:sz w:val="24"/>
          <w:szCs w:val="36"/>
        </w:rPr>
        <w:t xml:space="preserve">(c)The use of physical restraint on children to maintain good order and discipline in young offenders’ institutions and of pain-inducing techniques on children in institutional settings in England, Wales and Scotland, and the lack of a comprehensive review of the use of restraint in institutional settings in Northern </w:t>
      </w:r>
      <w:proofErr w:type="gramStart"/>
      <w:r w:rsidRPr="002E52C9">
        <w:rPr>
          <w:rFonts w:ascii="Arial" w:hAnsi="Arial" w:cs="Arial"/>
          <w:bCs/>
          <w:color w:val="414042"/>
          <w:sz w:val="24"/>
          <w:szCs w:val="36"/>
        </w:rPr>
        <w:t>Ireland;</w:t>
      </w:r>
      <w:proofErr w:type="gramEnd"/>
    </w:p>
    <w:p w14:paraId="65F8C2DB" w14:textId="77777777" w:rsidR="002E52C9" w:rsidRPr="002E52C9" w:rsidRDefault="002E52C9" w:rsidP="002E52C9">
      <w:pPr>
        <w:spacing w:line="276" w:lineRule="auto"/>
        <w:ind w:right="-433"/>
        <w:rPr>
          <w:rFonts w:ascii="Arial" w:hAnsi="Arial" w:cs="Arial"/>
          <w:bCs/>
          <w:color w:val="414042"/>
          <w:sz w:val="24"/>
          <w:szCs w:val="36"/>
        </w:rPr>
      </w:pPr>
    </w:p>
    <w:p w14:paraId="17B25038" w14:textId="367DE67F" w:rsidR="00940F1F" w:rsidRPr="00B30438" w:rsidRDefault="002E52C9" w:rsidP="002E52C9">
      <w:pPr>
        <w:spacing w:line="276" w:lineRule="auto"/>
        <w:ind w:right="-433"/>
        <w:rPr>
          <w:rFonts w:ascii="Arial" w:hAnsi="Arial" w:cs="Arial"/>
          <w:bCs/>
          <w:color w:val="414042"/>
          <w:sz w:val="24"/>
          <w:szCs w:val="36"/>
        </w:rPr>
      </w:pPr>
      <w:r w:rsidRPr="002E52C9">
        <w:rPr>
          <w:rFonts w:ascii="Arial" w:hAnsi="Arial" w:cs="Arial"/>
          <w:bCs/>
          <w:color w:val="414042"/>
          <w:sz w:val="24"/>
          <w:szCs w:val="36"/>
        </w:rPr>
        <w:t xml:space="preserve">In 2008 </w:t>
      </w:r>
      <w:r>
        <w:rPr>
          <w:rFonts w:ascii="Arial" w:hAnsi="Arial" w:cs="Arial"/>
          <w:bCs/>
          <w:color w:val="414042"/>
          <w:sz w:val="24"/>
          <w:szCs w:val="36"/>
        </w:rPr>
        <w:t>NICCY</w:t>
      </w:r>
      <w:r w:rsidRPr="002E52C9">
        <w:rPr>
          <w:rFonts w:ascii="Arial" w:hAnsi="Arial" w:cs="Arial"/>
          <w:bCs/>
          <w:color w:val="414042"/>
          <w:sz w:val="24"/>
          <w:szCs w:val="36"/>
        </w:rPr>
        <w:t xml:space="preserve"> raised serious </w:t>
      </w:r>
      <w:r>
        <w:rPr>
          <w:rFonts w:ascii="Arial" w:hAnsi="Arial" w:cs="Arial"/>
          <w:bCs/>
          <w:color w:val="414042"/>
          <w:sz w:val="24"/>
          <w:szCs w:val="36"/>
        </w:rPr>
        <w:t>concerns</w:t>
      </w:r>
      <w:r w:rsidRPr="002E52C9">
        <w:rPr>
          <w:rFonts w:ascii="Arial" w:hAnsi="Arial" w:cs="Arial"/>
          <w:bCs/>
          <w:color w:val="414042"/>
          <w:sz w:val="24"/>
          <w:szCs w:val="36"/>
        </w:rPr>
        <w:t xml:space="preserve"> regarding </w:t>
      </w:r>
      <w:r>
        <w:rPr>
          <w:rFonts w:ascii="Arial" w:hAnsi="Arial" w:cs="Arial"/>
          <w:bCs/>
          <w:color w:val="414042"/>
          <w:sz w:val="24"/>
          <w:szCs w:val="36"/>
        </w:rPr>
        <w:t xml:space="preserve">the </w:t>
      </w:r>
      <w:r w:rsidR="00882CD1">
        <w:rPr>
          <w:rFonts w:ascii="Arial" w:hAnsi="Arial" w:cs="Arial"/>
          <w:bCs/>
          <w:color w:val="414042"/>
          <w:sz w:val="24"/>
          <w:szCs w:val="36"/>
        </w:rPr>
        <w:t>decision-making</w:t>
      </w:r>
      <w:r>
        <w:rPr>
          <w:rFonts w:ascii="Arial" w:hAnsi="Arial" w:cs="Arial"/>
          <w:bCs/>
          <w:color w:val="414042"/>
          <w:sz w:val="24"/>
          <w:szCs w:val="36"/>
        </w:rPr>
        <w:t xml:space="preserve"> process for </w:t>
      </w:r>
      <w:r w:rsidRPr="002E52C9">
        <w:rPr>
          <w:rFonts w:ascii="Arial" w:hAnsi="Arial" w:cs="Arial"/>
          <w:bCs/>
          <w:color w:val="414042"/>
          <w:sz w:val="24"/>
          <w:szCs w:val="36"/>
        </w:rPr>
        <w:t>the introduction of Tasers into operational use</w:t>
      </w:r>
      <w:r w:rsidR="00882CD1">
        <w:rPr>
          <w:rFonts w:ascii="Arial" w:hAnsi="Arial" w:cs="Arial"/>
          <w:bCs/>
          <w:color w:val="414042"/>
          <w:sz w:val="24"/>
          <w:szCs w:val="36"/>
        </w:rPr>
        <w:t xml:space="preserve"> and how the implementation process raised serious concerns for the rights of children and young people.  </w:t>
      </w:r>
      <w:r w:rsidRPr="002E52C9">
        <w:rPr>
          <w:rFonts w:ascii="Arial" w:hAnsi="Arial" w:cs="Arial"/>
          <w:bCs/>
          <w:color w:val="414042"/>
          <w:sz w:val="24"/>
          <w:szCs w:val="36"/>
        </w:rPr>
        <w:t>Similarities can be drawn</w:t>
      </w:r>
      <w:r w:rsidR="00B502F1">
        <w:rPr>
          <w:rFonts w:ascii="Arial" w:hAnsi="Arial" w:cs="Arial"/>
          <w:bCs/>
          <w:color w:val="414042"/>
          <w:sz w:val="24"/>
          <w:szCs w:val="36"/>
        </w:rPr>
        <w:t xml:space="preserve"> </w:t>
      </w:r>
      <w:r w:rsidR="00580813">
        <w:rPr>
          <w:rFonts w:ascii="Arial" w:hAnsi="Arial" w:cs="Arial"/>
          <w:bCs/>
          <w:color w:val="414042"/>
          <w:sz w:val="24"/>
          <w:szCs w:val="36"/>
        </w:rPr>
        <w:t>regrading raised</w:t>
      </w:r>
      <w:r w:rsidR="00B502F1">
        <w:rPr>
          <w:rFonts w:ascii="Arial" w:hAnsi="Arial" w:cs="Arial"/>
          <w:bCs/>
          <w:color w:val="414042"/>
          <w:sz w:val="24"/>
          <w:szCs w:val="36"/>
        </w:rPr>
        <w:t xml:space="preserve"> concerns with the temporary introduction of Spit and Bite Guards</w:t>
      </w:r>
      <w:r w:rsidR="00497803">
        <w:rPr>
          <w:rFonts w:ascii="Arial" w:hAnsi="Arial" w:cs="Arial"/>
          <w:bCs/>
          <w:color w:val="414042"/>
          <w:sz w:val="24"/>
          <w:szCs w:val="36"/>
        </w:rPr>
        <w:t>.  F</w:t>
      </w:r>
      <w:r w:rsidR="00B502F1">
        <w:rPr>
          <w:rFonts w:ascii="Arial" w:hAnsi="Arial" w:cs="Arial"/>
          <w:bCs/>
          <w:color w:val="414042"/>
          <w:sz w:val="24"/>
          <w:szCs w:val="36"/>
        </w:rPr>
        <w:t xml:space="preserve">or </w:t>
      </w:r>
      <w:proofErr w:type="gramStart"/>
      <w:r w:rsidR="00B502F1">
        <w:rPr>
          <w:rFonts w:ascii="Arial" w:hAnsi="Arial" w:cs="Arial"/>
          <w:bCs/>
          <w:color w:val="414042"/>
          <w:sz w:val="24"/>
          <w:szCs w:val="36"/>
        </w:rPr>
        <w:t>example;</w:t>
      </w:r>
      <w:proofErr w:type="gramEnd"/>
      <w:r w:rsidRPr="002E52C9">
        <w:rPr>
          <w:rFonts w:ascii="Arial" w:hAnsi="Arial" w:cs="Arial"/>
          <w:bCs/>
          <w:color w:val="414042"/>
          <w:sz w:val="24"/>
          <w:szCs w:val="36"/>
        </w:rPr>
        <w:t xml:space="preserve"> the introduction of Tasers happened before a full Equality Impact Assessment had been completed</w:t>
      </w:r>
      <w:r w:rsidR="00181208">
        <w:rPr>
          <w:rFonts w:ascii="Arial" w:hAnsi="Arial" w:cs="Arial"/>
          <w:bCs/>
          <w:color w:val="414042"/>
          <w:sz w:val="24"/>
          <w:szCs w:val="36"/>
        </w:rPr>
        <w:t xml:space="preserve">, currently </w:t>
      </w:r>
      <w:r w:rsidRPr="002E52C9">
        <w:rPr>
          <w:rFonts w:ascii="Arial" w:hAnsi="Arial" w:cs="Arial"/>
          <w:bCs/>
          <w:color w:val="414042"/>
          <w:sz w:val="24"/>
          <w:szCs w:val="36"/>
        </w:rPr>
        <w:t>over 3,000 PSNI officers have been already issued with Spit and Bite Guards</w:t>
      </w:r>
      <w:r w:rsidR="00B502F1">
        <w:rPr>
          <w:rFonts w:ascii="Arial" w:hAnsi="Arial" w:cs="Arial"/>
          <w:bCs/>
          <w:color w:val="414042"/>
          <w:sz w:val="24"/>
          <w:szCs w:val="36"/>
        </w:rPr>
        <w:t>, albeit on a ‘temporary</w:t>
      </w:r>
      <w:r w:rsidR="00AB708F">
        <w:rPr>
          <w:rFonts w:ascii="Arial" w:hAnsi="Arial" w:cs="Arial"/>
          <w:bCs/>
          <w:color w:val="414042"/>
          <w:sz w:val="24"/>
          <w:szCs w:val="36"/>
        </w:rPr>
        <w:t>’</w:t>
      </w:r>
      <w:r w:rsidR="00B502F1">
        <w:rPr>
          <w:rFonts w:ascii="Arial" w:hAnsi="Arial" w:cs="Arial"/>
          <w:bCs/>
          <w:color w:val="414042"/>
          <w:sz w:val="24"/>
          <w:szCs w:val="36"/>
        </w:rPr>
        <w:t xml:space="preserve"> </w:t>
      </w:r>
      <w:r w:rsidR="00AB708F">
        <w:rPr>
          <w:rFonts w:ascii="Arial" w:hAnsi="Arial" w:cs="Arial"/>
          <w:bCs/>
          <w:color w:val="414042"/>
          <w:sz w:val="24"/>
          <w:szCs w:val="36"/>
        </w:rPr>
        <w:t>basis.</w:t>
      </w:r>
      <w:r w:rsidRPr="002E52C9">
        <w:rPr>
          <w:rFonts w:ascii="Arial" w:hAnsi="Arial" w:cs="Arial"/>
          <w:bCs/>
          <w:color w:val="414042"/>
          <w:sz w:val="24"/>
          <w:szCs w:val="36"/>
        </w:rPr>
        <w:t xml:space="preserve"> In 2008, the Commissioner stated</w:t>
      </w:r>
      <w:r w:rsidR="00AB708F">
        <w:rPr>
          <w:rFonts w:ascii="Arial" w:hAnsi="Arial" w:cs="Arial"/>
          <w:bCs/>
          <w:color w:val="414042"/>
          <w:sz w:val="24"/>
          <w:szCs w:val="36"/>
        </w:rPr>
        <w:t xml:space="preserve">: </w:t>
      </w:r>
      <w:r w:rsidRPr="002E52C9">
        <w:rPr>
          <w:rFonts w:ascii="Arial" w:hAnsi="Arial" w:cs="Arial"/>
          <w:bCs/>
          <w:color w:val="414042"/>
          <w:sz w:val="24"/>
          <w:szCs w:val="36"/>
        </w:rPr>
        <w:t>"I have as yet not seen the safeguards by way of operational guidelines that will make sure children and young people will be protected from having Tasers used against them."</w:t>
      </w:r>
      <w:r w:rsidRPr="002E52C9">
        <w:rPr>
          <w:rFonts w:ascii="Arial" w:hAnsi="Arial" w:cs="Arial"/>
          <w:bCs/>
          <w:color w:val="414042"/>
          <w:sz w:val="24"/>
          <w:szCs w:val="36"/>
          <w:vertAlign w:val="superscript"/>
        </w:rPr>
        <w:t xml:space="preserve"> </w:t>
      </w:r>
      <w:r w:rsidRPr="002E52C9">
        <w:rPr>
          <w:rFonts w:ascii="Arial" w:hAnsi="Arial" w:cs="Arial"/>
          <w:bCs/>
          <w:color w:val="414042"/>
          <w:sz w:val="24"/>
          <w:szCs w:val="36"/>
          <w:vertAlign w:val="superscript"/>
        </w:rPr>
        <w:footnoteReference w:id="3"/>
      </w:r>
      <w:r w:rsidRPr="002E52C9">
        <w:rPr>
          <w:rFonts w:ascii="Arial" w:hAnsi="Arial" w:cs="Arial"/>
          <w:bCs/>
          <w:color w:val="414042"/>
          <w:sz w:val="24"/>
          <w:szCs w:val="36"/>
        </w:rPr>
        <w:t xml:space="preserve">  </w:t>
      </w:r>
      <w:r w:rsidR="00D07D36" w:rsidRPr="00940F1F">
        <w:rPr>
          <w:rFonts w:ascii="Arial" w:hAnsi="Arial" w:cs="Arial"/>
          <w:bCs/>
          <w:color w:val="414042"/>
          <w:sz w:val="24"/>
          <w:szCs w:val="36"/>
        </w:rPr>
        <w:t>Similarly, the PSNI</w:t>
      </w:r>
      <w:r w:rsidRPr="00940F1F">
        <w:rPr>
          <w:rFonts w:ascii="Arial" w:hAnsi="Arial" w:cs="Arial"/>
          <w:bCs/>
          <w:color w:val="414042"/>
          <w:sz w:val="24"/>
          <w:szCs w:val="36"/>
        </w:rPr>
        <w:t xml:space="preserve"> EQIA</w:t>
      </w:r>
      <w:r w:rsidR="0024066D" w:rsidRPr="00940F1F">
        <w:rPr>
          <w:rFonts w:ascii="Arial" w:hAnsi="Arial" w:cs="Arial"/>
          <w:bCs/>
          <w:color w:val="414042"/>
          <w:sz w:val="24"/>
          <w:szCs w:val="36"/>
        </w:rPr>
        <w:t xml:space="preserve"> in question has</w:t>
      </w:r>
      <w:r w:rsidRPr="00940F1F">
        <w:rPr>
          <w:rFonts w:ascii="Arial" w:hAnsi="Arial" w:cs="Arial"/>
          <w:bCs/>
          <w:color w:val="414042"/>
          <w:sz w:val="24"/>
          <w:szCs w:val="36"/>
        </w:rPr>
        <w:t xml:space="preserve"> </w:t>
      </w:r>
      <w:r w:rsidR="00BF037D" w:rsidRPr="00940F1F">
        <w:rPr>
          <w:rFonts w:ascii="Arial" w:hAnsi="Arial" w:cs="Arial"/>
          <w:bCs/>
          <w:color w:val="414042"/>
          <w:sz w:val="24"/>
          <w:szCs w:val="36"/>
        </w:rPr>
        <w:t xml:space="preserve">a </w:t>
      </w:r>
      <w:r w:rsidRPr="00940F1F">
        <w:rPr>
          <w:rFonts w:ascii="Arial" w:hAnsi="Arial" w:cs="Arial"/>
          <w:bCs/>
          <w:color w:val="414042"/>
          <w:sz w:val="24"/>
          <w:szCs w:val="36"/>
        </w:rPr>
        <w:t xml:space="preserve">section regarding training and after care, </w:t>
      </w:r>
      <w:r w:rsidR="00940F1F" w:rsidRPr="00940F1F">
        <w:rPr>
          <w:rFonts w:ascii="Arial" w:hAnsi="Arial" w:cs="Arial"/>
          <w:bCs/>
          <w:color w:val="414042"/>
          <w:sz w:val="24"/>
          <w:szCs w:val="36"/>
        </w:rPr>
        <w:t xml:space="preserve">however </w:t>
      </w:r>
      <w:r w:rsidRPr="00940F1F">
        <w:rPr>
          <w:rFonts w:ascii="Arial" w:hAnsi="Arial" w:cs="Arial"/>
          <w:bCs/>
          <w:color w:val="414042"/>
          <w:sz w:val="24"/>
          <w:szCs w:val="36"/>
        </w:rPr>
        <w:t>it cannot evidence the effectiveness in safeguarding children and young people who been subjected to the use of spit and bite guards, particularly around the lasting effects of the trauma they would experience.</w:t>
      </w:r>
      <w:r w:rsidR="00940F1F">
        <w:rPr>
          <w:rFonts w:ascii="Arial" w:hAnsi="Arial" w:cs="Arial"/>
          <w:bCs/>
          <w:color w:val="414042"/>
          <w:sz w:val="24"/>
          <w:szCs w:val="36"/>
        </w:rPr>
        <w:t xml:space="preserve"> </w:t>
      </w:r>
    </w:p>
    <w:p w14:paraId="3C25F79C" w14:textId="77777777" w:rsidR="002E52C9" w:rsidRPr="002E52C9" w:rsidRDefault="002E52C9" w:rsidP="002E52C9">
      <w:pPr>
        <w:spacing w:line="276" w:lineRule="auto"/>
        <w:ind w:right="-433"/>
        <w:rPr>
          <w:rFonts w:ascii="Arial" w:hAnsi="Arial" w:cs="Arial"/>
          <w:bCs/>
          <w:color w:val="414042"/>
          <w:sz w:val="24"/>
          <w:szCs w:val="36"/>
        </w:rPr>
      </w:pPr>
    </w:p>
    <w:p w14:paraId="1798E9E6" w14:textId="1F9E6899" w:rsidR="002E52C9" w:rsidRPr="002E52C9" w:rsidRDefault="002E52C9" w:rsidP="002E52C9">
      <w:pPr>
        <w:spacing w:line="276" w:lineRule="auto"/>
        <w:ind w:right="-433"/>
        <w:rPr>
          <w:rFonts w:ascii="Arial" w:hAnsi="Arial" w:cs="Arial"/>
          <w:bCs/>
          <w:color w:val="414042"/>
          <w:sz w:val="24"/>
          <w:szCs w:val="36"/>
        </w:rPr>
      </w:pPr>
      <w:r w:rsidRPr="002E52C9">
        <w:rPr>
          <w:rFonts w:ascii="Arial" w:hAnsi="Arial" w:cs="Arial"/>
          <w:color w:val="414042"/>
          <w:sz w:val="24"/>
          <w:szCs w:val="24"/>
        </w:rPr>
        <w:t xml:space="preserve">In November 2020, the Commissioner published the second ‘Statement of Children’s Rights in Northern Ireland. </w:t>
      </w:r>
      <w:r w:rsidR="00126730">
        <w:rPr>
          <w:rFonts w:ascii="Arial" w:hAnsi="Arial" w:cs="Arial"/>
          <w:color w:val="414042"/>
          <w:sz w:val="24"/>
          <w:szCs w:val="24"/>
        </w:rPr>
        <w:t>The report highlighted how y</w:t>
      </w:r>
      <w:r w:rsidRPr="002E52C9">
        <w:rPr>
          <w:rFonts w:ascii="Arial" w:hAnsi="Arial" w:cs="Arial"/>
          <w:color w:val="414042"/>
          <w:sz w:val="24"/>
          <w:szCs w:val="24"/>
        </w:rPr>
        <w:t xml:space="preserve">oung people continue to believe that they are discriminated against when they are stopped and searched or questioned and are treated with </w:t>
      </w:r>
      <w:r w:rsidR="00B30438" w:rsidRPr="002E52C9">
        <w:rPr>
          <w:rFonts w:ascii="Arial" w:hAnsi="Arial" w:cs="Arial"/>
          <w:color w:val="414042"/>
          <w:sz w:val="24"/>
          <w:szCs w:val="24"/>
        </w:rPr>
        <w:t>disrespect,</w:t>
      </w:r>
      <w:r w:rsidRPr="002E52C9">
        <w:rPr>
          <w:rFonts w:ascii="Arial" w:hAnsi="Arial" w:cs="Arial"/>
          <w:color w:val="414042"/>
          <w:sz w:val="24"/>
          <w:szCs w:val="24"/>
        </w:rPr>
        <w:t xml:space="preserve"> </w:t>
      </w:r>
      <w:r w:rsidR="00126730">
        <w:rPr>
          <w:rFonts w:ascii="Arial" w:hAnsi="Arial" w:cs="Arial"/>
          <w:color w:val="414042"/>
          <w:sz w:val="24"/>
          <w:szCs w:val="24"/>
        </w:rPr>
        <w:t>which</w:t>
      </w:r>
      <w:r w:rsidR="00126730" w:rsidRPr="002E52C9">
        <w:rPr>
          <w:rFonts w:ascii="Arial" w:hAnsi="Arial" w:cs="Arial"/>
          <w:color w:val="414042"/>
          <w:sz w:val="24"/>
          <w:szCs w:val="24"/>
        </w:rPr>
        <w:t xml:space="preserve"> </w:t>
      </w:r>
      <w:r w:rsidRPr="002E52C9">
        <w:rPr>
          <w:rFonts w:ascii="Arial" w:hAnsi="Arial" w:cs="Arial"/>
          <w:color w:val="414042"/>
          <w:sz w:val="24"/>
          <w:szCs w:val="24"/>
        </w:rPr>
        <w:t>may exacerbate an already tense situation. Whilst PSNI have a clear policy commitment to children’s rights, this means nothing if when they engage with young people in routine operations, it has the opposite effect. It is these experiences that shape the views of young people, and will impact on the</w:t>
      </w:r>
      <w:r w:rsidR="00126730">
        <w:rPr>
          <w:rFonts w:ascii="Arial" w:hAnsi="Arial" w:cs="Arial"/>
          <w:color w:val="414042"/>
          <w:sz w:val="24"/>
          <w:szCs w:val="24"/>
        </w:rPr>
        <w:t xml:space="preserve">ir </w:t>
      </w:r>
      <w:r w:rsidRPr="002E52C9">
        <w:rPr>
          <w:rFonts w:ascii="Arial" w:hAnsi="Arial" w:cs="Arial"/>
          <w:color w:val="414042"/>
          <w:sz w:val="24"/>
          <w:szCs w:val="24"/>
        </w:rPr>
        <w:t>confidence in the PSNI, if they are victims of crime in the future</w:t>
      </w:r>
      <w:r w:rsidR="00126730">
        <w:rPr>
          <w:rFonts w:ascii="Arial" w:hAnsi="Arial" w:cs="Arial"/>
          <w:color w:val="414042"/>
          <w:sz w:val="24"/>
          <w:szCs w:val="24"/>
        </w:rPr>
        <w:t xml:space="preserve">. </w:t>
      </w:r>
      <w:r w:rsidRPr="002E52C9">
        <w:rPr>
          <w:rFonts w:ascii="Arial" w:hAnsi="Arial" w:cs="Arial"/>
          <w:color w:val="414042"/>
          <w:sz w:val="24"/>
          <w:szCs w:val="24"/>
        </w:rPr>
        <w:t xml:space="preserve"> </w:t>
      </w:r>
      <w:r w:rsidR="00126730">
        <w:rPr>
          <w:rFonts w:ascii="Arial" w:hAnsi="Arial" w:cs="Arial"/>
          <w:color w:val="414042"/>
          <w:sz w:val="24"/>
          <w:szCs w:val="24"/>
        </w:rPr>
        <w:t>SOCRNI recognises</w:t>
      </w:r>
      <w:r w:rsidRPr="002E52C9">
        <w:rPr>
          <w:rFonts w:ascii="Arial" w:hAnsi="Arial" w:cs="Arial"/>
          <w:color w:val="414042"/>
          <w:sz w:val="24"/>
          <w:szCs w:val="24"/>
        </w:rPr>
        <w:t xml:space="preserve"> that the PSNI </w:t>
      </w:r>
      <w:r w:rsidR="00126730">
        <w:rPr>
          <w:rFonts w:ascii="Arial" w:hAnsi="Arial" w:cs="Arial"/>
          <w:color w:val="414042"/>
          <w:sz w:val="24"/>
          <w:szCs w:val="24"/>
        </w:rPr>
        <w:t>accepts</w:t>
      </w:r>
      <w:r w:rsidR="00126730" w:rsidRPr="002E52C9">
        <w:rPr>
          <w:rFonts w:ascii="Arial" w:hAnsi="Arial" w:cs="Arial"/>
          <w:color w:val="414042"/>
          <w:sz w:val="24"/>
          <w:szCs w:val="24"/>
        </w:rPr>
        <w:t xml:space="preserve"> </w:t>
      </w:r>
      <w:r w:rsidRPr="002E52C9">
        <w:rPr>
          <w:rFonts w:ascii="Arial" w:hAnsi="Arial" w:cs="Arial"/>
          <w:color w:val="414042"/>
          <w:sz w:val="24"/>
          <w:szCs w:val="24"/>
        </w:rPr>
        <w:t xml:space="preserve">its duty to </w:t>
      </w:r>
      <w:proofErr w:type="gramStart"/>
      <w:r w:rsidRPr="002E52C9">
        <w:rPr>
          <w:rFonts w:ascii="Arial" w:hAnsi="Arial" w:cs="Arial"/>
          <w:color w:val="414042"/>
          <w:sz w:val="24"/>
          <w:szCs w:val="24"/>
        </w:rPr>
        <w:t>take into account</w:t>
      </w:r>
      <w:proofErr w:type="gramEnd"/>
      <w:r w:rsidRPr="002E52C9">
        <w:rPr>
          <w:rFonts w:ascii="Arial" w:hAnsi="Arial" w:cs="Arial"/>
          <w:color w:val="414042"/>
          <w:sz w:val="24"/>
          <w:szCs w:val="24"/>
        </w:rPr>
        <w:t xml:space="preserve"> the best interests of the child</w:t>
      </w:r>
      <w:r w:rsidR="00126730">
        <w:rPr>
          <w:rFonts w:ascii="Arial" w:hAnsi="Arial" w:cs="Arial"/>
          <w:color w:val="414042"/>
          <w:sz w:val="24"/>
          <w:szCs w:val="24"/>
        </w:rPr>
        <w:t xml:space="preserve"> however </w:t>
      </w:r>
      <w:r w:rsidRPr="002E52C9">
        <w:rPr>
          <w:rFonts w:ascii="Arial" w:hAnsi="Arial" w:cs="Arial"/>
          <w:color w:val="414042"/>
          <w:sz w:val="24"/>
          <w:szCs w:val="24"/>
        </w:rPr>
        <w:t>this has not translated into implementation with no evidence that there has been sufficient regard to the vulnerability of young people</w:t>
      </w:r>
      <w:r w:rsidRPr="002E52C9">
        <w:rPr>
          <w:rFonts w:ascii="Arial" w:hAnsi="Arial" w:cs="Arial"/>
          <w:color w:val="414042"/>
          <w:sz w:val="24"/>
          <w:szCs w:val="24"/>
          <w:vertAlign w:val="superscript"/>
        </w:rPr>
        <w:footnoteReference w:id="4"/>
      </w:r>
      <w:r w:rsidRPr="002E52C9">
        <w:rPr>
          <w:rFonts w:ascii="Arial" w:hAnsi="Arial" w:cs="Arial"/>
          <w:color w:val="414042"/>
          <w:sz w:val="24"/>
          <w:szCs w:val="24"/>
        </w:rPr>
        <w:t>.</w:t>
      </w:r>
    </w:p>
    <w:p w14:paraId="6051E84E" w14:textId="77777777" w:rsidR="002E52C9" w:rsidRPr="002E52C9" w:rsidRDefault="002E52C9" w:rsidP="002E52C9">
      <w:pPr>
        <w:spacing w:line="276" w:lineRule="auto"/>
        <w:ind w:right="-433"/>
        <w:rPr>
          <w:rFonts w:ascii="Arial" w:hAnsi="Arial" w:cs="Arial"/>
          <w:bCs/>
          <w:color w:val="414042"/>
          <w:sz w:val="24"/>
          <w:szCs w:val="36"/>
        </w:rPr>
      </w:pPr>
    </w:p>
    <w:p w14:paraId="4BBCCFBB" w14:textId="7F4428A9" w:rsidR="002E52C9" w:rsidRPr="00126730" w:rsidRDefault="002E52C9" w:rsidP="002E52C9">
      <w:pPr>
        <w:spacing w:line="276" w:lineRule="auto"/>
        <w:ind w:right="-433"/>
        <w:rPr>
          <w:rFonts w:ascii="Arial" w:hAnsi="Arial" w:cs="Arial"/>
          <w:bCs/>
          <w:color w:val="00B0F0"/>
          <w:sz w:val="24"/>
          <w:szCs w:val="36"/>
        </w:rPr>
      </w:pPr>
      <w:r w:rsidRPr="00126730">
        <w:rPr>
          <w:rFonts w:ascii="Arial" w:hAnsi="Arial" w:cs="Arial"/>
          <w:b/>
          <w:color w:val="00B0F0"/>
          <w:sz w:val="24"/>
          <w:szCs w:val="36"/>
        </w:rPr>
        <w:t>Concerns on the use of Spit and Bite Guards on children under the age of 18</w:t>
      </w:r>
    </w:p>
    <w:p w14:paraId="257A0D74" w14:textId="0C47BF03" w:rsidR="002E52C9" w:rsidRPr="002E52C9" w:rsidRDefault="002E52C9" w:rsidP="002E52C9">
      <w:pPr>
        <w:spacing w:line="276" w:lineRule="auto"/>
        <w:ind w:right="-433"/>
        <w:rPr>
          <w:rFonts w:ascii="Arial" w:hAnsi="Arial" w:cs="Arial"/>
          <w:color w:val="414042"/>
          <w:sz w:val="24"/>
          <w:szCs w:val="24"/>
        </w:rPr>
      </w:pPr>
      <w:r w:rsidRPr="002E52C9">
        <w:rPr>
          <w:rFonts w:ascii="Arial" w:hAnsi="Arial" w:cs="Arial"/>
          <w:bCs/>
          <w:color w:val="414042"/>
          <w:sz w:val="24"/>
          <w:szCs w:val="36"/>
        </w:rPr>
        <w:t xml:space="preserve">Children cannot be treated the same as adults.  It is widely recognised that they must be treated differently because of their distinct vulnerabilities, evolving </w:t>
      </w:r>
      <w:proofErr w:type="gramStart"/>
      <w:r w:rsidRPr="002E52C9">
        <w:rPr>
          <w:rFonts w:ascii="Arial" w:hAnsi="Arial" w:cs="Arial"/>
          <w:bCs/>
          <w:color w:val="414042"/>
          <w:sz w:val="24"/>
          <w:szCs w:val="36"/>
        </w:rPr>
        <w:t>capacities</w:t>
      </w:r>
      <w:proofErr w:type="gramEnd"/>
      <w:r w:rsidRPr="002E52C9">
        <w:rPr>
          <w:rFonts w:ascii="Arial" w:hAnsi="Arial" w:cs="Arial"/>
          <w:bCs/>
          <w:color w:val="414042"/>
          <w:sz w:val="24"/>
          <w:szCs w:val="36"/>
        </w:rPr>
        <w:t xml:space="preserve"> and greater developmental needs.  </w:t>
      </w:r>
      <w:r w:rsidRPr="002E52C9">
        <w:rPr>
          <w:rFonts w:ascii="Arial" w:hAnsi="Arial" w:cs="Arial"/>
          <w:color w:val="414042"/>
          <w:sz w:val="24"/>
          <w:szCs w:val="24"/>
        </w:rPr>
        <w:t>Recent developments in neuroscience have also identified that the brain development and specifically the frontal lobes (the area of the brain that helps regulate decision-making and the control of impulses that underpin behaviour) are still developing into a human’s 20s. This will affect a child’s ability to cope in a stressful situation with the police. Using a spit-hood risks not only heighten</w:t>
      </w:r>
      <w:r w:rsidR="00126730">
        <w:rPr>
          <w:rFonts w:ascii="Arial" w:hAnsi="Arial" w:cs="Arial"/>
          <w:color w:val="414042"/>
          <w:sz w:val="24"/>
          <w:szCs w:val="24"/>
        </w:rPr>
        <w:t>s</w:t>
      </w:r>
      <w:r w:rsidRPr="002E52C9">
        <w:rPr>
          <w:rFonts w:ascii="Arial" w:hAnsi="Arial" w:cs="Arial"/>
          <w:color w:val="414042"/>
          <w:sz w:val="24"/>
          <w:szCs w:val="24"/>
        </w:rPr>
        <w:t xml:space="preserve"> the fight or flight </w:t>
      </w:r>
      <w:r w:rsidR="00126730">
        <w:rPr>
          <w:rFonts w:ascii="Arial" w:hAnsi="Arial" w:cs="Arial"/>
          <w:color w:val="414042"/>
          <w:sz w:val="24"/>
          <w:szCs w:val="24"/>
        </w:rPr>
        <w:t>response</w:t>
      </w:r>
      <w:r w:rsidR="00126730" w:rsidRPr="002E52C9">
        <w:rPr>
          <w:rFonts w:ascii="Arial" w:hAnsi="Arial" w:cs="Arial"/>
          <w:color w:val="414042"/>
          <w:sz w:val="24"/>
          <w:szCs w:val="24"/>
        </w:rPr>
        <w:t xml:space="preserve"> </w:t>
      </w:r>
      <w:r w:rsidRPr="002E52C9">
        <w:rPr>
          <w:rFonts w:ascii="Arial" w:hAnsi="Arial" w:cs="Arial"/>
          <w:color w:val="414042"/>
          <w:sz w:val="24"/>
          <w:szCs w:val="24"/>
        </w:rPr>
        <w:t xml:space="preserve">but </w:t>
      </w:r>
      <w:r w:rsidR="00126730">
        <w:rPr>
          <w:rFonts w:ascii="Arial" w:hAnsi="Arial" w:cs="Arial"/>
          <w:color w:val="414042"/>
          <w:sz w:val="24"/>
          <w:szCs w:val="24"/>
        </w:rPr>
        <w:t xml:space="preserve">could </w:t>
      </w:r>
      <w:r w:rsidRPr="002E52C9">
        <w:rPr>
          <w:rFonts w:ascii="Arial" w:hAnsi="Arial" w:cs="Arial"/>
          <w:color w:val="414042"/>
          <w:sz w:val="24"/>
          <w:szCs w:val="24"/>
        </w:rPr>
        <w:t xml:space="preserve">also risks subsequent psychological damage. This is compounded by the fact that children who </w:t>
      </w:r>
      <w:proofErr w:type="gramStart"/>
      <w:r w:rsidRPr="002E52C9">
        <w:rPr>
          <w:rFonts w:ascii="Arial" w:hAnsi="Arial" w:cs="Arial"/>
          <w:color w:val="414042"/>
          <w:sz w:val="24"/>
          <w:szCs w:val="24"/>
        </w:rPr>
        <w:t>come into contact with</w:t>
      </w:r>
      <w:proofErr w:type="gramEnd"/>
      <w:r w:rsidRPr="002E52C9">
        <w:rPr>
          <w:rFonts w:ascii="Arial" w:hAnsi="Arial" w:cs="Arial"/>
          <w:color w:val="414042"/>
          <w:sz w:val="24"/>
          <w:szCs w:val="24"/>
        </w:rPr>
        <w:t xml:space="preserve"> the police are some of the most vulnerable in society - many have experienced abuse or violence, are victims of criminal exploitation, and have </w:t>
      </w:r>
      <w:r w:rsidR="00126730">
        <w:rPr>
          <w:rFonts w:ascii="Arial" w:hAnsi="Arial" w:cs="Arial"/>
          <w:color w:val="414042"/>
          <w:sz w:val="24"/>
          <w:szCs w:val="24"/>
        </w:rPr>
        <w:t>s</w:t>
      </w:r>
      <w:r w:rsidRPr="002E52C9">
        <w:rPr>
          <w:rFonts w:ascii="Arial" w:hAnsi="Arial" w:cs="Arial"/>
          <w:color w:val="414042"/>
          <w:sz w:val="24"/>
          <w:szCs w:val="24"/>
        </w:rPr>
        <w:t xml:space="preserve">pecial </w:t>
      </w:r>
      <w:r w:rsidR="00126730">
        <w:rPr>
          <w:rFonts w:ascii="Arial" w:hAnsi="Arial" w:cs="Arial"/>
          <w:color w:val="414042"/>
          <w:sz w:val="24"/>
          <w:szCs w:val="24"/>
        </w:rPr>
        <w:t>e</w:t>
      </w:r>
      <w:r w:rsidRPr="002E52C9">
        <w:rPr>
          <w:rFonts w:ascii="Arial" w:hAnsi="Arial" w:cs="Arial"/>
          <w:color w:val="414042"/>
          <w:sz w:val="24"/>
          <w:szCs w:val="24"/>
        </w:rPr>
        <w:t xml:space="preserve">ducational </w:t>
      </w:r>
      <w:r w:rsidR="00126730">
        <w:rPr>
          <w:rFonts w:ascii="Arial" w:hAnsi="Arial" w:cs="Arial"/>
          <w:color w:val="414042"/>
          <w:sz w:val="24"/>
          <w:szCs w:val="24"/>
        </w:rPr>
        <w:t>n</w:t>
      </w:r>
      <w:r w:rsidRPr="002E52C9">
        <w:rPr>
          <w:rFonts w:ascii="Arial" w:hAnsi="Arial" w:cs="Arial"/>
          <w:color w:val="414042"/>
          <w:sz w:val="24"/>
          <w:szCs w:val="24"/>
        </w:rPr>
        <w:t>eeds (SEN)</w:t>
      </w:r>
      <w:r w:rsidR="00126730">
        <w:rPr>
          <w:rFonts w:ascii="Arial" w:hAnsi="Arial" w:cs="Arial"/>
          <w:color w:val="414042"/>
          <w:sz w:val="24"/>
          <w:szCs w:val="24"/>
        </w:rPr>
        <w:t>, communication needs</w:t>
      </w:r>
      <w:r w:rsidRPr="002E52C9">
        <w:rPr>
          <w:rFonts w:ascii="Arial" w:hAnsi="Arial" w:cs="Arial"/>
          <w:color w:val="414042"/>
          <w:sz w:val="24"/>
          <w:szCs w:val="24"/>
        </w:rPr>
        <w:t xml:space="preserve"> or serious mental health conditions</w:t>
      </w:r>
      <w:r w:rsidRPr="002E52C9">
        <w:rPr>
          <w:rFonts w:ascii="Arial" w:hAnsi="Arial" w:cs="Arial"/>
          <w:color w:val="414042"/>
          <w:sz w:val="24"/>
          <w:szCs w:val="24"/>
          <w:vertAlign w:val="superscript"/>
        </w:rPr>
        <w:footnoteReference w:id="5"/>
      </w:r>
    </w:p>
    <w:p w14:paraId="5662F0C8" w14:textId="77777777" w:rsidR="002E52C9" w:rsidRPr="002E52C9" w:rsidRDefault="002E52C9" w:rsidP="002E52C9">
      <w:pPr>
        <w:spacing w:line="276" w:lineRule="auto"/>
        <w:ind w:right="-433"/>
        <w:rPr>
          <w:rFonts w:ascii="Arial" w:hAnsi="Arial" w:cs="Arial"/>
          <w:color w:val="414042"/>
          <w:sz w:val="24"/>
          <w:szCs w:val="24"/>
        </w:rPr>
      </w:pPr>
    </w:p>
    <w:p w14:paraId="47420B12" w14:textId="6497D3DB" w:rsidR="002E52C9" w:rsidRDefault="007A6EC2" w:rsidP="002E52C9">
      <w:pPr>
        <w:spacing w:line="276" w:lineRule="auto"/>
        <w:ind w:right="-433"/>
        <w:rPr>
          <w:rFonts w:ascii="Arial" w:hAnsi="Arial" w:cs="Arial"/>
          <w:color w:val="414042"/>
          <w:sz w:val="24"/>
          <w:szCs w:val="24"/>
        </w:rPr>
      </w:pPr>
      <w:r>
        <w:rPr>
          <w:rFonts w:ascii="Arial" w:hAnsi="Arial" w:cs="Arial"/>
          <w:color w:val="414042"/>
          <w:sz w:val="24"/>
          <w:szCs w:val="24"/>
        </w:rPr>
        <w:t xml:space="preserve">NICCY has welcomed the </w:t>
      </w:r>
      <w:r w:rsidR="000B63DC">
        <w:rPr>
          <w:rFonts w:ascii="Arial" w:hAnsi="Arial" w:cs="Arial"/>
          <w:color w:val="414042"/>
          <w:sz w:val="24"/>
          <w:szCs w:val="24"/>
        </w:rPr>
        <w:t>PSNI’s instructions around preventing the use of spit and bite guards</w:t>
      </w:r>
      <w:r w:rsidR="00A47C5A">
        <w:rPr>
          <w:rFonts w:ascii="Arial" w:hAnsi="Arial" w:cs="Arial"/>
          <w:color w:val="414042"/>
          <w:sz w:val="24"/>
          <w:szCs w:val="24"/>
        </w:rPr>
        <w:t>,</w:t>
      </w:r>
      <w:r w:rsidR="00AB708F">
        <w:rPr>
          <w:rFonts w:ascii="Arial" w:hAnsi="Arial" w:cs="Arial"/>
          <w:color w:val="414042"/>
          <w:sz w:val="24"/>
          <w:szCs w:val="24"/>
        </w:rPr>
        <w:t xml:space="preserve"> </w:t>
      </w:r>
      <w:r w:rsidR="002E52C9" w:rsidRPr="00A47C5A">
        <w:rPr>
          <w:rFonts w:ascii="Arial" w:hAnsi="Arial" w:cs="Arial"/>
          <w:color w:val="414042"/>
          <w:sz w:val="24"/>
          <w:szCs w:val="24"/>
        </w:rPr>
        <w:t>“Where officers or staff are aware that a member of the public is under 18, the presumption will be that a Spit and Bite Guard should not be used”.</w:t>
      </w:r>
      <w:r w:rsidR="002E52C9" w:rsidRPr="00A47C5A">
        <w:rPr>
          <w:rFonts w:ascii="Arial" w:hAnsi="Arial" w:cs="Arial"/>
          <w:color w:val="414042"/>
          <w:sz w:val="24"/>
          <w:szCs w:val="24"/>
          <w:vertAlign w:val="superscript"/>
        </w:rPr>
        <w:footnoteReference w:id="6"/>
      </w:r>
      <w:r w:rsidR="00A47C5A">
        <w:rPr>
          <w:rFonts w:ascii="Arial" w:hAnsi="Arial" w:cs="Arial"/>
          <w:color w:val="414042"/>
          <w:sz w:val="24"/>
          <w:szCs w:val="24"/>
        </w:rPr>
        <w:t xml:space="preserve">  However, we understand there is still risk for PSNI Officers to </w:t>
      </w:r>
      <w:r w:rsidR="0054298A">
        <w:rPr>
          <w:rFonts w:ascii="Arial" w:hAnsi="Arial" w:cs="Arial"/>
          <w:color w:val="414042"/>
          <w:sz w:val="24"/>
          <w:szCs w:val="24"/>
        </w:rPr>
        <w:t>potentially wrongly identify a young person as over 18</w:t>
      </w:r>
      <w:r w:rsidR="00100150">
        <w:rPr>
          <w:rFonts w:ascii="Arial" w:hAnsi="Arial" w:cs="Arial"/>
          <w:color w:val="414042"/>
          <w:sz w:val="24"/>
          <w:szCs w:val="24"/>
        </w:rPr>
        <w:t>, when circumstances do not allow officers to ascertain identification and age.  Therefore</w:t>
      </w:r>
      <w:r w:rsidR="00EB3D0A">
        <w:rPr>
          <w:rFonts w:ascii="Arial" w:hAnsi="Arial" w:cs="Arial"/>
          <w:color w:val="414042"/>
          <w:sz w:val="24"/>
          <w:szCs w:val="24"/>
        </w:rPr>
        <w:t xml:space="preserve">, </w:t>
      </w:r>
      <w:r w:rsidR="00CA7A8B" w:rsidRPr="00AB708F">
        <w:rPr>
          <w:rFonts w:ascii="Arial" w:hAnsi="Arial" w:cs="Arial"/>
          <w:b/>
          <w:bCs/>
          <w:color w:val="414042"/>
          <w:sz w:val="24"/>
          <w:szCs w:val="24"/>
        </w:rPr>
        <w:t>NICCY</w:t>
      </w:r>
      <w:r w:rsidR="00EB3D0A" w:rsidRPr="00AB708F">
        <w:rPr>
          <w:rFonts w:ascii="Arial" w:hAnsi="Arial" w:cs="Arial"/>
          <w:b/>
          <w:bCs/>
          <w:color w:val="414042"/>
          <w:sz w:val="24"/>
          <w:szCs w:val="24"/>
        </w:rPr>
        <w:t xml:space="preserve"> recommend</w:t>
      </w:r>
      <w:r w:rsidR="00CA7A8B" w:rsidRPr="00AB708F">
        <w:rPr>
          <w:rFonts w:ascii="Arial" w:hAnsi="Arial" w:cs="Arial"/>
          <w:b/>
          <w:bCs/>
          <w:color w:val="414042"/>
          <w:sz w:val="24"/>
          <w:szCs w:val="24"/>
        </w:rPr>
        <w:t>s</w:t>
      </w:r>
      <w:r w:rsidR="00EB3D0A" w:rsidRPr="00AB708F">
        <w:rPr>
          <w:rFonts w:ascii="Arial" w:hAnsi="Arial" w:cs="Arial"/>
          <w:b/>
          <w:bCs/>
          <w:color w:val="414042"/>
          <w:sz w:val="24"/>
          <w:szCs w:val="24"/>
        </w:rPr>
        <w:t xml:space="preserve"> that the statement include</w:t>
      </w:r>
      <w:r w:rsidR="00BF5C3F" w:rsidRPr="00AB708F">
        <w:rPr>
          <w:rFonts w:ascii="Arial" w:hAnsi="Arial" w:cs="Arial"/>
          <w:b/>
          <w:bCs/>
          <w:color w:val="414042"/>
          <w:sz w:val="24"/>
          <w:szCs w:val="24"/>
        </w:rPr>
        <w:t>, ‘Where officers or staff are aware or believe that a member of the public, is under 18, the presumption will be that a Spit and Bite Guard should not be used</w:t>
      </w:r>
      <w:r w:rsidR="00BF5C3F" w:rsidRPr="00AB708F">
        <w:rPr>
          <w:rFonts w:ascii="Arial" w:hAnsi="Arial" w:cs="Arial"/>
          <w:b/>
          <w:bCs/>
          <w:strike/>
          <w:color w:val="414042"/>
          <w:sz w:val="24"/>
          <w:szCs w:val="24"/>
        </w:rPr>
        <w:t>.</w:t>
      </w:r>
      <w:r w:rsidR="00BF5C3F">
        <w:rPr>
          <w:rFonts w:ascii="Arial" w:hAnsi="Arial" w:cs="Arial"/>
          <w:strike/>
          <w:color w:val="414042"/>
          <w:sz w:val="24"/>
          <w:szCs w:val="24"/>
        </w:rPr>
        <w:t xml:space="preserve">  </w:t>
      </w:r>
    </w:p>
    <w:p w14:paraId="29602FF4" w14:textId="77777777" w:rsidR="002E52C9" w:rsidRPr="002E52C9" w:rsidRDefault="002E52C9" w:rsidP="002E52C9">
      <w:pPr>
        <w:spacing w:line="276" w:lineRule="auto"/>
        <w:ind w:right="-433"/>
        <w:rPr>
          <w:rFonts w:ascii="Arial" w:hAnsi="Arial" w:cs="Arial"/>
          <w:color w:val="414042"/>
          <w:sz w:val="24"/>
          <w:szCs w:val="24"/>
        </w:rPr>
      </w:pPr>
    </w:p>
    <w:p w14:paraId="6A1C729D" w14:textId="7EAB445D" w:rsidR="002E52C9" w:rsidRPr="005C7E41" w:rsidRDefault="00A1119D" w:rsidP="002E52C9">
      <w:pPr>
        <w:spacing w:line="276" w:lineRule="auto"/>
        <w:ind w:right="-433"/>
        <w:rPr>
          <w:rFonts w:ascii="Arial" w:hAnsi="Arial" w:cs="Arial"/>
          <w:color w:val="414042"/>
          <w:sz w:val="24"/>
          <w:szCs w:val="24"/>
        </w:rPr>
      </w:pPr>
      <w:r>
        <w:rPr>
          <w:rFonts w:ascii="Arial" w:hAnsi="Arial" w:cs="Arial"/>
          <w:color w:val="414042"/>
          <w:sz w:val="24"/>
          <w:szCs w:val="24"/>
        </w:rPr>
        <w:t xml:space="preserve">The </w:t>
      </w:r>
      <w:r w:rsidR="00324C2C">
        <w:rPr>
          <w:rFonts w:ascii="Arial" w:hAnsi="Arial" w:cs="Arial"/>
          <w:color w:val="414042"/>
          <w:sz w:val="24"/>
          <w:szCs w:val="24"/>
        </w:rPr>
        <w:t>EQIA referred to the</w:t>
      </w:r>
      <w:r w:rsidR="00B61E81">
        <w:rPr>
          <w:rFonts w:ascii="Arial" w:hAnsi="Arial" w:cs="Arial"/>
          <w:color w:val="414042"/>
          <w:sz w:val="24"/>
          <w:szCs w:val="24"/>
        </w:rPr>
        <w:t xml:space="preserve"> </w:t>
      </w:r>
      <w:r w:rsidR="00AB708F">
        <w:rPr>
          <w:rFonts w:ascii="Arial" w:hAnsi="Arial" w:cs="Arial"/>
          <w:color w:val="414042"/>
          <w:sz w:val="24"/>
          <w:szCs w:val="24"/>
        </w:rPr>
        <w:t>training</w:t>
      </w:r>
      <w:r w:rsidR="00B61E81">
        <w:rPr>
          <w:rFonts w:ascii="Arial" w:hAnsi="Arial" w:cs="Arial"/>
          <w:color w:val="414042"/>
          <w:sz w:val="24"/>
          <w:szCs w:val="24"/>
        </w:rPr>
        <w:t xml:space="preserve"> Student Officers, Local Neighbourhood Policing teams as well as Public Protection Unites received on </w:t>
      </w:r>
      <w:r w:rsidR="00324C2C">
        <w:rPr>
          <w:rFonts w:ascii="Arial" w:hAnsi="Arial" w:cs="Arial"/>
          <w:color w:val="414042"/>
          <w:sz w:val="24"/>
          <w:szCs w:val="24"/>
        </w:rPr>
        <w:t>Trauma-Informed Practice incorporating Adverse Child</w:t>
      </w:r>
      <w:r w:rsidR="00B61E81">
        <w:rPr>
          <w:rFonts w:ascii="Arial" w:hAnsi="Arial" w:cs="Arial"/>
          <w:color w:val="414042"/>
          <w:sz w:val="24"/>
          <w:szCs w:val="24"/>
        </w:rPr>
        <w:t>hood Experiences (ACES).</w:t>
      </w:r>
      <w:r w:rsidR="00B61E81">
        <w:rPr>
          <w:rStyle w:val="FootnoteReference"/>
          <w:rFonts w:ascii="Arial" w:hAnsi="Arial" w:cs="Arial"/>
          <w:color w:val="414042"/>
          <w:sz w:val="24"/>
          <w:szCs w:val="24"/>
        </w:rPr>
        <w:footnoteReference w:id="7"/>
      </w:r>
      <w:r w:rsidR="000E2CA7">
        <w:rPr>
          <w:rFonts w:ascii="Arial" w:hAnsi="Arial" w:cs="Arial"/>
          <w:color w:val="414042"/>
          <w:sz w:val="24"/>
          <w:szCs w:val="24"/>
        </w:rPr>
        <w:t xml:space="preserve">  Furthermore, </w:t>
      </w:r>
      <w:r w:rsidR="002E52C9" w:rsidRPr="002E52C9">
        <w:rPr>
          <w:rFonts w:ascii="Arial" w:hAnsi="Arial" w:cs="Arial"/>
          <w:color w:val="414042"/>
          <w:sz w:val="24"/>
          <w:szCs w:val="24"/>
        </w:rPr>
        <w:t>The PSNI confirmed, if a Spit and Bite Guard was placed over a child’s head and this causes a flashback to a traumatic event, a referral can be made to an organisation such as Start 360 who specialise in helping young people between the ages of 11 and 24.</w:t>
      </w:r>
      <w:r w:rsidR="005C7E41">
        <w:rPr>
          <w:rFonts w:ascii="Arial" w:hAnsi="Arial" w:cs="Arial"/>
          <w:color w:val="414042"/>
          <w:sz w:val="24"/>
          <w:szCs w:val="24"/>
        </w:rPr>
        <w:t xml:space="preserve"> </w:t>
      </w:r>
      <w:r w:rsidR="00240BF7">
        <w:rPr>
          <w:rFonts w:ascii="Arial" w:hAnsi="Arial" w:cs="Arial"/>
          <w:color w:val="414042"/>
          <w:sz w:val="24"/>
          <w:szCs w:val="24"/>
        </w:rPr>
        <w:t xml:space="preserve"> </w:t>
      </w:r>
      <w:r w:rsidR="00FB4E0E">
        <w:rPr>
          <w:rFonts w:ascii="Arial" w:hAnsi="Arial" w:cs="Arial"/>
          <w:color w:val="414042"/>
          <w:sz w:val="24"/>
          <w:szCs w:val="24"/>
        </w:rPr>
        <w:t>Given the few incidents that involve children and young people under the age of 18, i</w:t>
      </w:r>
      <w:r w:rsidR="00240BF7">
        <w:rPr>
          <w:rFonts w:ascii="Arial" w:hAnsi="Arial" w:cs="Arial"/>
          <w:color w:val="414042"/>
          <w:sz w:val="24"/>
          <w:szCs w:val="24"/>
        </w:rPr>
        <w:t xml:space="preserve">t is crucial that </w:t>
      </w:r>
      <w:r w:rsidR="004841A9">
        <w:rPr>
          <w:rFonts w:ascii="Arial" w:hAnsi="Arial" w:cs="Arial"/>
          <w:color w:val="414042"/>
          <w:sz w:val="24"/>
          <w:szCs w:val="24"/>
        </w:rPr>
        <w:t xml:space="preserve">any </w:t>
      </w:r>
      <w:r w:rsidR="003470CD">
        <w:rPr>
          <w:rFonts w:ascii="Arial" w:hAnsi="Arial" w:cs="Arial"/>
          <w:color w:val="414042"/>
          <w:sz w:val="24"/>
          <w:szCs w:val="24"/>
        </w:rPr>
        <w:t>child or young person who ha</w:t>
      </w:r>
      <w:r w:rsidR="006D5101">
        <w:rPr>
          <w:rFonts w:ascii="Arial" w:hAnsi="Arial" w:cs="Arial"/>
          <w:color w:val="414042"/>
          <w:sz w:val="24"/>
          <w:szCs w:val="24"/>
        </w:rPr>
        <w:t xml:space="preserve">ve had a spit and bite guards used on them is automatically refereed to a professional for assessment, such as the Duty Social Worker.  It should be </w:t>
      </w:r>
      <w:r w:rsidR="00FB4E0E">
        <w:rPr>
          <w:rFonts w:ascii="Arial" w:hAnsi="Arial" w:cs="Arial"/>
          <w:color w:val="414042"/>
          <w:sz w:val="24"/>
          <w:szCs w:val="24"/>
        </w:rPr>
        <w:t>Duty Social Worker who</w:t>
      </w:r>
      <w:r w:rsidR="006D5101">
        <w:rPr>
          <w:rFonts w:ascii="Arial" w:hAnsi="Arial" w:cs="Arial"/>
          <w:color w:val="414042"/>
          <w:sz w:val="24"/>
          <w:szCs w:val="24"/>
        </w:rPr>
        <w:t xml:space="preserve"> recommend</w:t>
      </w:r>
      <w:r w:rsidR="00FB4E0E">
        <w:rPr>
          <w:rFonts w:ascii="Arial" w:hAnsi="Arial" w:cs="Arial"/>
          <w:color w:val="414042"/>
          <w:sz w:val="24"/>
          <w:szCs w:val="24"/>
        </w:rPr>
        <w:t>s</w:t>
      </w:r>
      <w:r w:rsidR="006D5101">
        <w:rPr>
          <w:rFonts w:ascii="Arial" w:hAnsi="Arial" w:cs="Arial"/>
          <w:color w:val="414042"/>
          <w:sz w:val="24"/>
          <w:szCs w:val="24"/>
        </w:rPr>
        <w:t xml:space="preserve"> referrals</w:t>
      </w:r>
      <w:r w:rsidR="00FB4E0E">
        <w:rPr>
          <w:rFonts w:ascii="Arial" w:hAnsi="Arial" w:cs="Arial"/>
          <w:color w:val="414042"/>
          <w:sz w:val="24"/>
          <w:szCs w:val="24"/>
        </w:rPr>
        <w:t>, and</w:t>
      </w:r>
      <w:r w:rsidR="006D5101">
        <w:rPr>
          <w:rFonts w:ascii="Arial" w:hAnsi="Arial" w:cs="Arial"/>
          <w:color w:val="414042"/>
          <w:sz w:val="24"/>
          <w:szCs w:val="24"/>
        </w:rPr>
        <w:t xml:space="preserve"> </w:t>
      </w:r>
      <w:r w:rsidR="003A756B">
        <w:rPr>
          <w:rFonts w:ascii="Arial" w:hAnsi="Arial" w:cs="Arial"/>
          <w:color w:val="414042"/>
          <w:sz w:val="24"/>
          <w:szCs w:val="24"/>
        </w:rPr>
        <w:t>mandatory follow up</w:t>
      </w:r>
      <w:r w:rsidR="00FB4E0E">
        <w:rPr>
          <w:rFonts w:ascii="Arial" w:hAnsi="Arial" w:cs="Arial"/>
          <w:color w:val="414042"/>
          <w:sz w:val="24"/>
          <w:szCs w:val="24"/>
        </w:rPr>
        <w:t>s</w:t>
      </w:r>
      <w:r w:rsidR="003A756B">
        <w:rPr>
          <w:rFonts w:ascii="Arial" w:hAnsi="Arial" w:cs="Arial"/>
          <w:color w:val="414042"/>
          <w:sz w:val="24"/>
          <w:szCs w:val="24"/>
        </w:rPr>
        <w:t xml:space="preserve"> should be made</w:t>
      </w:r>
      <w:r w:rsidR="002A7E5E">
        <w:rPr>
          <w:rFonts w:ascii="Arial" w:hAnsi="Arial" w:cs="Arial"/>
          <w:color w:val="414042"/>
          <w:sz w:val="24"/>
          <w:szCs w:val="24"/>
        </w:rPr>
        <w:t xml:space="preserve"> with the young person to ensure the</w:t>
      </w:r>
      <w:r w:rsidR="00990598">
        <w:rPr>
          <w:rFonts w:ascii="Arial" w:hAnsi="Arial" w:cs="Arial"/>
          <w:color w:val="414042"/>
          <w:sz w:val="24"/>
          <w:szCs w:val="24"/>
        </w:rPr>
        <w:t>ir safety and wellbeing</w:t>
      </w:r>
      <w:r w:rsidR="002A7E5E">
        <w:rPr>
          <w:rFonts w:ascii="Arial" w:hAnsi="Arial" w:cs="Arial"/>
          <w:color w:val="414042"/>
          <w:sz w:val="24"/>
          <w:szCs w:val="24"/>
        </w:rPr>
        <w:t>.</w:t>
      </w:r>
    </w:p>
    <w:p w14:paraId="7CEB5999" w14:textId="77777777" w:rsidR="002E52C9" w:rsidRPr="002E52C9" w:rsidRDefault="002E52C9" w:rsidP="002E52C9">
      <w:pPr>
        <w:spacing w:line="276" w:lineRule="auto"/>
        <w:ind w:right="-433"/>
        <w:rPr>
          <w:rFonts w:ascii="Arial" w:hAnsi="Arial" w:cs="Arial"/>
          <w:color w:val="414042"/>
          <w:sz w:val="24"/>
          <w:szCs w:val="24"/>
        </w:rPr>
      </w:pPr>
    </w:p>
    <w:p w14:paraId="6BD9409C" w14:textId="77777777" w:rsidR="002E52C9" w:rsidRPr="002E52C9" w:rsidRDefault="002E52C9" w:rsidP="002E52C9">
      <w:pPr>
        <w:spacing w:line="276" w:lineRule="auto"/>
        <w:ind w:right="-433"/>
        <w:rPr>
          <w:rFonts w:ascii="Arial" w:hAnsi="Arial" w:cs="Arial"/>
          <w:bCs/>
          <w:color w:val="414042"/>
          <w:sz w:val="24"/>
          <w:szCs w:val="36"/>
        </w:rPr>
      </w:pPr>
      <w:r w:rsidRPr="002E52C9">
        <w:rPr>
          <w:rFonts w:ascii="Arial" w:hAnsi="Arial" w:cs="Arial"/>
          <w:bCs/>
          <w:color w:val="414042"/>
          <w:sz w:val="24"/>
          <w:szCs w:val="36"/>
        </w:rPr>
        <w:t>As of May 2021, PSNI has confirmed there has been 9 instances of the use of spit and bite guards on children and young people under the age of 18.</w:t>
      </w:r>
      <w:r w:rsidRPr="002E52C9">
        <w:rPr>
          <w:rFonts w:ascii="Arial" w:hAnsi="Arial" w:cs="Arial"/>
          <w:bCs/>
          <w:color w:val="414042"/>
          <w:sz w:val="24"/>
          <w:szCs w:val="36"/>
          <w:vertAlign w:val="superscript"/>
        </w:rPr>
        <w:footnoteReference w:id="8"/>
      </w:r>
      <w:r w:rsidRPr="002E52C9">
        <w:rPr>
          <w:rFonts w:ascii="Arial" w:hAnsi="Arial" w:cs="Arial"/>
          <w:bCs/>
          <w:color w:val="414042"/>
          <w:sz w:val="24"/>
          <w:szCs w:val="36"/>
        </w:rPr>
        <w:t xml:space="preserve">  NICCY has considered the initial concerns outlined in the Human Rights Report with regards to the impact of Spit and Bite Guards on the mental health and well-being of vulnerable people.  This alongside the absence of any evidence regarding the necessity of their use and mindful of the PSNI’s statutory obligation to have the best interests of the child as a primary consideration (Justice (NI) Act, 2002) all lead to the inescapable conclusion that </w:t>
      </w:r>
      <w:r w:rsidRPr="00147433">
        <w:rPr>
          <w:rFonts w:ascii="Arial" w:hAnsi="Arial" w:cs="Arial"/>
          <w:b/>
          <w:color w:val="414042"/>
          <w:sz w:val="24"/>
          <w:szCs w:val="36"/>
        </w:rPr>
        <w:t>this equipment should never be applied to children and young people</w:t>
      </w:r>
      <w:r w:rsidRPr="002E52C9">
        <w:rPr>
          <w:rFonts w:ascii="Arial" w:hAnsi="Arial" w:cs="Arial"/>
          <w:bCs/>
          <w:color w:val="414042"/>
          <w:sz w:val="24"/>
          <w:szCs w:val="36"/>
        </w:rPr>
        <w:t xml:space="preserve">.  </w:t>
      </w:r>
    </w:p>
    <w:p w14:paraId="08908E98" w14:textId="77777777" w:rsidR="002E52C9" w:rsidRPr="00A4255B" w:rsidRDefault="002E52C9" w:rsidP="002E52C9">
      <w:pPr>
        <w:spacing w:line="276" w:lineRule="auto"/>
        <w:ind w:right="-433"/>
        <w:rPr>
          <w:rFonts w:ascii="Arial" w:hAnsi="Arial" w:cs="Arial"/>
          <w:bCs/>
          <w:color w:val="00B0F0"/>
          <w:sz w:val="24"/>
          <w:szCs w:val="36"/>
        </w:rPr>
      </w:pPr>
    </w:p>
    <w:p w14:paraId="2CBB22AE" w14:textId="77777777" w:rsidR="002E52C9" w:rsidRPr="00A4255B" w:rsidRDefault="002E52C9" w:rsidP="002E52C9">
      <w:pPr>
        <w:spacing w:line="276" w:lineRule="auto"/>
        <w:ind w:right="-433"/>
        <w:rPr>
          <w:rFonts w:ascii="Arial" w:hAnsi="Arial" w:cs="Arial"/>
          <w:b/>
          <w:color w:val="00B0F0"/>
          <w:sz w:val="24"/>
          <w:szCs w:val="36"/>
        </w:rPr>
      </w:pPr>
      <w:r w:rsidRPr="00A4255B">
        <w:rPr>
          <w:rFonts w:ascii="Arial" w:hAnsi="Arial" w:cs="Arial"/>
          <w:b/>
          <w:color w:val="00B0F0"/>
          <w:sz w:val="24"/>
          <w:szCs w:val="36"/>
        </w:rPr>
        <w:t>Conclusion</w:t>
      </w:r>
    </w:p>
    <w:p w14:paraId="222E2F4D" w14:textId="77777777" w:rsidR="002E52C9" w:rsidRPr="002E52C9" w:rsidRDefault="002E52C9" w:rsidP="002E52C9">
      <w:pPr>
        <w:spacing w:line="276" w:lineRule="auto"/>
        <w:ind w:right="-433"/>
        <w:rPr>
          <w:rFonts w:ascii="Arial" w:hAnsi="Arial" w:cs="Arial"/>
          <w:bCs/>
          <w:color w:val="414042"/>
          <w:sz w:val="24"/>
          <w:szCs w:val="36"/>
        </w:rPr>
      </w:pPr>
      <w:r w:rsidRPr="002E52C9">
        <w:rPr>
          <w:rFonts w:ascii="Arial" w:hAnsi="Arial" w:cs="Arial"/>
          <w:bCs/>
          <w:color w:val="414042"/>
          <w:sz w:val="24"/>
          <w:szCs w:val="36"/>
        </w:rPr>
        <w:t xml:space="preserve">NICCY welcomes the opportunity to provide advice on PSNI EQIA on the use of Spite and Bite Guards and urges the PSNI to consideration the recommendations made in this submission, which is provided within her statutory role under Article 7(4) of ‘The Commissioner for Children and Young People (Northern Ireland) Order’ (2003)’.  NICCY looks forward to continuing to engage in these developments to ensure effective implementation within a robust child rights framework.  </w:t>
      </w:r>
    </w:p>
    <w:p w14:paraId="60D95864" w14:textId="77777777" w:rsidR="002E52C9" w:rsidRPr="002E52C9" w:rsidRDefault="002E52C9" w:rsidP="002E52C9">
      <w:pPr>
        <w:spacing w:line="276" w:lineRule="auto"/>
        <w:ind w:right="-433"/>
        <w:rPr>
          <w:rFonts w:ascii="Arial" w:hAnsi="Arial" w:cs="Arial"/>
          <w:bCs/>
          <w:color w:val="414042"/>
          <w:sz w:val="24"/>
          <w:szCs w:val="36"/>
        </w:rPr>
      </w:pPr>
    </w:p>
    <w:p w14:paraId="481DA41F" w14:textId="357B9170" w:rsidR="00F00691" w:rsidRPr="005B388C" w:rsidRDefault="00F00691" w:rsidP="002E52C9">
      <w:pPr>
        <w:pStyle w:val="NICCYSubline"/>
        <w:spacing w:line="276" w:lineRule="auto"/>
        <w:rPr>
          <w:b w:val="0"/>
          <w:bCs/>
          <w:color w:val="auto"/>
        </w:rPr>
      </w:pPr>
    </w:p>
    <w:sectPr w:rsidR="00F00691" w:rsidRPr="005B388C" w:rsidSect="003B6D4C">
      <w:headerReference w:type="default" r:id="rId8"/>
      <w:footerReference w:type="even" r:id="rId9"/>
      <w:footerReference w:type="default" r:id="rId10"/>
      <w:pgSz w:w="11900" w:h="16840"/>
      <w:pgMar w:top="2410"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055E" w14:textId="77777777" w:rsidR="00257905" w:rsidRDefault="00257905" w:rsidP="00280C3B">
      <w:r>
        <w:separator/>
      </w:r>
    </w:p>
  </w:endnote>
  <w:endnote w:type="continuationSeparator" w:id="0">
    <w:p w14:paraId="1E027C82" w14:textId="77777777" w:rsidR="00257905" w:rsidRDefault="00257905"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4699"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37931FFF"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663C"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42399">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14FD0928" w14:textId="25023303"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147433">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0B9C3453" wp14:editId="390236EF">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2"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2F9EF" w14:textId="77777777" w:rsidR="002A5FA0" w:rsidRDefault="002A5FA0"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9BC68" w14:textId="77777777" w:rsidR="002A5FA0" w:rsidRDefault="002A5FA0"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6FDFA" w14:textId="77777777" w:rsidR="002A5FA0" w:rsidRDefault="002A5FA0"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23D9" w14:textId="77777777" w:rsidR="002A5FA0" w:rsidRDefault="002A5FA0"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B48C5" w14:textId="77777777" w:rsidR="002A5FA0" w:rsidRDefault="002A5FA0"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345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0FE2F9EF"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14:paraId="7689BC68"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14:paraId="2556FDFA"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14:paraId="22A123D9"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14:paraId="5D6B48C5"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115E" w14:textId="77777777" w:rsidR="00257905" w:rsidRDefault="00257905" w:rsidP="00280C3B">
      <w:r>
        <w:separator/>
      </w:r>
    </w:p>
  </w:footnote>
  <w:footnote w:type="continuationSeparator" w:id="0">
    <w:p w14:paraId="2CA2CED4" w14:textId="77777777" w:rsidR="00257905" w:rsidRDefault="00257905" w:rsidP="00280C3B">
      <w:r>
        <w:continuationSeparator/>
      </w:r>
    </w:p>
  </w:footnote>
  <w:footnote w:id="1">
    <w:p w14:paraId="42EC46E1" w14:textId="6926901F" w:rsidR="00C17D09" w:rsidRPr="00C17D09" w:rsidRDefault="00C17D09">
      <w:pPr>
        <w:pStyle w:val="FootnoteText"/>
        <w:rPr>
          <w:lang w:val="en-GB"/>
        </w:rPr>
      </w:pPr>
      <w:r>
        <w:rPr>
          <w:rStyle w:val="FootnoteReference"/>
        </w:rPr>
        <w:footnoteRef/>
      </w:r>
      <w:r>
        <w:t xml:space="preserve"> </w:t>
      </w:r>
      <w:hyperlink r:id="rId1" w:tooltip="Go to S. 53(3)" w:history="1">
        <w:r>
          <w:rPr>
            <w:rStyle w:val="Hyperlink"/>
            <w:rFonts w:ascii="Arial" w:hAnsi="Arial" w:cs="Arial"/>
            <w:sz w:val="17"/>
            <w:szCs w:val="17"/>
            <w:shd w:val="clear" w:color="auto" w:fill="FFFFFF"/>
          </w:rPr>
          <w:t>S. 53(3)</w:t>
        </w:r>
      </w:hyperlink>
      <w:r>
        <w:rPr>
          <w:rFonts w:ascii="Arial" w:hAnsi="Arial" w:cs="Arial"/>
          <w:color w:val="000000"/>
          <w:sz w:val="17"/>
          <w:szCs w:val="17"/>
          <w:shd w:val="clear" w:color="auto" w:fill="FFFFFF"/>
        </w:rPr>
        <w:t> substituted (25.7.2015) by </w:t>
      </w:r>
      <w:hyperlink r:id="rId2" w:tooltip="Justice Act (Northern Ireland) 2015" w:history="1">
        <w:r>
          <w:rPr>
            <w:rStyle w:val="Hyperlink"/>
            <w:rFonts w:ascii="Arial" w:hAnsi="Arial" w:cs="Arial"/>
            <w:sz w:val="17"/>
            <w:szCs w:val="17"/>
            <w:shd w:val="clear" w:color="auto" w:fill="FFFFFF"/>
          </w:rPr>
          <w:t>Justice Act (Northern Ireland) 2015 (c. 9)</w:t>
        </w:r>
      </w:hyperlink>
      <w:r>
        <w:rPr>
          <w:rFonts w:ascii="Arial" w:hAnsi="Arial" w:cs="Arial"/>
          <w:color w:val="000000"/>
          <w:sz w:val="17"/>
          <w:szCs w:val="17"/>
          <w:shd w:val="clear" w:color="auto" w:fill="FFFFFF"/>
        </w:rPr>
        <w:t>, </w:t>
      </w:r>
      <w:hyperlink r:id="rId3" w:tooltip="Go to Justice Act (Northern Ireland) 2015 ss. 98" w:history="1">
        <w:r>
          <w:rPr>
            <w:rStyle w:val="Strong"/>
            <w:rFonts w:ascii="Arial" w:hAnsi="Arial" w:cs="Arial"/>
            <w:color w:val="0000FF"/>
            <w:sz w:val="17"/>
            <w:szCs w:val="17"/>
            <w:u w:val="single"/>
            <w:shd w:val="clear" w:color="auto" w:fill="FFFFFF"/>
          </w:rPr>
          <w:t>ss. 98</w:t>
        </w:r>
      </w:hyperlink>
      <w:r>
        <w:rPr>
          <w:rFonts w:ascii="Arial" w:hAnsi="Arial" w:cs="Arial"/>
          <w:color w:val="000000"/>
          <w:sz w:val="17"/>
          <w:szCs w:val="17"/>
          <w:shd w:val="clear" w:color="auto" w:fill="FFFFFF"/>
        </w:rPr>
        <w:t>, </w:t>
      </w:r>
      <w:hyperlink r:id="rId4" w:tooltip="Go to Justice Act (Northern Ireland) 2015 106(1)(c)" w:history="1">
        <w:r>
          <w:rPr>
            <w:rStyle w:val="Hyperlink"/>
            <w:rFonts w:ascii="Arial" w:hAnsi="Arial" w:cs="Arial"/>
            <w:sz w:val="17"/>
            <w:szCs w:val="17"/>
            <w:shd w:val="clear" w:color="auto" w:fill="FFFFFF"/>
          </w:rPr>
          <w:t>106(1)(c)</w:t>
        </w:r>
      </w:hyperlink>
    </w:p>
  </w:footnote>
  <w:footnote w:id="2">
    <w:p w14:paraId="11A7DB58" w14:textId="77777777" w:rsidR="002E52C9" w:rsidRPr="00DC39C4" w:rsidRDefault="002E52C9" w:rsidP="002E52C9">
      <w:pPr>
        <w:pStyle w:val="FootnoteText"/>
        <w:rPr>
          <w:lang w:val="en-GB"/>
        </w:rPr>
      </w:pPr>
      <w:r>
        <w:rPr>
          <w:rStyle w:val="FootnoteReference"/>
        </w:rPr>
        <w:footnoteRef/>
      </w:r>
      <w:r>
        <w:t xml:space="preserve"> </w:t>
      </w:r>
      <w:r w:rsidRPr="00AA2322">
        <w:t>CRC/C/GBR/CO/5 (2016)</w:t>
      </w:r>
      <w:r>
        <w:t xml:space="preserve"> Para 39</w:t>
      </w:r>
    </w:p>
  </w:footnote>
  <w:footnote w:id="3">
    <w:p w14:paraId="6F966EB2" w14:textId="77777777" w:rsidR="002E52C9" w:rsidRPr="00397B5D" w:rsidRDefault="002E52C9" w:rsidP="002E52C9">
      <w:pPr>
        <w:pStyle w:val="FootnoteText"/>
        <w:rPr>
          <w:sz w:val="20"/>
          <w:szCs w:val="20"/>
          <w:lang w:val="en-GB"/>
        </w:rPr>
      </w:pPr>
      <w:r w:rsidRPr="00397B5D">
        <w:rPr>
          <w:rStyle w:val="FootnoteReference"/>
          <w:sz w:val="20"/>
          <w:szCs w:val="20"/>
        </w:rPr>
        <w:footnoteRef/>
      </w:r>
      <w:hyperlink r:id="rId5" w:history="1">
        <w:r w:rsidRPr="00397B5D">
          <w:rPr>
            <w:rStyle w:val="Hyperlink"/>
            <w:sz w:val="20"/>
            <w:szCs w:val="20"/>
          </w:rPr>
          <w:t>Commissioner Concerned Over Introduction of Tasers (niccy.org)</w:t>
        </w:r>
      </w:hyperlink>
      <w:r w:rsidRPr="00397B5D">
        <w:rPr>
          <w:sz w:val="20"/>
          <w:szCs w:val="20"/>
        </w:rPr>
        <w:t xml:space="preserve"> 2008</w:t>
      </w:r>
    </w:p>
  </w:footnote>
  <w:footnote w:id="4">
    <w:p w14:paraId="7921978D" w14:textId="77777777" w:rsidR="002E52C9" w:rsidRPr="00397B5D" w:rsidRDefault="002E52C9" w:rsidP="002E52C9">
      <w:pPr>
        <w:pStyle w:val="FootnoteText"/>
        <w:rPr>
          <w:sz w:val="20"/>
          <w:szCs w:val="20"/>
          <w:lang w:val="en-GB"/>
        </w:rPr>
      </w:pPr>
      <w:r w:rsidRPr="00397B5D">
        <w:rPr>
          <w:rStyle w:val="FootnoteReference"/>
          <w:sz w:val="20"/>
          <w:szCs w:val="20"/>
        </w:rPr>
        <w:footnoteRef/>
      </w:r>
      <w:r w:rsidRPr="00397B5D">
        <w:rPr>
          <w:sz w:val="20"/>
          <w:szCs w:val="20"/>
        </w:rPr>
        <w:t xml:space="preserve"> </w:t>
      </w:r>
      <w:r w:rsidRPr="00397B5D">
        <w:rPr>
          <w:sz w:val="20"/>
          <w:szCs w:val="20"/>
          <w:lang w:val="en-GB"/>
        </w:rPr>
        <w:t xml:space="preserve">NICCY (2020) </w:t>
      </w:r>
      <w:hyperlink r:id="rId6" w:history="1">
        <w:r w:rsidRPr="00397B5D">
          <w:rPr>
            <w:rStyle w:val="Hyperlink"/>
            <w:sz w:val="20"/>
            <w:szCs w:val="20"/>
          </w:rPr>
          <w:t>niccy-socrni-2-main-report-web-nov-20.pdf</w:t>
        </w:r>
      </w:hyperlink>
      <w:r w:rsidRPr="00397B5D">
        <w:rPr>
          <w:sz w:val="20"/>
          <w:szCs w:val="20"/>
        </w:rPr>
        <w:t xml:space="preserve">  Page 68</w:t>
      </w:r>
    </w:p>
  </w:footnote>
  <w:footnote w:id="5">
    <w:p w14:paraId="18BFE3DA" w14:textId="77777777" w:rsidR="002E52C9" w:rsidRPr="00397B5D" w:rsidRDefault="002E52C9" w:rsidP="002E52C9">
      <w:pPr>
        <w:pStyle w:val="FootnoteText"/>
        <w:rPr>
          <w:sz w:val="20"/>
          <w:szCs w:val="20"/>
          <w:lang w:val="en-GB"/>
        </w:rPr>
      </w:pPr>
      <w:r w:rsidRPr="00397B5D">
        <w:rPr>
          <w:rStyle w:val="FootnoteReference"/>
          <w:sz w:val="20"/>
          <w:szCs w:val="20"/>
        </w:rPr>
        <w:footnoteRef/>
      </w:r>
      <w:r w:rsidRPr="00397B5D">
        <w:rPr>
          <w:sz w:val="20"/>
          <w:szCs w:val="20"/>
        </w:rPr>
        <w:t xml:space="preserve"> </w:t>
      </w:r>
      <w:r w:rsidRPr="00397B5D">
        <w:rPr>
          <w:sz w:val="20"/>
          <w:szCs w:val="20"/>
          <w:lang w:val="en-GB"/>
        </w:rPr>
        <w:t xml:space="preserve">CRAE (2019) </w:t>
      </w:r>
      <w:hyperlink r:id="rId7" w:history="1">
        <w:r w:rsidRPr="00397B5D">
          <w:rPr>
            <w:rStyle w:val="Hyperlink"/>
            <w:sz w:val="20"/>
            <w:szCs w:val="20"/>
          </w:rPr>
          <w:t>Children’s rights and policing: Spit-hoods and children’s rights</w:t>
        </w:r>
      </w:hyperlink>
    </w:p>
  </w:footnote>
  <w:footnote w:id="6">
    <w:p w14:paraId="1494DDC4" w14:textId="77777777" w:rsidR="002E52C9" w:rsidRPr="00710A2D" w:rsidRDefault="002E52C9" w:rsidP="002E52C9">
      <w:pPr>
        <w:pStyle w:val="FootnoteText"/>
        <w:rPr>
          <w:lang w:val="en-GB"/>
        </w:rPr>
      </w:pPr>
      <w:r>
        <w:rPr>
          <w:rStyle w:val="FootnoteReference"/>
        </w:rPr>
        <w:footnoteRef/>
      </w:r>
      <w:r>
        <w:t xml:space="preserve"> </w:t>
      </w:r>
      <w:r>
        <w:rPr>
          <w:lang w:val="en-GB"/>
        </w:rPr>
        <w:t>PSNI EQIA (2021) Spite and Bite Guards</w:t>
      </w:r>
    </w:p>
  </w:footnote>
  <w:footnote w:id="7">
    <w:p w14:paraId="0676E129" w14:textId="7D45F4AC" w:rsidR="00B61E81" w:rsidRPr="00B61E81" w:rsidRDefault="00B61E81">
      <w:pPr>
        <w:pStyle w:val="FootnoteText"/>
        <w:rPr>
          <w:lang w:val="en-GB"/>
        </w:rPr>
      </w:pPr>
      <w:r>
        <w:rPr>
          <w:rStyle w:val="FootnoteReference"/>
        </w:rPr>
        <w:footnoteRef/>
      </w:r>
      <w:r>
        <w:t xml:space="preserve"> </w:t>
      </w:r>
      <w:r w:rsidRPr="00F80EBF">
        <w:rPr>
          <w:sz w:val="20"/>
          <w:szCs w:val="20"/>
          <w:lang w:val="en-GB"/>
        </w:rPr>
        <w:t xml:space="preserve">PSNI EQIA (2021) </w:t>
      </w:r>
      <w:r w:rsidR="000E2CA7" w:rsidRPr="00F80EBF">
        <w:rPr>
          <w:sz w:val="20"/>
          <w:szCs w:val="20"/>
          <w:lang w:val="en-GB"/>
        </w:rPr>
        <w:t>Use of Spit and Bite Guards Pg. 33</w:t>
      </w:r>
    </w:p>
  </w:footnote>
  <w:footnote w:id="8">
    <w:p w14:paraId="2E0C6B31" w14:textId="377783B9" w:rsidR="002E52C9" w:rsidRPr="00397B5D" w:rsidRDefault="002E52C9" w:rsidP="002E52C9">
      <w:pPr>
        <w:pStyle w:val="FootnoteText"/>
        <w:rPr>
          <w:lang w:val="en-GB"/>
        </w:rPr>
      </w:pPr>
      <w:r w:rsidRPr="00397B5D">
        <w:rPr>
          <w:rStyle w:val="FootnoteReference"/>
          <w:sz w:val="20"/>
          <w:szCs w:val="20"/>
        </w:rPr>
        <w:footnoteRef/>
      </w:r>
      <w:r w:rsidRPr="00397B5D">
        <w:rPr>
          <w:sz w:val="20"/>
          <w:szCs w:val="20"/>
        </w:rPr>
        <w:t xml:space="preserve"> </w:t>
      </w:r>
      <w:r w:rsidRPr="00397B5D">
        <w:rPr>
          <w:sz w:val="20"/>
          <w:szCs w:val="20"/>
          <w:lang w:val="en-GB"/>
        </w:rPr>
        <w:t>NICCY /PSNI Corr Apr/May202</w:t>
      </w:r>
      <w:r w:rsidR="00F029C2">
        <w:rPr>
          <w:sz w:val="20"/>
          <w:szCs w:val="20"/>
          <w:lang w:val="en-GB"/>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4D537387" w14:textId="77777777" w:rsidTr="000D52AB">
      <w:tc>
        <w:tcPr>
          <w:tcW w:w="5027" w:type="dxa"/>
          <w:shd w:val="clear" w:color="auto" w:fill="auto"/>
        </w:tcPr>
        <w:p w14:paraId="3F1FE64E" w14:textId="77777777" w:rsidR="002A5FA0" w:rsidRDefault="002A5FA0" w:rsidP="000D52AB">
          <w:pPr>
            <w:pStyle w:val="CompanyName"/>
            <w:rPr>
              <w:rFonts w:ascii="Futura Book" w:hAnsi="Futura Book" w:cs="Arial"/>
              <w:lang w:val="en-GB"/>
            </w:rPr>
          </w:pPr>
        </w:p>
      </w:tc>
      <w:tc>
        <w:tcPr>
          <w:tcW w:w="4855" w:type="dxa"/>
          <w:shd w:val="clear" w:color="auto" w:fill="auto"/>
        </w:tcPr>
        <w:p w14:paraId="45D31182" w14:textId="77777777" w:rsidR="002A5FA0" w:rsidRDefault="002A5FA0" w:rsidP="000D52AB">
          <w:pPr>
            <w:pStyle w:val="CompanyName"/>
            <w:rPr>
              <w:rFonts w:ascii="Futura Book" w:hAnsi="Futura Book" w:cs="Arial"/>
              <w:lang w:val="en-GB"/>
            </w:rPr>
          </w:pPr>
        </w:p>
      </w:tc>
    </w:tr>
  </w:tbl>
  <w:p w14:paraId="1583F0F1"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BED49D3" wp14:editId="7935E06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6A"/>
    <w:multiLevelType w:val="hybridMultilevel"/>
    <w:tmpl w:val="3C2AA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C2778AB"/>
    <w:multiLevelType w:val="hybridMultilevel"/>
    <w:tmpl w:val="0108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41129"/>
    <w:multiLevelType w:val="hybridMultilevel"/>
    <w:tmpl w:val="E92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D5FE5"/>
    <w:multiLevelType w:val="hybridMultilevel"/>
    <w:tmpl w:val="A87E6E18"/>
    <w:lvl w:ilvl="0" w:tplc="264A357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2"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7"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6E2BE5"/>
    <w:multiLevelType w:val="hybridMultilevel"/>
    <w:tmpl w:val="F2E247C8"/>
    <w:lvl w:ilvl="0" w:tplc="85604F42">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7"/>
  </w:num>
  <w:num w:numId="4">
    <w:abstractNumId w:val="18"/>
  </w:num>
  <w:num w:numId="5">
    <w:abstractNumId w:val="1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5"/>
  </w:num>
  <w:num w:numId="18">
    <w:abstractNumId w:val="0"/>
  </w:num>
  <w:num w:numId="19">
    <w:abstractNumId w:val="2"/>
  </w:num>
  <w:num w:numId="20">
    <w:abstractNumId w:val="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151DC"/>
    <w:rsid w:val="00027392"/>
    <w:rsid w:val="0003468A"/>
    <w:rsid w:val="00053542"/>
    <w:rsid w:val="00094639"/>
    <w:rsid w:val="000B63DC"/>
    <w:rsid w:val="000C3AD9"/>
    <w:rsid w:val="000D52AB"/>
    <w:rsid w:val="000E2CA7"/>
    <w:rsid w:val="000F1AC0"/>
    <w:rsid w:val="000F3047"/>
    <w:rsid w:val="00100150"/>
    <w:rsid w:val="00100245"/>
    <w:rsid w:val="0011219F"/>
    <w:rsid w:val="00112E0F"/>
    <w:rsid w:val="00126730"/>
    <w:rsid w:val="00134FAE"/>
    <w:rsid w:val="00140C38"/>
    <w:rsid w:val="00147433"/>
    <w:rsid w:val="00156125"/>
    <w:rsid w:val="00162EFE"/>
    <w:rsid w:val="00164E04"/>
    <w:rsid w:val="0016572F"/>
    <w:rsid w:val="00181208"/>
    <w:rsid w:val="0018273D"/>
    <w:rsid w:val="0018447B"/>
    <w:rsid w:val="00192A89"/>
    <w:rsid w:val="001936E2"/>
    <w:rsid w:val="00194555"/>
    <w:rsid w:val="001A72C4"/>
    <w:rsid w:val="001B36BB"/>
    <w:rsid w:val="001B685B"/>
    <w:rsid w:val="001D2AA2"/>
    <w:rsid w:val="001D2C89"/>
    <w:rsid w:val="001F4246"/>
    <w:rsid w:val="00224DD1"/>
    <w:rsid w:val="0024066D"/>
    <w:rsid w:val="002409D8"/>
    <w:rsid w:val="00240BF7"/>
    <w:rsid w:val="00241A07"/>
    <w:rsid w:val="00254736"/>
    <w:rsid w:val="00257905"/>
    <w:rsid w:val="002756EE"/>
    <w:rsid w:val="00280C3B"/>
    <w:rsid w:val="00284D0A"/>
    <w:rsid w:val="0029120F"/>
    <w:rsid w:val="002A1F64"/>
    <w:rsid w:val="002A5FA0"/>
    <w:rsid w:val="002A7E5E"/>
    <w:rsid w:val="002E0BA6"/>
    <w:rsid w:val="002E1271"/>
    <w:rsid w:val="002E52C9"/>
    <w:rsid w:val="002E64A8"/>
    <w:rsid w:val="002F025E"/>
    <w:rsid w:val="00316CF3"/>
    <w:rsid w:val="00324C2C"/>
    <w:rsid w:val="003470CD"/>
    <w:rsid w:val="00367394"/>
    <w:rsid w:val="0038080D"/>
    <w:rsid w:val="00385663"/>
    <w:rsid w:val="00392B76"/>
    <w:rsid w:val="003A1FA2"/>
    <w:rsid w:val="003A756B"/>
    <w:rsid w:val="003B6D4C"/>
    <w:rsid w:val="003C64BB"/>
    <w:rsid w:val="003E6B1A"/>
    <w:rsid w:val="003F064A"/>
    <w:rsid w:val="003F3682"/>
    <w:rsid w:val="003F5501"/>
    <w:rsid w:val="00432B30"/>
    <w:rsid w:val="00443A38"/>
    <w:rsid w:val="00451456"/>
    <w:rsid w:val="00452478"/>
    <w:rsid w:val="00455424"/>
    <w:rsid w:val="00460794"/>
    <w:rsid w:val="0046309F"/>
    <w:rsid w:val="004841A9"/>
    <w:rsid w:val="0048475E"/>
    <w:rsid w:val="00497803"/>
    <w:rsid w:val="004A6CF6"/>
    <w:rsid w:val="004B3DB0"/>
    <w:rsid w:val="004C026E"/>
    <w:rsid w:val="004D00F1"/>
    <w:rsid w:val="004F5F7C"/>
    <w:rsid w:val="0050043B"/>
    <w:rsid w:val="00501513"/>
    <w:rsid w:val="00524FB5"/>
    <w:rsid w:val="0052507D"/>
    <w:rsid w:val="0053256D"/>
    <w:rsid w:val="0054076E"/>
    <w:rsid w:val="0054298A"/>
    <w:rsid w:val="005461DC"/>
    <w:rsid w:val="00564A69"/>
    <w:rsid w:val="00580813"/>
    <w:rsid w:val="005809C6"/>
    <w:rsid w:val="00584D46"/>
    <w:rsid w:val="00584EAE"/>
    <w:rsid w:val="00584F67"/>
    <w:rsid w:val="00585F1D"/>
    <w:rsid w:val="00597B67"/>
    <w:rsid w:val="005A1207"/>
    <w:rsid w:val="005A7807"/>
    <w:rsid w:val="005B388C"/>
    <w:rsid w:val="005B626C"/>
    <w:rsid w:val="005B742A"/>
    <w:rsid w:val="005C1F2C"/>
    <w:rsid w:val="005C425F"/>
    <w:rsid w:val="005C7E41"/>
    <w:rsid w:val="005D47C7"/>
    <w:rsid w:val="005E1541"/>
    <w:rsid w:val="006013F5"/>
    <w:rsid w:val="00625972"/>
    <w:rsid w:val="00640853"/>
    <w:rsid w:val="00641FE0"/>
    <w:rsid w:val="006457E0"/>
    <w:rsid w:val="00645C65"/>
    <w:rsid w:val="00656BAA"/>
    <w:rsid w:val="0067036F"/>
    <w:rsid w:val="00674AAD"/>
    <w:rsid w:val="006B6E33"/>
    <w:rsid w:val="006C2566"/>
    <w:rsid w:val="006D5101"/>
    <w:rsid w:val="006E5BA5"/>
    <w:rsid w:val="006E690F"/>
    <w:rsid w:val="007215F3"/>
    <w:rsid w:val="007216AB"/>
    <w:rsid w:val="00721EDD"/>
    <w:rsid w:val="00723033"/>
    <w:rsid w:val="00727D62"/>
    <w:rsid w:val="007311C7"/>
    <w:rsid w:val="007451DF"/>
    <w:rsid w:val="007460FE"/>
    <w:rsid w:val="00746CED"/>
    <w:rsid w:val="007576C8"/>
    <w:rsid w:val="0076018E"/>
    <w:rsid w:val="00771BBF"/>
    <w:rsid w:val="007814AF"/>
    <w:rsid w:val="00787B9C"/>
    <w:rsid w:val="00791E93"/>
    <w:rsid w:val="00795FEB"/>
    <w:rsid w:val="007A5878"/>
    <w:rsid w:val="007A5E2D"/>
    <w:rsid w:val="007A6EC2"/>
    <w:rsid w:val="007B4ABD"/>
    <w:rsid w:val="007E0A90"/>
    <w:rsid w:val="007E536C"/>
    <w:rsid w:val="0080380D"/>
    <w:rsid w:val="00831BDB"/>
    <w:rsid w:val="00834203"/>
    <w:rsid w:val="00847527"/>
    <w:rsid w:val="00852F43"/>
    <w:rsid w:val="00870403"/>
    <w:rsid w:val="00873EBD"/>
    <w:rsid w:val="00880BD7"/>
    <w:rsid w:val="00882CD1"/>
    <w:rsid w:val="00892A83"/>
    <w:rsid w:val="008945F6"/>
    <w:rsid w:val="008A06AF"/>
    <w:rsid w:val="008A31A5"/>
    <w:rsid w:val="008A32FE"/>
    <w:rsid w:val="008A53C2"/>
    <w:rsid w:val="008C32B9"/>
    <w:rsid w:val="008D2C03"/>
    <w:rsid w:val="008E3945"/>
    <w:rsid w:val="009108C4"/>
    <w:rsid w:val="009405BC"/>
    <w:rsid w:val="00940F1F"/>
    <w:rsid w:val="00942399"/>
    <w:rsid w:val="00945750"/>
    <w:rsid w:val="009609C6"/>
    <w:rsid w:val="00963E12"/>
    <w:rsid w:val="00964715"/>
    <w:rsid w:val="009675A2"/>
    <w:rsid w:val="00982039"/>
    <w:rsid w:val="00990598"/>
    <w:rsid w:val="00993AE3"/>
    <w:rsid w:val="009A5DED"/>
    <w:rsid w:val="009B1049"/>
    <w:rsid w:val="009B7FAF"/>
    <w:rsid w:val="009C394B"/>
    <w:rsid w:val="009D668A"/>
    <w:rsid w:val="009E095A"/>
    <w:rsid w:val="009E6D40"/>
    <w:rsid w:val="009F0EAC"/>
    <w:rsid w:val="009F2391"/>
    <w:rsid w:val="009F2D04"/>
    <w:rsid w:val="00A02816"/>
    <w:rsid w:val="00A033B0"/>
    <w:rsid w:val="00A03AF5"/>
    <w:rsid w:val="00A042D6"/>
    <w:rsid w:val="00A1119D"/>
    <w:rsid w:val="00A13398"/>
    <w:rsid w:val="00A4255B"/>
    <w:rsid w:val="00A47C5A"/>
    <w:rsid w:val="00A53D00"/>
    <w:rsid w:val="00A61804"/>
    <w:rsid w:val="00A84F92"/>
    <w:rsid w:val="00A85DDA"/>
    <w:rsid w:val="00AA6B25"/>
    <w:rsid w:val="00AB5744"/>
    <w:rsid w:val="00AB708F"/>
    <w:rsid w:val="00AC01D5"/>
    <w:rsid w:val="00AC221C"/>
    <w:rsid w:val="00AC6036"/>
    <w:rsid w:val="00B061AA"/>
    <w:rsid w:val="00B14FC5"/>
    <w:rsid w:val="00B23354"/>
    <w:rsid w:val="00B30438"/>
    <w:rsid w:val="00B42C85"/>
    <w:rsid w:val="00B4516E"/>
    <w:rsid w:val="00B502F1"/>
    <w:rsid w:val="00B50701"/>
    <w:rsid w:val="00B56E3A"/>
    <w:rsid w:val="00B61E81"/>
    <w:rsid w:val="00B977F5"/>
    <w:rsid w:val="00BA07D3"/>
    <w:rsid w:val="00BB603F"/>
    <w:rsid w:val="00BC4DDC"/>
    <w:rsid w:val="00BE0052"/>
    <w:rsid w:val="00BF037D"/>
    <w:rsid w:val="00BF5C3F"/>
    <w:rsid w:val="00C06BD6"/>
    <w:rsid w:val="00C1130C"/>
    <w:rsid w:val="00C17D09"/>
    <w:rsid w:val="00C424A0"/>
    <w:rsid w:val="00C64A42"/>
    <w:rsid w:val="00C749C1"/>
    <w:rsid w:val="00C80E8E"/>
    <w:rsid w:val="00CA1663"/>
    <w:rsid w:val="00CA4883"/>
    <w:rsid w:val="00CA7A8B"/>
    <w:rsid w:val="00CB01CF"/>
    <w:rsid w:val="00CB35B0"/>
    <w:rsid w:val="00CB3758"/>
    <w:rsid w:val="00CC43FB"/>
    <w:rsid w:val="00CD0CBD"/>
    <w:rsid w:val="00CF1E19"/>
    <w:rsid w:val="00D06DC3"/>
    <w:rsid w:val="00D07D36"/>
    <w:rsid w:val="00D22D7D"/>
    <w:rsid w:val="00D42788"/>
    <w:rsid w:val="00D43CC4"/>
    <w:rsid w:val="00D60DE1"/>
    <w:rsid w:val="00D67121"/>
    <w:rsid w:val="00D77766"/>
    <w:rsid w:val="00D81956"/>
    <w:rsid w:val="00D82701"/>
    <w:rsid w:val="00D94E0A"/>
    <w:rsid w:val="00DB7C57"/>
    <w:rsid w:val="00DB7E5C"/>
    <w:rsid w:val="00DC3547"/>
    <w:rsid w:val="00DD5F2E"/>
    <w:rsid w:val="00DF20BC"/>
    <w:rsid w:val="00E03CDC"/>
    <w:rsid w:val="00E06FBD"/>
    <w:rsid w:val="00E33096"/>
    <w:rsid w:val="00E338B6"/>
    <w:rsid w:val="00E614AC"/>
    <w:rsid w:val="00E74BA7"/>
    <w:rsid w:val="00E760EA"/>
    <w:rsid w:val="00E852FA"/>
    <w:rsid w:val="00EA1820"/>
    <w:rsid w:val="00EA55B7"/>
    <w:rsid w:val="00EB3C3F"/>
    <w:rsid w:val="00EB3D0A"/>
    <w:rsid w:val="00EC0410"/>
    <w:rsid w:val="00ED5832"/>
    <w:rsid w:val="00EE0D0D"/>
    <w:rsid w:val="00EE2F25"/>
    <w:rsid w:val="00EE7908"/>
    <w:rsid w:val="00EF62E7"/>
    <w:rsid w:val="00F00691"/>
    <w:rsid w:val="00F02198"/>
    <w:rsid w:val="00F029C2"/>
    <w:rsid w:val="00F13BED"/>
    <w:rsid w:val="00F42F9A"/>
    <w:rsid w:val="00F7116F"/>
    <w:rsid w:val="00F80EBF"/>
    <w:rsid w:val="00F911BE"/>
    <w:rsid w:val="00F964A9"/>
    <w:rsid w:val="00FB4E0E"/>
    <w:rsid w:val="00FB6927"/>
    <w:rsid w:val="00FC13B9"/>
    <w:rsid w:val="00FF26C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09706"/>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Footnote text Char,4_G,Footnotes refss,ftref,BVI fnr,BVI fnr Car Car,BVI fnr Car,BVI fnr Car Car Car Car,BVI fnr Char Car Car Car,BVI fnr Char Car Car Car Char,BVI fnr Car Car Car Car Char Char,4_G Char"/>
    <w:basedOn w:val="DefaultParagraphFont"/>
    <w:link w:val="FootnoteText1"/>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NICCYBodyTest">
    <w:name w:val="NICCY Body Test"/>
    <w:basedOn w:val="Normal"/>
    <w:link w:val="NICCYBodyTestChar"/>
    <w:qFormat/>
    <w:rsid w:val="002E0BA6"/>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2E0BA6"/>
    <w:rPr>
      <w:rFonts w:ascii="Arial" w:hAnsi="Arial" w:cs="Arial"/>
      <w:color w:val="414042"/>
      <w:lang w:val="en-GB"/>
    </w:rPr>
  </w:style>
  <w:style w:type="paragraph" w:customStyle="1" w:styleId="SingleTxtG">
    <w:name w:val="_ Single Txt_G"/>
    <w:basedOn w:val="Normal"/>
    <w:link w:val="SingleTxtGChar"/>
    <w:rsid w:val="00C64A42"/>
    <w:pPr>
      <w:suppressAutoHyphens/>
      <w:spacing w:after="120" w:line="240" w:lineRule="atLeast"/>
      <w:ind w:left="1134" w:right="1134"/>
      <w:jc w:val="both"/>
    </w:pPr>
    <w:rPr>
      <w:rFonts w:eastAsia="SimSun"/>
      <w:lang w:eastAsia="zh-CN"/>
    </w:rPr>
  </w:style>
  <w:style w:type="character" w:customStyle="1" w:styleId="SingleTxtGChar">
    <w:name w:val="_ Single Txt_G Char"/>
    <w:basedOn w:val="DefaultParagraphFont"/>
    <w:link w:val="SingleTxtG"/>
    <w:rsid w:val="00C64A42"/>
    <w:rPr>
      <w:rFonts w:ascii="Times New Roman" w:eastAsia="SimSun" w:hAnsi="Times New Roman" w:cs="Times New Roman"/>
      <w:sz w:val="20"/>
      <w:szCs w:val="20"/>
      <w:lang w:val="en-GB" w:eastAsia="zh-CN"/>
    </w:rPr>
  </w:style>
  <w:style w:type="paragraph" w:customStyle="1" w:styleId="FootnoteText1">
    <w:name w:val="Footnote Text1"/>
    <w:basedOn w:val="Normal"/>
    <w:link w:val="FootnoteReference"/>
    <w:qFormat/>
    <w:rsid w:val="00AA6B25"/>
    <w:pPr>
      <w:widowControl w:val="0"/>
      <w:autoSpaceDE w:val="0"/>
      <w:autoSpaceDN w:val="0"/>
      <w:adjustRightInd w:val="0"/>
      <w:spacing w:after="160" w:line="240" w:lineRule="exact"/>
      <w:jc w:val="both"/>
      <w:textAlignment w:val="center"/>
    </w:pPr>
    <w:rPr>
      <w:rFonts w:asciiTheme="minorHAnsi" w:eastAsiaTheme="minorEastAsia" w:hAnsiTheme="minorHAnsi" w:cstheme="minorBidi"/>
      <w:sz w:val="24"/>
      <w:szCs w:val="24"/>
      <w:vertAlign w:val="superscript"/>
      <w:lang w:val="en-US"/>
    </w:rPr>
  </w:style>
  <w:style w:type="character" w:customStyle="1" w:styleId="normaltextrun">
    <w:name w:val="normaltextrun"/>
    <w:basedOn w:val="DefaultParagraphFont"/>
    <w:rsid w:val="00AA6B25"/>
  </w:style>
  <w:style w:type="character" w:customStyle="1" w:styleId="eop">
    <w:name w:val="eop"/>
    <w:basedOn w:val="DefaultParagraphFont"/>
    <w:rsid w:val="00AA6B25"/>
  </w:style>
  <w:style w:type="character" w:styleId="CommentReference">
    <w:name w:val="annotation reference"/>
    <w:basedOn w:val="DefaultParagraphFont"/>
    <w:uiPriority w:val="99"/>
    <w:semiHidden/>
    <w:unhideWhenUsed/>
    <w:rsid w:val="002E52C9"/>
    <w:rPr>
      <w:sz w:val="16"/>
      <w:szCs w:val="16"/>
    </w:rPr>
  </w:style>
  <w:style w:type="paragraph" w:styleId="CommentText">
    <w:name w:val="annotation text"/>
    <w:basedOn w:val="Normal"/>
    <w:link w:val="CommentTextChar"/>
    <w:uiPriority w:val="99"/>
    <w:semiHidden/>
    <w:unhideWhenUsed/>
    <w:rsid w:val="002E52C9"/>
  </w:style>
  <w:style w:type="character" w:customStyle="1" w:styleId="CommentTextChar">
    <w:name w:val="Comment Text Char"/>
    <w:basedOn w:val="DefaultParagraphFont"/>
    <w:link w:val="CommentText"/>
    <w:uiPriority w:val="99"/>
    <w:semiHidden/>
    <w:rsid w:val="002E52C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E52C9"/>
    <w:rPr>
      <w:b/>
      <w:bCs/>
    </w:rPr>
  </w:style>
  <w:style w:type="character" w:customStyle="1" w:styleId="CommentSubjectChar">
    <w:name w:val="Comment Subject Char"/>
    <w:basedOn w:val="CommentTextChar"/>
    <w:link w:val="CommentSubject"/>
    <w:uiPriority w:val="99"/>
    <w:semiHidden/>
    <w:rsid w:val="002E52C9"/>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C17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id/nia/2015/9/section/98" TargetMode="External"/><Relationship Id="rId7" Type="http://schemas.openxmlformats.org/officeDocument/2006/relationships/hyperlink" Target="https://yjlc.uk/wp-content/uploads/2020/04/CRAE_POLICING-SPITHOODS_PRINT.pdf" TargetMode="External"/><Relationship Id="rId2" Type="http://schemas.openxmlformats.org/officeDocument/2006/relationships/hyperlink" Target="http://www.legislation.gov.uk/id/nia/2015/9" TargetMode="External"/><Relationship Id="rId1" Type="http://schemas.openxmlformats.org/officeDocument/2006/relationships/hyperlink" Target="http://www.legislation.gov.uk/id/ukpga/2002/26/section/53/3" TargetMode="External"/><Relationship Id="rId6" Type="http://schemas.openxmlformats.org/officeDocument/2006/relationships/hyperlink" Target="https://www.niccy.org/media/3691/niccy-socrni-2-main-report-web-nov-20.pdf" TargetMode="External"/><Relationship Id="rId5" Type="http://schemas.openxmlformats.org/officeDocument/2006/relationships/hyperlink" Target="https://www.niccy.org/about-us/news/latest-news/2008/january/25/commissioner-concerned-over-introduction-of-tasers/" TargetMode="External"/><Relationship Id="rId4" Type="http://schemas.openxmlformats.org/officeDocument/2006/relationships/hyperlink" Target="http://www.legislation.gov.uk/id/nia/2015/9/section/106/1/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0B3A-F8E4-4F8F-B0F0-39F6663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7689</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Fiona Cole</cp:lastModifiedBy>
  <cp:revision>3</cp:revision>
  <cp:lastPrinted>2013-11-19T11:46:00Z</cp:lastPrinted>
  <dcterms:created xsi:type="dcterms:W3CDTF">2021-05-24T13:54:00Z</dcterms:created>
  <dcterms:modified xsi:type="dcterms:W3CDTF">2021-05-24T13:55:00Z</dcterms:modified>
</cp:coreProperties>
</file>