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6A96D" w14:textId="7E0BB1FE" w:rsidR="00FD77F2" w:rsidRDefault="00FD77F2" w:rsidP="00FD77F2">
      <w:pPr>
        <w:pStyle w:val="NICCYHeading"/>
        <w:jc w:val="center"/>
      </w:pPr>
      <w:r>
        <w:t xml:space="preserve">Advice to the Department of Education on its Consultation on the Review of the Statutory Admissions Criteria for Pre-school Education </w:t>
      </w:r>
    </w:p>
    <w:p w14:paraId="255E8394" w14:textId="77777777" w:rsidR="00FD77F2" w:rsidRDefault="00FD77F2" w:rsidP="00FD77F2">
      <w:pPr>
        <w:spacing w:line="276" w:lineRule="auto"/>
        <w:jc w:val="center"/>
        <w:rPr>
          <w:rFonts w:ascii="Arial" w:hAnsi="Arial" w:cs="Arial"/>
          <w:b/>
          <w:color w:val="404142"/>
          <w:sz w:val="28"/>
          <w:szCs w:val="28"/>
        </w:rPr>
      </w:pPr>
    </w:p>
    <w:p w14:paraId="35EA9B75" w14:textId="434EE0D7" w:rsidR="00FD77F2" w:rsidRDefault="00FD77F2" w:rsidP="00524C18">
      <w:pPr>
        <w:pStyle w:val="NICCYHeading"/>
        <w:spacing w:line="276" w:lineRule="auto"/>
        <w:jc w:val="right"/>
      </w:pPr>
      <w:r>
        <w:t>July 2021</w:t>
      </w:r>
    </w:p>
    <w:p w14:paraId="045AB76B" w14:textId="77777777" w:rsidR="00FD77F2" w:rsidRDefault="00FD77F2" w:rsidP="00FD77F2">
      <w:pPr>
        <w:pStyle w:val="NICCYHeading"/>
        <w:spacing w:line="276" w:lineRule="auto"/>
        <w:jc w:val="center"/>
      </w:pPr>
    </w:p>
    <w:p w14:paraId="273B242B" w14:textId="77777777" w:rsidR="00FD77F2" w:rsidRDefault="00FD77F2" w:rsidP="00FD77F2">
      <w:pPr>
        <w:pStyle w:val="NICCYSubline"/>
        <w:spacing w:line="276" w:lineRule="auto"/>
      </w:pPr>
    </w:p>
    <w:p w14:paraId="1D2CD2BF" w14:textId="039AEC5D" w:rsidR="00FD77F2" w:rsidRDefault="00FD77F2" w:rsidP="00FD77F2">
      <w:pPr>
        <w:pStyle w:val="NICCYSubline"/>
      </w:pPr>
      <w:r>
        <w:t>Introduction</w:t>
      </w:r>
    </w:p>
    <w:p w14:paraId="5B9DA46E" w14:textId="085E6D9D" w:rsidR="00FD77F2" w:rsidRDefault="00FD77F2" w:rsidP="00FD77F2">
      <w:pPr>
        <w:pStyle w:val="NICCYBodyText"/>
        <w:spacing w:line="276" w:lineRule="auto"/>
      </w:pPr>
      <w:r>
        <w:t xml:space="preserve">The Northern Ireland Commissioner for Children and Young People (NICCY) was created in accordance with ‘The Commissioner for Children and Young People (Northern Ireland) Order’ (2003) to safeguard and promote the rights and best interests of children and young people in Northern Ireland.  Under Articles 7(2) and (3) of this legislation, NICCY has a mandate to keep under review the adequacy and effectiveness of law, practice and services relating to the rights and best interests of children and young people by relevant authorities. </w:t>
      </w:r>
      <w:r>
        <w:rPr>
          <w:color w:val="494949"/>
          <w:shd w:val="clear" w:color="auto" w:fill="FFFFFF"/>
        </w:rPr>
        <w:t xml:space="preserve">Under Article 7(4), NICCY has a statutory duty to advise any relevant authority on matters concerning the rights or best interests of children and young persons. </w:t>
      </w:r>
      <w:r>
        <w:t xml:space="preserve">The Commissioner’s remit includes children and young people up to 18 years, or 21 years, if the young person is disabled or in the care of social services.  In carrying out her functions, the Commissioner’s paramount consideration </w:t>
      </w:r>
      <w:r>
        <w:rPr>
          <w:rStyle w:val="legds"/>
          <w:color w:val="404142"/>
        </w:rPr>
        <w:t xml:space="preserve">is the rights of the child or young person, having </w:t>
      </w:r>
      <w:proofErr w:type="gramStart"/>
      <w:r>
        <w:rPr>
          <w:rStyle w:val="legds"/>
          <w:color w:val="404142"/>
        </w:rPr>
        <w:t>particular regard</w:t>
      </w:r>
      <w:proofErr w:type="gramEnd"/>
      <w:r>
        <w:rPr>
          <w:rStyle w:val="legds"/>
          <w:color w:val="404142"/>
        </w:rPr>
        <w:t xml:space="preserve"> to their wishes and feelings. In exercising her functions, the Commissioner has regard to all relevant provisions of </w:t>
      </w:r>
      <w:r>
        <w:t xml:space="preserve">the United Nations Convention on the Rights of the Child (UNCRC).  </w:t>
      </w:r>
    </w:p>
    <w:p w14:paraId="3BD39B2F" w14:textId="0B9ED891" w:rsidR="00987E04" w:rsidRDefault="00987E04" w:rsidP="00FD77F2"/>
    <w:p w14:paraId="67E6D9F0" w14:textId="0E65B634" w:rsidR="00FD77F2" w:rsidRDefault="00FD77F2" w:rsidP="00FD77F2">
      <w:pPr>
        <w:pStyle w:val="NICCYSubline"/>
      </w:pPr>
      <w:r>
        <w:t>Child rights standards</w:t>
      </w:r>
    </w:p>
    <w:p w14:paraId="233D8DEC" w14:textId="77777777" w:rsidR="00FD77F2" w:rsidRDefault="00FD77F2" w:rsidP="00FD77F2">
      <w:pPr>
        <w:autoSpaceDE w:val="0"/>
        <w:autoSpaceDN w:val="0"/>
        <w:adjustRightInd w:val="0"/>
        <w:spacing w:line="276" w:lineRule="auto"/>
        <w:rPr>
          <w:rFonts w:ascii="Arial" w:hAnsi="Arial" w:cs="Arial"/>
          <w:color w:val="404040" w:themeColor="text1" w:themeTint="BF"/>
          <w:sz w:val="24"/>
          <w:szCs w:val="24"/>
        </w:rPr>
      </w:pPr>
      <w:r>
        <w:rPr>
          <w:rFonts w:ascii="Arial" w:hAnsi="Arial" w:cs="Arial"/>
          <w:color w:val="404040" w:themeColor="text1" w:themeTint="BF"/>
          <w:sz w:val="24"/>
          <w:szCs w:val="24"/>
        </w:rPr>
        <w:t xml:space="preserve">The UNCRC is a set of legally binding minimum standards and obligations in respect of all aspects of children’s lives which the Government has ratified and must comply with in the discharge of its functions.  The Northern Ireland Government Departments, including the Department of Education (DE) and its arm’s length bodies, are obliged to comply with the obligations under the UNCRC by virtue of being a devolved administration of the UK Government, the signatory to the UNCRC. There are </w:t>
      </w:r>
      <w:proofErr w:type="gramStart"/>
      <w:r>
        <w:rPr>
          <w:rFonts w:ascii="Arial" w:hAnsi="Arial" w:cs="Arial"/>
          <w:color w:val="404040" w:themeColor="text1" w:themeTint="BF"/>
          <w:sz w:val="24"/>
          <w:szCs w:val="24"/>
        </w:rPr>
        <w:t>a number of</w:t>
      </w:r>
      <w:proofErr w:type="gramEnd"/>
      <w:r>
        <w:rPr>
          <w:rFonts w:ascii="Arial" w:hAnsi="Arial" w:cs="Arial"/>
          <w:color w:val="404040" w:themeColor="text1" w:themeTint="BF"/>
          <w:sz w:val="24"/>
          <w:szCs w:val="24"/>
        </w:rPr>
        <w:t xml:space="preserve"> UNCRC articles, Committee recommendations and Committee General Comments which are relevant to the Review of the Statutory Admissions </w:t>
      </w:r>
      <w:r w:rsidRPr="00FD77F2">
        <w:rPr>
          <w:rStyle w:val="NICCYBodyTestChar"/>
          <w:sz w:val="24"/>
          <w:szCs w:val="24"/>
        </w:rPr>
        <w:t>Criteria for Pre-school Education</w:t>
      </w:r>
      <w:r>
        <w:rPr>
          <w:rFonts w:ascii="Arial" w:hAnsi="Arial" w:cs="Arial"/>
          <w:color w:val="404040" w:themeColor="text1" w:themeTint="BF"/>
          <w:sz w:val="24"/>
          <w:szCs w:val="24"/>
        </w:rPr>
        <w:t xml:space="preserve">. </w:t>
      </w:r>
    </w:p>
    <w:p w14:paraId="715D8C4E" w14:textId="77777777" w:rsidR="00FD77F2" w:rsidRDefault="00FD77F2" w:rsidP="00FD77F2">
      <w:pPr>
        <w:autoSpaceDE w:val="0"/>
        <w:autoSpaceDN w:val="0"/>
        <w:adjustRightInd w:val="0"/>
        <w:spacing w:line="276" w:lineRule="auto"/>
        <w:rPr>
          <w:rFonts w:ascii="Arial" w:hAnsi="Arial" w:cs="Arial"/>
          <w:color w:val="404040" w:themeColor="text1" w:themeTint="BF"/>
          <w:sz w:val="24"/>
          <w:szCs w:val="24"/>
        </w:rPr>
      </w:pPr>
    </w:p>
    <w:p w14:paraId="0C1B61C6" w14:textId="14C8ADDB" w:rsidR="00FD77F2" w:rsidRDefault="00FD77F2" w:rsidP="00FD77F2">
      <w:pPr>
        <w:autoSpaceDE w:val="0"/>
        <w:autoSpaceDN w:val="0"/>
        <w:adjustRightInd w:val="0"/>
        <w:spacing w:line="276" w:lineRule="auto"/>
        <w:rPr>
          <w:rFonts w:ascii="Arial" w:hAnsi="Arial" w:cs="Arial"/>
          <w:color w:val="404040" w:themeColor="text1" w:themeTint="BF"/>
          <w:sz w:val="24"/>
          <w:szCs w:val="24"/>
        </w:rPr>
      </w:pPr>
      <w:r w:rsidRPr="00FD77F2">
        <w:rPr>
          <w:rStyle w:val="Strong"/>
          <w:rFonts w:ascii="Arial" w:hAnsi="Arial" w:cs="Arial"/>
          <w:b w:val="0"/>
          <w:bCs w:val="0"/>
          <w:iCs/>
          <w:color w:val="404040" w:themeColor="text1" w:themeTint="BF"/>
          <w:sz w:val="24"/>
          <w:szCs w:val="24"/>
        </w:rPr>
        <w:t>Articles 28 and 29 are the main UNCRC articles which relate to education.</w:t>
      </w:r>
      <w:r>
        <w:rPr>
          <w:rStyle w:val="Strong"/>
          <w:rFonts w:ascii="Arial" w:hAnsi="Arial" w:cs="Arial"/>
          <w:iCs/>
          <w:color w:val="404040" w:themeColor="text1" w:themeTint="BF"/>
          <w:sz w:val="24"/>
          <w:szCs w:val="24"/>
        </w:rPr>
        <w:t xml:space="preserve"> </w:t>
      </w:r>
      <w:r>
        <w:rPr>
          <w:rFonts w:ascii="Arial" w:hAnsi="Arial" w:cs="Arial"/>
          <w:color w:val="404040" w:themeColor="text1" w:themeTint="BF"/>
          <w:sz w:val="24"/>
          <w:szCs w:val="24"/>
        </w:rPr>
        <w:t xml:space="preserve">Article 28 outlines the right to education, whereas Article 29(1), which details the aims of education, </w:t>
      </w:r>
      <w:r>
        <w:rPr>
          <w:rFonts w:ascii="Arial" w:hAnsi="Arial" w:cs="Arial"/>
          <w:color w:val="404040" w:themeColor="text1" w:themeTint="BF"/>
          <w:sz w:val="24"/>
          <w:szCs w:val="24"/>
        </w:rPr>
        <w:lastRenderedPageBreak/>
        <w:t xml:space="preserve">adds a qualitative dimension to the general right to education under Article 28. Article 29(1) reflects the rights and inherent dignity of the child; it insists on the need for education to be child-centred, child-friendly and empowering and highlights the need for educational processes to be based upon the principles outlined in Article 29(1). </w:t>
      </w:r>
    </w:p>
    <w:p w14:paraId="1182A4E0" w14:textId="77777777" w:rsidR="00FD77F2" w:rsidRPr="00FD77F2" w:rsidRDefault="00FD77F2" w:rsidP="00FD77F2">
      <w:pPr>
        <w:tabs>
          <w:tab w:val="left" w:pos="567"/>
        </w:tabs>
        <w:spacing w:line="276" w:lineRule="auto"/>
        <w:rPr>
          <w:rStyle w:val="Strong"/>
          <w:b w:val="0"/>
          <w:iCs/>
        </w:rPr>
      </w:pPr>
    </w:p>
    <w:p w14:paraId="5BFBE4D6" w14:textId="7058F9AD" w:rsidR="00FD77F2" w:rsidRDefault="00FD77F2" w:rsidP="00FD77F2">
      <w:pPr>
        <w:tabs>
          <w:tab w:val="left" w:pos="567"/>
        </w:tabs>
        <w:spacing w:line="276" w:lineRule="auto"/>
      </w:pPr>
      <w:r w:rsidRPr="00FD77F2">
        <w:rPr>
          <w:rStyle w:val="Strong"/>
          <w:rFonts w:ascii="Arial" w:hAnsi="Arial" w:cs="Arial"/>
          <w:b w:val="0"/>
          <w:iCs/>
          <w:color w:val="404040" w:themeColor="text1" w:themeTint="BF"/>
          <w:sz w:val="24"/>
          <w:szCs w:val="24"/>
        </w:rPr>
        <w:t xml:space="preserve">Other articles are also relevant in the context of the consultation on the Framework for Future Early Years SEN Provision, not least the 4 principles of the Convention. </w:t>
      </w:r>
      <w:r w:rsidRPr="00FD77F2">
        <w:rPr>
          <w:rFonts w:ascii="Arial" w:hAnsi="Arial" w:cs="Arial"/>
          <w:bCs/>
          <w:color w:val="404040" w:themeColor="text1" w:themeTint="BF"/>
          <w:sz w:val="24"/>
          <w:szCs w:val="24"/>
        </w:rPr>
        <w:t xml:space="preserve">The </w:t>
      </w:r>
      <w:r>
        <w:rPr>
          <w:rFonts w:ascii="Arial" w:hAnsi="Arial" w:cs="Arial"/>
          <w:color w:val="404040" w:themeColor="text1" w:themeTint="BF"/>
          <w:sz w:val="24"/>
          <w:szCs w:val="24"/>
        </w:rPr>
        <w:t xml:space="preserve">UNCRC principles require the Government to ensure that children are not discriminated against - Article 2; their best interests are upheld - Article 3; they develop to their maximum potential - Article 6; and they are able to meaningfully participate in all aspects of their lives - Article 12.  </w:t>
      </w:r>
    </w:p>
    <w:p w14:paraId="6986E02C" w14:textId="77777777" w:rsidR="00FD77F2" w:rsidRDefault="00FD77F2" w:rsidP="00FD77F2">
      <w:pPr>
        <w:tabs>
          <w:tab w:val="left" w:pos="567"/>
        </w:tabs>
        <w:spacing w:line="276" w:lineRule="auto"/>
        <w:rPr>
          <w:rFonts w:ascii="Arial" w:hAnsi="Arial" w:cs="Arial"/>
          <w:color w:val="404040" w:themeColor="text1" w:themeTint="BF"/>
          <w:sz w:val="24"/>
          <w:szCs w:val="24"/>
        </w:rPr>
      </w:pPr>
    </w:p>
    <w:p w14:paraId="6F0B909A" w14:textId="29A453D4" w:rsidR="00FD77F2" w:rsidRDefault="00FD77F2" w:rsidP="00FD77F2">
      <w:pPr>
        <w:pStyle w:val="NICCYSubline"/>
      </w:pPr>
      <w:r>
        <w:t>Reflections on the consultation document</w:t>
      </w:r>
    </w:p>
    <w:p w14:paraId="6F302430" w14:textId="77777777" w:rsidR="005220A3" w:rsidRDefault="00FD77F2" w:rsidP="00FD77F2">
      <w:pPr>
        <w:pStyle w:val="NICCYBodyTest"/>
      </w:pPr>
      <w:r>
        <w:t xml:space="preserve">We congratulate the DE Pre-School Education Team for producing an extremely clear and informative consultation paper, mapping out the need for change, the range of considerations and options available, and the preferred option of the Department. The issues that need to be considered in relation to this decision are complex, </w:t>
      </w:r>
      <w:r w:rsidR="005220A3">
        <w:t xml:space="preserve">but the document has helpfully provided the information required in a succinct and helpful manner, which will maximise the usefulness of the responses from stakeholders. </w:t>
      </w:r>
    </w:p>
    <w:p w14:paraId="240A775D" w14:textId="31AF3ED5" w:rsidR="005220A3" w:rsidRDefault="005220A3" w:rsidP="00FD77F2">
      <w:pPr>
        <w:pStyle w:val="NICCYBodyTest"/>
      </w:pPr>
    </w:p>
    <w:p w14:paraId="2B0A30D8" w14:textId="46E93E39" w:rsidR="005220A3" w:rsidRDefault="00CA60CB" w:rsidP="00CA60CB">
      <w:pPr>
        <w:pStyle w:val="NICCYSubline"/>
      </w:pPr>
      <w:r>
        <w:t>Advice on proposals</w:t>
      </w:r>
    </w:p>
    <w:p w14:paraId="553784A6" w14:textId="64D49F24" w:rsidR="00FD77F2" w:rsidRDefault="005220A3" w:rsidP="00FD77F2">
      <w:pPr>
        <w:pStyle w:val="NICCYBodyTest"/>
      </w:pPr>
      <w:r>
        <w:t xml:space="preserve">In considering the best approach to amend the legislation, NICCY has </w:t>
      </w:r>
      <w:r w:rsidR="00BE3C38">
        <w:t>reached the following conclusions</w:t>
      </w:r>
      <w:r>
        <w:t>:</w:t>
      </w:r>
    </w:p>
    <w:p w14:paraId="407DA62B" w14:textId="2F5CA886" w:rsidR="005220A3" w:rsidRDefault="005220A3" w:rsidP="00FD77F2">
      <w:pPr>
        <w:pStyle w:val="NICCYBodyTest"/>
      </w:pPr>
    </w:p>
    <w:p w14:paraId="10B9DB8C" w14:textId="015E253C" w:rsidR="005220A3" w:rsidRPr="00CA60CB" w:rsidRDefault="005220A3" w:rsidP="005220A3">
      <w:pPr>
        <w:pStyle w:val="NICCYBodyTest"/>
        <w:numPr>
          <w:ilvl w:val="0"/>
          <w:numId w:val="19"/>
        </w:numPr>
        <w:rPr>
          <w:b/>
          <w:bCs/>
        </w:rPr>
      </w:pPr>
      <w:r w:rsidRPr="00CA60CB">
        <w:rPr>
          <w:b/>
          <w:bCs/>
        </w:rPr>
        <w:t>If the socially disadvantaged circumstances (SDC) criteria continue to benefit children from disadvantaged backgrounds they should be retained</w:t>
      </w:r>
    </w:p>
    <w:p w14:paraId="13C71F34" w14:textId="7FB596EF" w:rsidR="005220A3" w:rsidRDefault="005220A3" w:rsidP="005220A3">
      <w:pPr>
        <w:pStyle w:val="NICCYBodyTest"/>
        <w:ind w:left="720"/>
      </w:pPr>
    </w:p>
    <w:p w14:paraId="746C4BCD" w14:textId="4031C2D7" w:rsidR="005220A3" w:rsidRDefault="00B05BF8" w:rsidP="005220A3">
      <w:pPr>
        <w:pStyle w:val="NICCYBodyTest"/>
        <w:ind w:left="720"/>
      </w:pPr>
      <w:r>
        <w:t xml:space="preserve">Both </w:t>
      </w:r>
      <w:r w:rsidR="00CA60CB">
        <w:t>NICCY and the Department r</w:t>
      </w:r>
      <w:r w:rsidR="005220A3">
        <w:t>ecogni</w:t>
      </w:r>
      <w:r w:rsidR="00CA60CB">
        <w:t xml:space="preserve">se the persistent </w:t>
      </w:r>
      <w:r w:rsidR="005220A3">
        <w:t xml:space="preserve">educational inequalities </w:t>
      </w:r>
      <w:r w:rsidR="00CA60CB">
        <w:t>faced by</w:t>
      </w:r>
      <w:r w:rsidR="005220A3">
        <w:t xml:space="preserve"> children from disadvantaged backgrounds</w:t>
      </w:r>
      <w:r>
        <w:t>, and the importance of overcoming these inequalities</w:t>
      </w:r>
      <w:r w:rsidR="005220A3">
        <w:t>.</w:t>
      </w:r>
      <w:r>
        <w:t xml:space="preserve"> We are encouraged by the </w:t>
      </w:r>
      <w:r w:rsidR="00B16448">
        <w:t>work</w:t>
      </w:r>
      <w:r>
        <w:t xml:space="preserve"> of the Expert Panel on Persistent Educational Underachievement</w:t>
      </w:r>
      <w:r w:rsidR="00627AEF">
        <w:t>.</w:t>
      </w:r>
      <w:r w:rsidR="005D1150">
        <w:t xml:space="preserve"> I</w:t>
      </w:r>
      <w:r>
        <w:t xml:space="preserve">n keeping with its commitment to tackle educational disadvantage, the Department should </w:t>
      </w:r>
      <w:r w:rsidR="00C14516">
        <w:t xml:space="preserve">support measures that </w:t>
      </w:r>
      <w:r>
        <w:t xml:space="preserve">benefit children from backgrounds </w:t>
      </w:r>
      <w:r w:rsidR="00524C18">
        <w:t xml:space="preserve">which </w:t>
      </w:r>
      <w:r w:rsidR="005D1150">
        <w:t xml:space="preserve">have higher rates of disadvantage, including children in poverty. </w:t>
      </w:r>
    </w:p>
    <w:p w14:paraId="459D3643" w14:textId="3B377C8F" w:rsidR="00F11868" w:rsidRDefault="00F11868" w:rsidP="005220A3">
      <w:pPr>
        <w:pStyle w:val="NICCYBodyTest"/>
        <w:ind w:left="720"/>
      </w:pPr>
    </w:p>
    <w:p w14:paraId="0736B332" w14:textId="4374413D" w:rsidR="00F11868" w:rsidRDefault="00F11868" w:rsidP="00F11868">
      <w:pPr>
        <w:pStyle w:val="NICCYBodyTest"/>
        <w:ind w:left="720"/>
      </w:pPr>
      <w:r>
        <w:t xml:space="preserve">The consultation document outlines the inconsistency in maintaining </w:t>
      </w:r>
      <w:r w:rsidR="00ED49C4">
        <w:t xml:space="preserve">the </w:t>
      </w:r>
      <w:r>
        <w:t xml:space="preserve">SDC </w:t>
      </w:r>
      <w:r w:rsidR="00ED49C4">
        <w:t xml:space="preserve">criteria </w:t>
      </w:r>
      <w:r>
        <w:t xml:space="preserve">while not providing priority to other disadvantaged groups, for example care </w:t>
      </w:r>
      <w:r>
        <w:lastRenderedPageBreak/>
        <w:t xml:space="preserve">experienced children. Rather than ensuring consistency by reducing entitlement, the Department should consider </w:t>
      </w:r>
      <w:r w:rsidRPr="00524C18">
        <w:rPr>
          <w:u w:val="single"/>
        </w:rPr>
        <w:t xml:space="preserve">including </w:t>
      </w:r>
      <w:r>
        <w:t>other statutory criteria for pre-school places, particularly where these represent groups of children who are more likely to have poorer educational outcomes than other children.</w:t>
      </w:r>
    </w:p>
    <w:p w14:paraId="5AB25A15" w14:textId="77777777" w:rsidR="00F11868" w:rsidRDefault="00F11868" w:rsidP="005220A3">
      <w:pPr>
        <w:pStyle w:val="NICCYBodyTest"/>
        <w:ind w:left="720"/>
      </w:pPr>
    </w:p>
    <w:p w14:paraId="4B776761" w14:textId="77777777" w:rsidR="005220A3" w:rsidRDefault="005220A3" w:rsidP="005220A3">
      <w:pPr>
        <w:pStyle w:val="NICCYBodyTest"/>
        <w:ind w:left="720"/>
      </w:pPr>
    </w:p>
    <w:p w14:paraId="47C2B51F" w14:textId="1063C35A" w:rsidR="005220A3" w:rsidRPr="00CA60CB" w:rsidRDefault="00BE3C38" w:rsidP="005220A3">
      <w:pPr>
        <w:pStyle w:val="NICCYBodyTest"/>
        <w:numPr>
          <w:ilvl w:val="0"/>
          <w:numId w:val="19"/>
        </w:numPr>
        <w:rPr>
          <w:b/>
          <w:bCs/>
        </w:rPr>
      </w:pPr>
      <w:r>
        <w:rPr>
          <w:b/>
          <w:bCs/>
        </w:rPr>
        <w:t>T</w:t>
      </w:r>
      <w:r w:rsidR="005220A3" w:rsidRPr="00CA60CB">
        <w:rPr>
          <w:b/>
          <w:bCs/>
        </w:rPr>
        <w:t>here continues to be a benefit for children in poverty</w:t>
      </w:r>
      <w:r>
        <w:rPr>
          <w:b/>
          <w:bCs/>
        </w:rPr>
        <w:t xml:space="preserve"> to be prioritised in pre-school admissions, particularly w</w:t>
      </w:r>
      <w:r w:rsidRPr="00CA60CB">
        <w:rPr>
          <w:b/>
          <w:bCs/>
        </w:rPr>
        <w:t>here there are differences in provision between full-time (4.5 hours with or without a meal) and part-time (2.5 hours)</w:t>
      </w:r>
      <w:r w:rsidR="005220A3" w:rsidRPr="00CA60CB">
        <w:rPr>
          <w:b/>
          <w:bCs/>
        </w:rPr>
        <w:t>.</w:t>
      </w:r>
    </w:p>
    <w:p w14:paraId="77E8C220" w14:textId="5515ACE4" w:rsidR="005220A3" w:rsidRDefault="005220A3" w:rsidP="005220A3">
      <w:pPr>
        <w:pStyle w:val="NICCYBodyTest"/>
        <w:ind w:left="720"/>
      </w:pPr>
    </w:p>
    <w:p w14:paraId="3B967F05" w14:textId="6C4670B2" w:rsidR="005220A3" w:rsidRDefault="005220A3" w:rsidP="005220A3">
      <w:pPr>
        <w:pStyle w:val="NICCYBodyTest"/>
        <w:ind w:left="720"/>
      </w:pPr>
      <w:r>
        <w:t xml:space="preserve">NICCY is not supportive of a standardisation of </w:t>
      </w:r>
      <w:r w:rsidR="00B732E3">
        <w:t xml:space="preserve">‘patterns of attendance’ as set out in the Department’s framework for early years, </w:t>
      </w:r>
      <w:r w:rsidR="00B732E3">
        <w:rPr>
          <w:i/>
          <w:iCs/>
        </w:rPr>
        <w:t>Learning to Learn</w:t>
      </w:r>
      <w:r w:rsidR="00B732E3">
        <w:t>, if this means that all provision will be ‘standardised down</w:t>
      </w:r>
      <w:r w:rsidR="00C715B8">
        <w:t>’</w:t>
      </w:r>
      <w:r w:rsidR="00B732E3">
        <w:t xml:space="preserve"> to part-time hours. However, if it is the Department’s intention to ‘standardise up’ to full time hours, along with a meal, this would be very welcome</w:t>
      </w:r>
      <w:r w:rsidR="00CA60CB">
        <w:t>. Without this information NICCY is unable to support the suggestion of</w:t>
      </w:r>
      <w:r w:rsidR="00B16448">
        <w:t xml:space="preserve"> standardising pre-school places or</w:t>
      </w:r>
      <w:r w:rsidR="00CA60CB">
        <w:t xml:space="preserve"> removing the SDC criteria. </w:t>
      </w:r>
    </w:p>
    <w:p w14:paraId="7D72DFCB" w14:textId="77777777" w:rsidR="00CA60CB" w:rsidRDefault="00CA60CB" w:rsidP="00CA60CB">
      <w:pPr>
        <w:pStyle w:val="NICCYBodyTest"/>
        <w:ind w:left="720"/>
      </w:pPr>
    </w:p>
    <w:p w14:paraId="3B006283" w14:textId="06AD3A91" w:rsidR="00CA60CB" w:rsidRDefault="007A5132" w:rsidP="00CA60CB">
      <w:pPr>
        <w:pStyle w:val="NICCYBodyTest"/>
        <w:ind w:left="720"/>
      </w:pPr>
      <w:r>
        <w:t>The DE</w:t>
      </w:r>
      <w:r w:rsidR="00CA60CB">
        <w:t xml:space="preserve"> paper outlines ‘a longer pre-school education session may have</w:t>
      </w:r>
      <w:r w:rsidR="00507B51">
        <w:t xml:space="preserve"> other</w:t>
      </w:r>
      <w:r w:rsidR="00CA60CB">
        <w:t xml:space="preserve"> benefits in terms of opportunities for socialisation, child development and increased engagement with </w:t>
      </w:r>
      <w:proofErr w:type="gramStart"/>
      <w:r w:rsidR="00CA60CB">
        <w:t>parents’</w:t>
      </w:r>
      <w:proofErr w:type="gramEnd"/>
      <w:r w:rsidR="00CA60CB">
        <w:t>.</w:t>
      </w:r>
      <w:r w:rsidR="00CA60CB">
        <w:rPr>
          <w:rStyle w:val="FootnoteReference"/>
        </w:rPr>
        <w:footnoteReference w:id="1"/>
      </w:r>
      <w:r w:rsidR="00CA60CB">
        <w:t xml:space="preserve"> The provision of a meal is also in keeping with the provision of Free School Meals to disadvantaged children in primary and post-primary schools. </w:t>
      </w:r>
    </w:p>
    <w:p w14:paraId="137E21A1" w14:textId="68DCE112" w:rsidR="00CA60CB" w:rsidRDefault="00CA60CB" w:rsidP="005220A3">
      <w:pPr>
        <w:pStyle w:val="NICCYBodyTest"/>
        <w:ind w:left="720"/>
      </w:pPr>
    </w:p>
    <w:p w14:paraId="7CB36998" w14:textId="4BEA0331" w:rsidR="00CA60CB" w:rsidRDefault="00CA60CB" w:rsidP="005220A3">
      <w:pPr>
        <w:pStyle w:val="NICCYBodyTest"/>
        <w:ind w:left="720"/>
      </w:pPr>
      <w:r>
        <w:t xml:space="preserve">We seek assurances that DE will not reduce all pre-school provision down to part-time provision but, if standardisation of provision is to be achieved, will instead increase the provision across settings to provide full-time hours with meals.  </w:t>
      </w:r>
    </w:p>
    <w:p w14:paraId="6B8943D8" w14:textId="0BFC9588" w:rsidR="00BE3C38" w:rsidRDefault="00BE3C38" w:rsidP="005220A3">
      <w:pPr>
        <w:pStyle w:val="NICCYBodyTest"/>
        <w:ind w:left="720"/>
      </w:pPr>
    </w:p>
    <w:p w14:paraId="740130C9" w14:textId="48521B9D" w:rsidR="00BE3C38" w:rsidRDefault="00BE3C38" w:rsidP="005220A3">
      <w:pPr>
        <w:pStyle w:val="NICCYBodyTest"/>
        <w:ind w:left="720"/>
      </w:pPr>
      <w:r>
        <w:t xml:space="preserve">In addition to the benefit of potentially accessing full time places and a meal, there may be benefits in terms of reducing travel costs. As the consultation document points out, unlike provision for children attending primary or post-primary schools, there is no support for travel to pre-school </w:t>
      </w:r>
      <w:r w:rsidR="007D494C">
        <w:t xml:space="preserve">settings </w:t>
      </w:r>
      <w:r>
        <w:t xml:space="preserve">for families on low incomes: ‘Prioritising children from lower income backgrounds may assist children in accessing provision close to home, thus removing a potential barrier to their </w:t>
      </w:r>
      <w:r>
        <w:lastRenderedPageBreak/>
        <w:t>participation.’</w:t>
      </w:r>
      <w:r>
        <w:rPr>
          <w:rStyle w:val="FootnoteReference"/>
        </w:rPr>
        <w:footnoteReference w:id="2"/>
      </w:r>
    </w:p>
    <w:p w14:paraId="515215A8" w14:textId="77777777" w:rsidR="005220A3" w:rsidRDefault="005220A3" w:rsidP="005220A3">
      <w:pPr>
        <w:pStyle w:val="NICCYBodyTest"/>
        <w:ind w:left="720"/>
      </w:pPr>
    </w:p>
    <w:p w14:paraId="1D9D174C" w14:textId="2B2BE05F" w:rsidR="005220A3" w:rsidRPr="00507B51" w:rsidRDefault="00CA60CB" w:rsidP="005220A3">
      <w:pPr>
        <w:pStyle w:val="NICCYBodyTest"/>
        <w:numPr>
          <w:ilvl w:val="0"/>
          <w:numId w:val="19"/>
        </w:numPr>
        <w:rPr>
          <w:b/>
          <w:bCs/>
        </w:rPr>
      </w:pPr>
      <w:r w:rsidRPr="00507B51">
        <w:rPr>
          <w:b/>
          <w:bCs/>
        </w:rPr>
        <w:t>If the SDC criteria is to be retained, it should be inclusive of all children in poverty</w:t>
      </w:r>
      <w:r w:rsidR="00FD3728">
        <w:rPr>
          <w:b/>
          <w:bCs/>
        </w:rPr>
        <w:t>, including those in working households</w:t>
      </w:r>
    </w:p>
    <w:p w14:paraId="409C16A7" w14:textId="7829A2DA" w:rsidR="00CA60CB" w:rsidRDefault="00507B51" w:rsidP="00CA60CB">
      <w:pPr>
        <w:pStyle w:val="NICCYBodyTest"/>
        <w:ind w:left="720"/>
      </w:pPr>
      <w:r>
        <w:t xml:space="preserve">NICCY recognises that some parents have not been supportive of the SDC criteria, where they perceive these as prioritising families </w:t>
      </w:r>
      <w:r w:rsidR="00524C18">
        <w:t>in receipt of</w:t>
      </w:r>
      <w:r>
        <w:t xml:space="preserve"> benefits over the ‘working poor’. The SDC criteria should apply to all children in poverty, </w:t>
      </w:r>
      <w:r w:rsidR="00524C18">
        <w:t xml:space="preserve">aligned to </w:t>
      </w:r>
      <w:r>
        <w:t xml:space="preserve">the official government measure of Relative Child Poverty (After Housing Costs). </w:t>
      </w:r>
    </w:p>
    <w:p w14:paraId="5E5C8598" w14:textId="1E7E13A1" w:rsidR="00507B51" w:rsidRDefault="00507B51" w:rsidP="00CA60CB">
      <w:pPr>
        <w:pStyle w:val="NICCYBodyTest"/>
        <w:ind w:left="720"/>
      </w:pPr>
    </w:p>
    <w:p w14:paraId="65C3C12E" w14:textId="4D4B560E" w:rsidR="00507B51" w:rsidRDefault="00507B51" w:rsidP="00CA60CB">
      <w:pPr>
        <w:pStyle w:val="NICCYBodyTest"/>
        <w:ind w:left="720"/>
      </w:pPr>
      <w:r>
        <w:t xml:space="preserve">The most recent data for this, as outlined in the Poverty Bulletin 2019-20, showed that 23% of children were in poverty according to this measure, and that two in three </w:t>
      </w:r>
      <w:r w:rsidR="00FD3728">
        <w:t xml:space="preserve">(66%) </w:t>
      </w:r>
      <w:r>
        <w:t>of these children were in households where at least one parent was working.</w:t>
      </w:r>
      <w:r w:rsidR="00FD3728">
        <w:rPr>
          <w:rStyle w:val="FootnoteReference"/>
        </w:rPr>
        <w:footnoteReference w:id="3"/>
      </w:r>
      <w:r>
        <w:t xml:space="preserve"> Thus there are twice as many poor children in working households as there are in households entirely dependent on benefits. </w:t>
      </w:r>
      <w:r w:rsidR="00FD3728">
        <w:t xml:space="preserve">The SDC criteria must therefore be amended to include poor children in working households. </w:t>
      </w:r>
    </w:p>
    <w:p w14:paraId="5E31441B" w14:textId="230EA4AA" w:rsidR="00FD3728" w:rsidRDefault="00FD3728" w:rsidP="00CA60CB">
      <w:pPr>
        <w:pStyle w:val="NICCYBodyTest"/>
        <w:ind w:left="720"/>
      </w:pPr>
    </w:p>
    <w:p w14:paraId="5C847CEB" w14:textId="6D6E5AB9" w:rsidR="001A1F37" w:rsidRDefault="00FD3728" w:rsidP="00CA60CB">
      <w:pPr>
        <w:pStyle w:val="NICCYBodyTest"/>
        <w:ind w:left="720"/>
      </w:pPr>
      <w:r>
        <w:t>As part of the Co-design group for the Anti-Poverty Strategy, NICCY recently requested a</w:t>
      </w:r>
      <w:r w:rsidR="005330FE">
        <w:t xml:space="preserve"> comparison of children </w:t>
      </w:r>
      <w:r w:rsidR="005D1150">
        <w:t xml:space="preserve">in receipt of Free School Meals </w:t>
      </w:r>
      <w:r w:rsidR="00B16448">
        <w:t>with</w:t>
      </w:r>
      <w:r w:rsidR="005D1150">
        <w:t xml:space="preserve"> children living in poverty</w:t>
      </w:r>
      <w:r w:rsidR="00B16448">
        <w:t xml:space="preserve"> using the government poverty measures</w:t>
      </w:r>
      <w:r w:rsidR="005D1150">
        <w:t>. As the table below, provided by NISRA</w:t>
      </w:r>
      <w:r w:rsidR="001A1F37">
        <w:t>, demonstrates, less than a third of children in poverty are in receipt of Free School Meals. The Department’s statistical bulletin ‘School Meals in Northern Ireland 2019/20’ reports that in that year 96,686 pupils were eligible for Free School meals and there was an uptake of 77,210 pupils.</w:t>
      </w:r>
      <w:r w:rsidR="001A1F37">
        <w:rPr>
          <w:rStyle w:val="FootnoteReference"/>
        </w:rPr>
        <w:footnoteReference w:id="4"/>
      </w:r>
    </w:p>
    <w:p w14:paraId="70D293D6" w14:textId="597E5DAB" w:rsidR="005D1150" w:rsidRDefault="005D1150" w:rsidP="002B30A6">
      <w:pPr>
        <w:pStyle w:val="NICCYBodyTest"/>
      </w:pPr>
    </w:p>
    <w:tbl>
      <w:tblPr>
        <w:tblW w:w="9699" w:type="dxa"/>
        <w:tblLook w:val="04A0" w:firstRow="1" w:lastRow="0" w:firstColumn="1" w:lastColumn="0" w:noHBand="0" w:noVBand="1"/>
      </w:tblPr>
      <w:tblGrid>
        <w:gridCol w:w="108"/>
        <w:gridCol w:w="2410"/>
        <w:gridCol w:w="677"/>
        <w:gridCol w:w="1024"/>
        <w:gridCol w:w="700"/>
        <w:gridCol w:w="501"/>
        <w:gridCol w:w="451"/>
        <w:gridCol w:w="226"/>
        <w:gridCol w:w="454"/>
        <w:gridCol w:w="952"/>
        <w:gridCol w:w="704"/>
        <w:gridCol w:w="952"/>
        <w:gridCol w:w="540"/>
      </w:tblGrid>
      <w:tr w:rsidR="005D1150" w:rsidRPr="007E28A5" w14:paraId="71188027" w14:textId="77777777" w:rsidTr="005D1150">
        <w:trPr>
          <w:trHeight w:val="310"/>
        </w:trPr>
        <w:tc>
          <w:tcPr>
            <w:tcW w:w="9159" w:type="dxa"/>
            <w:gridSpan w:val="12"/>
            <w:tcBorders>
              <w:top w:val="nil"/>
              <w:left w:val="nil"/>
              <w:bottom w:val="nil"/>
              <w:right w:val="nil"/>
            </w:tcBorders>
            <w:shd w:val="clear" w:color="FFFFFF" w:fill="FFFFFF"/>
            <w:noWrap/>
            <w:vAlign w:val="bottom"/>
            <w:hideMark/>
          </w:tcPr>
          <w:p w14:paraId="23DE7C8E" w14:textId="0F2DC286" w:rsidR="005D1150" w:rsidRPr="00CE1075" w:rsidRDefault="005D1150" w:rsidP="002B30A6">
            <w:pPr>
              <w:pStyle w:val="NICCYBodyTest"/>
              <w:rPr>
                <w:b/>
                <w:bCs/>
                <w:color w:val="262626" w:themeColor="text1" w:themeTint="D9"/>
              </w:rPr>
            </w:pPr>
            <w:r w:rsidRPr="00CE1075">
              <w:rPr>
                <w:b/>
                <w:bCs/>
                <w:color w:val="262626" w:themeColor="text1" w:themeTint="D9"/>
              </w:rPr>
              <w:t>Percentage and Number of Children in Poverty Receiving / Not Receiving Free School Meals 2016/17 - 2018/19</w:t>
            </w:r>
            <w:r w:rsidR="004A4720" w:rsidRPr="00CE1075">
              <w:rPr>
                <w:rStyle w:val="FootnoteReference"/>
                <w:b/>
                <w:bCs/>
                <w:color w:val="262626" w:themeColor="text1" w:themeTint="D9"/>
              </w:rPr>
              <w:footnoteReference w:id="5"/>
            </w:r>
          </w:p>
        </w:tc>
        <w:tc>
          <w:tcPr>
            <w:tcW w:w="540" w:type="dxa"/>
            <w:tcBorders>
              <w:top w:val="nil"/>
              <w:left w:val="nil"/>
              <w:bottom w:val="nil"/>
              <w:right w:val="nil"/>
            </w:tcBorders>
            <w:shd w:val="clear" w:color="FFFFFF" w:fill="FFFFFF"/>
            <w:noWrap/>
            <w:vAlign w:val="bottom"/>
            <w:hideMark/>
          </w:tcPr>
          <w:p w14:paraId="295D0869" w14:textId="77777777" w:rsidR="005D1150" w:rsidRPr="007E28A5" w:rsidRDefault="005D1150" w:rsidP="002B30A6">
            <w:pPr>
              <w:pStyle w:val="NICCYBodyTest"/>
              <w:rPr>
                <w:rFonts w:ascii="Calibri" w:hAnsi="Calibri" w:cs="Calibri"/>
                <w:color w:val="000000"/>
                <w:sz w:val="22"/>
                <w:szCs w:val="22"/>
              </w:rPr>
            </w:pPr>
            <w:r w:rsidRPr="007E28A5">
              <w:rPr>
                <w:rFonts w:ascii="Calibri" w:hAnsi="Calibri" w:cs="Calibri"/>
                <w:color w:val="000000"/>
                <w:sz w:val="22"/>
                <w:szCs w:val="22"/>
              </w:rPr>
              <w:t> </w:t>
            </w:r>
          </w:p>
        </w:tc>
      </w:tr>
      <w:tr w:rsidR="005D1150" w:rsidRPr="007E28A5" w14:paraId="4BAC3F73" w14:textId="77777777" w:rsidTr="005D1150">
        <w:trPr>
          <w:trHeight w:val="300"/>
        </w:trPr>
        <w:tc>
          <w:tcPr>
            <w:tcW w:w="2518" w:type="dxa"/>
            <w:gridSpan w:val="2"/>
            <w:tcBorders>
              <w:top w:val="nil"/>
              <w:left w:val="nil"/>
              <w:bottom w:val="nil"/>
              <w:right w:val="nil"/>
            </w:tcBorders>
            <w:shd w:val="clear" w:color="FFFFFF" w:fill="FFFFFF"/>
            <w:noWrap/>
            <w:vAlign w:val="bottom"/>
            <w:hideMark/>
          </w:tcPr>
          <w:p w14:paraId="53F95A78" w14:textId="77777777" w:rsidR="005D1150" w:rsidRPr="00CE1075" w:rsidRDefault="005D1150" w:rsidP="002B30A6">
            <w:pPr>
              <w:pStyle w:val="NICCYBodyTest"/>
              <w:rPr>
                <w:rFonts w:ascii="Calibri" w:hAnsi="Calibri" w:cs="Calibri"/>
                <w:color w:val="262626" w:themeColor="text1" w:themeTint="D9"/>
                <w:sz w:val="22"/>
                <w:szCs w:val="22"/>
              </w:rPr>
            </w:pPr>
            <w:r w:rsidRPr="00CE1075">
              <w:rPr>
                <w:rFonts w:ascii="Calibri" w:hAnsi="Calibri" w:cs="Calibri"/>
                <w:color w:val="262626" w:themeColor="text1" w:themeTint="D9"/>
                <w:sz w:val="22"/>
                <w:szCs w:val="22"/>
              </w:rPr>
              <w:t> </w:t>
            </w:r>
          </w:p>
        </w:tc>
        <w:tc>
          <w:tcPr>
            <w:tcW w:w="677" w:type="dxa"/>
            <w:tcBorders>
              <w:top w:val="nil"/>
              <w:left w:val="nil"/>
              <w:bottom w:val="nil"/>
              <w:right w:val="nil"/>
            </w:tcBorders>
            <w:shd w:val="clear" w:color="FFFFFF" w:fill="FFFFFF"/>
            <w:noWrap/>
            <w:vAlign w:val="bottom"/>
            <w:hideMark/>
          </w:tcPr>
          <w:p w14:paraId="201082A4" w14:textId="77777777" w:rsidR="005D1150" w:rsidRPr="00CE1075" w:rsidRDefault="005D1150" w:rsidP="002B30A6">
            <w:pPr>
              <w:pStyle w:val="NICCYBodyTest"/>
              <w:rPr>
                <w:rFonts w:ascii="Calibri" w:hAnsi="Calibri" w:cs="Calibri"/>
                <w:color w:val="262626" w:themeColor="text1" w:themeTint="D9"/>
                <w:sz w:val="22"/>
                <w:szCs w:val="22"/>
              </w:rPr>
            </w:pPr>
            <w:r w:rsidRPr="00CE1075">
              <w:rPr>
                <w:rFonts w:ascii="Calibri" w:hAnsi="Calibri" w:cs="Calibri"/>
                <w:color w:val="262626" w:themeColor="text1" w:themeTint="D9"/>
                <w:sz w:val="22"/>
                <w:szCs w:val="22"/>
              </w:rPr>
              <w:t> </w:t>
            </w:r>
          </w:p>
        </w:tc>
        <w:tc>
          <w:tcPr>
            <w:tcW w:w="1024" w:type="dxa"/>
            <w:tcBorders>
              <w:top w:val="nil"/>
              <w:left w:val="nil"/>
              <w:bottom w:val="nil"/>
              <w:right w:val="nil"/>
            </w:tcBorders>
            <w:shd w:val="clear" w:color="FFFFFF" w:fill="FFFFFF"/>
            <w:noWrap/>
            <w:vAlign w:val="bottom"/>
            <w:hideMark/>
          </w:tcPr>
          <w:p w14:paraId="34708746" w14:textId="77777777" w:rsidR="005D1150" w:rsidRPr="00CE1075" w:rsidRDefault="005D1150" w:rsidP="002B30A6">
            <w:pPr>
              <w:pStyle w:val="NICCYBodyTest"/>
              <w:rPr>
                <w:rFonts w:ascii="Calibri" w:hAnsi="Calibri" w:cs="Calibri"/>
                <w:color w:val="262626" w:themeColor="text1" w:themeTint="D9"/>
                <w:sz w:val="22"/>
                <w:szCs w:val="22"/>
              </w:rPr>
            </w:pPr>
            <w:r w:rsidRPr="00CE1075">
              <w:rPr>
                <w:rFonts w:ascii="Calibri" w:hAnsi="Calibri" w:cs="Calibri"/>
                <w:color w:val="262626" w:themeColor="text1" w:themeTint="D9"/>
                <w:sz w:val="22"/>
                <w:szCs w:val="22"/>
              </w:rPr>
              <w:t> </w:t>
            </w:r>
          </w:p>
        </w:tc>
        <w:tc>
          <w:tcPr>
            <w:tcW w:w="700" w:type="dxa"/>
            <w:tcBorders>
              <w:top w:val="nil"/>
              <w:left w:val="nil"/>
              <w:bottom w:val="nil"/>
              <w:right w:val="nil"/>
            </w:tcBorders>
            <w:shd w:val="clear" w:color="FFFFFF" w:fill="FFFFFF"/>
            <w:noWrap/>
            <w:vAlign w:val="bottom"/>
            <w:hideMark/>
          </w:tcPr>
          <w:p w14:paraId="5C025D06" w14:textId="77777777" w:rsidR="005D1150" w:rsidRPr="00CE1075" w:rsidRDefault="005D1150" w:rsidP="002B30A6">
            <w:pPr>
              <w:pStyle w:val="NICCYBodyTest"/>
              <w:rPr>
                <w:rFonts w:ascii="Calibri" w:hAnsi="Calibri" w:cs="Calibri"/>
                <w:color w:val="262626" w:themeColor="text1" w:themeTint="D9"/>
                <w:sz w:val="22"/>
                <w:szCs w:val="22"/>
              </w:rPr>
            </w:pPr>
            <w:r w:rsidRPr="00CE1075">
              <w:rPr>
                <w:rFonts w:ascii="Calibri" w:hAnsi="Calibri" w:cs="Calibri"/>
                <w:color w:val="262626" w:themeColor="text1" w:themeTint="D9"/>
                <w:sz w:val="22"/>
                <w:szCs w:val="22"/>
              </w:rPr>
              <w:t> </w:t>
            </w:r>
          </w:p>
        </w:tc>
        <w:tc>
          <w:tcPr>
            <w:tcW w:w="952" w:type="dxa"/>
            <w:gridSpan w:val="2"/>
            <w:tcBorders>
              <w:top w:val="nil"/>
              <w:left w:val="nil"/>
              <w:bottom w:val="nil"/>
              <w:right w:val="nil"/>
            </w:tcBorders>
            <w:shd w:val="clear" w:color="FFFFFF" w:fill="FFFFFF"/>
            <w:noWrap/>
            <w:vAlign w:val="bottom"/>
            <w:hideMark/>
          </w:tcPr>
          <w:p w14:paraId="61B78BCA" w14:textId="77777777" w:rsidR="005D1150" w:rsidRPr="00CE1075" w:rsidRDefault="005D1150" w:rsidP="002B30A6">
            <w:pPr>
              <w:pStyle w:val="NICCYBodyTest"/>
              <w:rPr>
                <w:rFonts w:ascii="Calibri" w:hAnsi="Calibri" w:cs="Calibri"/>
                <w:color w:val="262626" w:themeColor="text1" w:themeTint="D9"/>
                <w:sz w:val="22"/>
                <w:szCs w:val="22"/>
              </w:rPr>
            </w:pPr>
            <w:r w:rsidRPr="00CE1075">
              <w:rPr>
                <w:rFonts w:ascii="Calibri" w:hAnsi="Calibri" w:cs="Calibri"/>
                <w:color w:val="262626" w:themeColor="text1" w:themeTint="D9"/>
                <w:sz w:val="22"/>
                <w:szCs w:val="22"/>
              </w:rPr>
              <w:t> </w:t>
            </w:r>
          </w:p>
        </w:tc>
        <w:tc>
          <w:tcPr>
            <w:tcW w:w="680" w:type="dxa"/>
            <w:gridSpan w:val="2"/>
            <w:tcBorders>
              <w:top w:val="nil"/>
              <w:left w:val="nil"/>
              <w:bottom w:val="nil"/>
              <w:right w:val="nil"/>
            </w:tcBorders>
            <w:shd w:val="clear" w:color="FFFFFF" w:fill="FFFFFF"/>
            <w:noWrap/>
            <w:vAlign w:val="bottom"/>
            <w:hideMark/>
          </w:tcPr>
          <w:p w14:paraId="597AB1B4" w14:textId="77777777" w:rsidR="005D1150" w:rsidRPr="00CE1075" w:rsidRDefault="005D1150" w:rsidP="002B30A6">
            <w:pPr>
              <w:pStyle w:val="NICCYBodyTest"/>
              <w:rPr>
                <w:rFonts w:ascii="Calibri" w:hAnsi="Calibri" w:cs="Calibri"/>
                <w:color w:val="262626" w:themeColor="text1" w:themeTint="D9"/>
                <w:sz w:val="22"/>
                <w:szCs w:val="22"/>
              </w:rPr>
            </w:pPr>
            <w:r w:rsidRPr="00CE1075">
              <w:rPr>
                <w:rFonts w:ascii="Calibri" w:hAnsi="Calibri" w:cs="Calibri"/>
                <w:color w:val="262626" w:themeColor="text1" w:themeTint="D9"/>
                <w:sz w:val="22"/>
                <w:szCs w:val="22"/>
              </w:rPr>
              <w:t> </w:t>
            </w:r>
          </w:p>
        </w:tc>
        <w:tc>
          <w:tcPr>
            <w:tcW w:w="952" w:type="dxa"/>
            <w:tcBorders>
              <w:top w:val="nil"/>
              <w:left w:val="nil"/>
              <w:bottom w:val="nil"/>
              <w:right w:val="nil"/>
            </w:tcBorders>
            <w:shd w:val="clear" w:color="FFFFFF" w:fill="FFFFFF"/>
            <w:noWrap/>
            <w:vAlign w:val="bottom"/>
            <w:hideMark/>
          </w:tcPr>
          <w:p w14:paraId="530020C1" w14:textId="77777777" w:rsidR="005D1150" w:rsidRPr="007E28A5" w:rsidRDefault="005D1150" w:rsidP="002B30A6">
            <w:pPr>
              <w:pStyle w:val="NICCYBodyTest"/>
              <w:rPr>
                <w:rFonts w:ascii="Calibri" w:hAnsi="Calibri" w:cs="Calibri"/>
                <w:color w:val="000000"/>
                <w:sz w:val="22"/>
                <w:szCs w:val="22"/>
              </w:rPr>
            </w:pPr>
            <w:r w:rsidRPr="007E28A5">
              <w:rPr>
                <w:rFonts w:ascii="Calibri" w:hAnsi="Calibri" w:cs="Calibri"/>
                <w:color w:val="000000"/>
                <w:sz w:val="22"/>
                <w:szCs w:val="22"/>
              </w:rPr>
              <w:t> </w:t>
            </w:r>
          </w:p>
        </w:tc>
        <w:tc>
          <w:tcPr>
            <w:tcW w:w="704" w:type="dxa"/>
            <w:tcBorders>
              <w:top w:val="nil"/>
              <w:left w:val="nil"/>
              <w:bottom w:val="nil"/>
              <w:right w:val="nil"/>
            </w:tcBorders>
            <w:shd w:val="clear" w:color="FFFFFF" w:fill="FFFFFF"/>
            <w:noWrap/>
            <w:vAlign w:val="bottom"/>
            <w:hideMark/>
          </w:tcPr>
          <w:p w14:paraId="46F56833" w14:textId="77777777" w:rsidR="005D1150" w:rsidRPr="007E28A5" w:rsidRDefault="005D1150" w:rsidP="002B30A6">
            <w:pPr>
              <w:pStyle w:val="NICCYBodyTest"/>
              <w:rPr>
                <w:rFonts w:ascii="Calibri" w:hAnsi="Calibri" w:cs="Calibri"/>
                <w:color w:val="000000"/>
                <w:sz w:val="22"/>
                <w:szCs w:val="22"/>
              </w:rPr>
            </w:pPr>
            <w:r w:rsidRPr="007E28A5">
              <w:rPr>
                <w:rFonts w:ascii="Calibri" w:hAnsi="Calibri" w:cs="Calibri"/>
                <w:color w:val="000000"/>
                <w:sz w:val="22"/>
                <w:szCs w:val="22"/>
              </w:rPr>
              <w:t> </w:t>
            </w:r>
          </w:p>
        </w:tc>
        <w:tc>
          <w:tcPr>
            <w:tcW w:w="952" w:type="dxa"/>
            <w:tcBorders>
              <w:top w:val="nil"/>
              <w:left w:val="nil"/>
              <w:bottom w:val="nil"/>
              <w:right w:val="nil"/>
            </w:tcBorders>
            <w:shd w:val="clear" w:color="FFFFFF" w:fill="FFFFFF"/>
            <w:noWrap/>
            <w:vAlign w:val="bottom"/>
            <w:hideMark/>
          </w:tcPr>
          <w:p w14:paraId="4FAB4F6F" w14:textId="77777777" w:rsidR="005D1150" w:rsidRPr="007E28A5" w:rsidRDefault="005D1150" w:rsidP="002B30A6">
            <w:pPr>
              <w:pStyle w:val="NICCYBodyTest"/>
              <w:rPr>
                <w:rFonts w:ascii="Calibri" w:hAnsi="Calibri" w:cs="Calibri"/>
                <w:color w:val="000000"/>
                <w:sz w:val="22"/>
                <w:szCs w:val="22"/>
              </w:rPr>
            </w:pPr>
            <w:r w:rsidRPr="007E28A5">
              <w:rPr>
                <w:rFonts w:ascii="Calibri" w:hAnsi="Calibri" w:cs="Calibri"/>
                <w:color w:val="000000"/>
                <w:sz w:val="22"/>
                <w:szCs w:val="22"/>
              </w:rPr>
              <w:t> </w:t>
            </w:r>
          </w:p>
        </w:tc>
        <w:tc>
          <w:tcPr>
            <w:tcW w:w="540" w:type="dxa"/>
            <w:tcBorders>
              <w:top w:val="nil"/>
              <w:left w:val="nil"/>
              <w:bottom w:val="nil"/>
              <w:right w:val="nil"/>
            </w:tcBorders>
            <w:shd w:val="clear" w:color="FFFFFF" w:fill="FFFFFF"/>
            <w:noWrap/>
            <w:vAlign w:val="bottom"/>
            <w:hideMark/>
          </w:tcPr>
          <w:p w14:paraId="7A13262B" w14:textId="77777777" w:rsidR="005D1150" w:rsidRPr="007E28A5" w:rsidRDefault="005D1150" w:rsidP="002B30A6">
            <w:pPr>
              <w:pStyle w:val="NICCYBodyTest"/>
              <w:rPr>
                <w:rFonts w:ascii="Calibri" w:hAnsi="Calibri" w:cs="Calibri"/>
                <w:color w:val="000000"/>
                <w:sz w:val="22"/>
                <w:szCs w:val="22"/>
              </w:rPr>
            </w:pPr>
            <w:r w:rsidRPr="007E28A5">
              <w:rPr>
                <w:rFonts w:ascii="Calibri" w:hAnsi="Calibri" w:cs="Calibri"/>
                <w:color w:val="000000"/>
                <w:sz w:val="22"/>
                <w:szCs w:val="22"/>
              </w:rPr>
              <w:t> </w:t>
            </w:r>
          </w:p>
        </w:tc>
      </w:tr>
      <w:tr w:rsidR="005D1150" w:rsidRPr="007E28A5" w14:paraId="09589491" w14:textId="77777777" w:rsidTr="005D1150">
        <w:trPr>
          <w:trHeight w:val="290"/>
        </w:trPr>
        <w:tc>
          <w:tcPr>
            <w:tcW w:w="2518" w:type="dxa"/>
            <w:gridSpan w:val="2"/>
            <w:vMerge w:val="restart"/>
            <w:tcBorders>
              <w:top w:val="single" w:sz="8" w:space="0" w:color="auto"/>
              <w:left w:val="single" w:sz="8" w:space="0" w:color="auto"/>
              <w:bottom w:val="single" w:sz="4" w:space="0" w:color="000000"/>
              <w:right w:val="single" w:sz="4" w:space="0" w:color="auto"/>
            </w:tcBorders>
            <w:shd w:val="clear" w:color="FFFFFF" w:fill="FFFFFF"/>
            <w:noWrap/>
            <w:vAlign w:val="center"/>
            <w:hideMark/>
          </w:tcPr>
          <w:p w14:paraId="2A0AF41F" w14:textId="77777777" w:rsidR="005D1150" w:rsidRPr="00CE1075" w:rsidRDefault="005D1150" w:rsidP="002B30A6">
            <w:pPr>
              <w:pStyle w:val="NICCYBodyTest"/>
              <w:rPr>
                <w:rFonts w:ascii="Calibri" w:hAnsi="Calibri" w:cs="Calibri"/>
                <w:b/>
                <w:bCs/>
                <w:color w:val="262626" w:themeColor="text1" w:themeTint="D9"/>
                <w:sz w:val="22"/>
                <w:szCs w:val="22"/>
              </w:rPr>
            </w:pPr>
            <w:r w:rsidRPr="00CE1075">
              <w:rPr>
                <w:rFonts w:ascii="Calibri" w:hAnsi="Calibri" w:cs="Calibri"/>
                <w:b/>
                <w:bCs/>
                <w:color w:val="262626" w:themeColor="text1" w:themeTint="D9"/>
                <w:sz w:val="22"/>
                <w:szCs w:val="22"/>
              </w:rPr>
              <w:t>Free School Meal Status</w:t>
            </w:r>
          </w:p>
        </w:tc>
        <w:tc>
          <w:tcPr>
            <w:tcW w:w="1701" w:type="dxa"/>
            <w:gridSpan w:val="2"/>
            <w:tcBorders>
              <w:top w:val="single" w:sz="8" w:space="0" w:color="auto"/>
              <w:left w:val="nil"/>
              <w:bottom w:val="single" w:sz="4" w:space="0" w:color="auto"/>
              <w:right w:val="single" w:sz="4" w:space="0" w:color="000000"/>
            </w:tcBorders>
            <w:shd w:val="clear" w:color="FFFFFF" w:fill="FFFFFF"/>
            <w:noWrap/>
            <w:vAlign w:val="bottom"/>
            <w:hideMark/>
          </w:tcPr>
          <w:p w14:paraId="01441ED5" w14:textId="77777777" w:rsidR="005D1150" w:rsidRPr="00CE1075" w:rsidRDefault="005D1150" w:rsidP="002B30A6">
            <w:pPr>
              <w:pStyle w:val="NICCYBodyTest"/>
              <w:rPr>
                <w:rFonts w:ascii="Calibri" w:hAnsi="Calibri" w:cs="Calibri"/>
                <w:b/>
                <w:bCs/>
                <w:color w:val="262626" w:themeColor="text1" w:themeTint="D9"/>
                <w:sz w:val="22"/>
                <w:szCs w:val="22"/>
              </w:rPr>
            </w:pPr>
            <w:r w:rsidRPr="00CE1075">
              <w:rPr>
                <w:rFonts w:ascii="Calibri" w:hAnsi="Calibri" w:cs="Calibri"/>
                <w:b/>
                <w:bCs/>
                <w:color w:val="262626" w:themeColor="text1" w:themeTint="D9"/>
                <w:sz w:val="22"/>
                <w:szCs w:val="22"/>
              </w:rPr>
              <w:t>Relative Poverty (BHC)</w:t>
            </w:r>
          </w:p>
        </w:tc>
        <w:tc>
          <w:tcPr>
            <w:tcW w:w="1652" w:type="dxa"/>
            <w:gridSpan w:val="3"/>
            <w:tcBorders>
              <w:top w:val="single" w:sz="8" w:space="0" w:color="auto"/>
              <w:left w:val="nil"/>
              <w:bottom w:val="single" w:sz="4" w:space="0" w:color="auto"/>
              <w:right w:val="single" w:sz="4" w:space="0" w:color="000000"/>
            </w:tcBorders>
            <w:shd w:val="clear" w:color="FFFFFF" w:fill="FFFFFF"/>
            <w:noWrap/>
            <w:vAlign w:val="bottom"/>
            <w:hideMark/>
          </w:tcPr>
          <w:p w14:paraId="2D5F957D" w14:textId="77777777" w:rsidR="005D1150" w:rsidRPr="00CE1075" w:rsidRDefault="005D1150" w:rsidP="002B30A6">
            <w:pPr>
              <w:pStyle w:val="NICCYBodyTest"/>
              <w:rPr>
                <w:rFonts w:ascii="Calibri" w:hAnsi="Calibri" w:cs="Calibri"/>
                <w:b/>
                <w:bCs/>
                <w:color w:val="262626" w:themeColor="text1" w:themeTint="D9"/>
                <w:sz w:val="22"/>
                <w:szCs w:val="22"/>
              </w:rPr>
            </w:pPr>
            <w:r w:rsidRPr="00CE1075">
              <w:rPr>
                <w:rFonts w:ascii="Calibri" w:hAnsi="Calibri" w:cs="Calibri"/>
                <w:b/>
                <w:bCs/>
                <w:color w:val="262626" w:themeColor="text1" w:themeTint="D9"/>
                <w:sz w:val="22"/>
                <w:szCs w:val="22"/>
              </w:rPr>
              <w:t>Absolute Poverty (BHC)</w:t>
            </w:r>
          </w:p>
        </w:tc>
        <w:tc>
          <w:tcPr>
            <w:tcW w:w="1632" w:type="dxa"/>
            <w:gridSpan w:val="3"/>
            <w:tcBorders>
              <w:top w:val="single" w:sz="8" w:space="0" w:color="auto"/>
              <w:left w:val="nil"/>
              <w:bottom w:val="single" w:sz="4" w:space="0" w:color="auto"/>
              <w:right w:val="single" w:sz="4" w:space="0" w:color="000000"/>
            </w:tcBorders>
            <w:shd w:val="clear" w:color="FFFFFF" w:fill="FFFFFF"/>
            <w:noWrap/>
            <w:vAlign w:val="bottom"/>
            <w:hideMark/>
          </w:tcPr>
          <w:p w14:paraId="46F6BA85" w14:textId="77777777" w:rsidR="005D1150" w:rsidRPr="00CE1075" w:rsidRDefault="005D1150" w:rsidP="002B30A6">
            <w:pPr>
              <w:pStyle w:val="NICCYBodyTest"/>
              <w:rPr>
                <w:rFonts w:ascii="Calibri" w:hAnsi="Calibri" w:cs="Calibri"/>
                <w:b/>
                <w:bCs/>
                <w:color w:val="262626" w:themeColor="text1" w:themeTint="D9"/>
                <w:sz w:val="22"/>
                <w:szCs w:val="22"/>
              </w:rPr>
            </w:pPr>
            <w:r w:rsidRPr="00CE1075">
              <w:rPr>
                <w:rFonts w:ascii="Calibri" w:hAnsi="Calibri" w:cs="Calibri"/>
                <w:b/>
                <w:bCs/>
                <w:color w:val="262626" w:themeColor="text1" w:themeTint="D9"/>
                <w:sz w:val="22"/>
                <w:szCs w:val="22"/>
              </w:rPr>
              <w:t>Relative Poverty (AHC)</w:t>
            </w:r>
          </w:p>
        </w:tc>
        <w:tc>
          <w:tcPr>
            <w:tcW w:w="1656" w:type="dxa"/>
            <w:gridSpan w:val="2"/>
            <w:tcBorders>
              <w:top w:val="single" w:sz="8" w:space="0" w:color="auto"/>
              <w:left w:val="nil"/>
              <w:bottom w:val="single" w:sz="4" w:space="0" w:color="auto"/>
              <w:right w:val="single" w:sz="8" w:space="0" w:color="000000"/>
            </w:tcBorders>
            <w:shd w:val="clear" w:color="FFFFFF" w:fill="FFFFFF"/>
            <w:noWrap/>
            <w:vAlign w:val="bottom"/>
            <w:hideMark/>
          </w:tcPr>
          <w:p w14:paraId="025E6B0E" w14:textId="77777777" w:rsidR="005D1150" w:rsidRPr="00CE1075" w:rsidRDefault="005D1150" w:rsidP="002B30A6">
            <w:pPr>
              <w:pStyle w:val="NICCYBodyTest"/>
              <w:rPr>
                <w:rFonts w:ascii="Calibri" w:hAnsi="Calibri" w:cs="Calibri"/>
                <w:b/>
                <w:bCs/>
                <w:color w:val="262626" w:themeColor="text1" w:themeTint="D9"/>
                <w:sz w:val="22"/>
                <w:szCs w:val="22"/>
              </w:rPr>
            </w:pPr>
            <w:r w:rsidRPr="00CE1075">
              <w:rPr>
                <w:rFonts w:ascii="Calibri" w:hAnsi="Calibri" w:cs="Calibri"/>
                <w:b/>
                <w:bCs/>
                <w:color w:val="262626" w:themeColor="text1" w:themeTint="D9"/>
                <w:sz w:val="22"/>
                <w:szCs w:val="22"/>
              </w:rPr>
              <w:t>Absolute Poverty (AHC)</w:t>
            </w:r>
          </w:p>
        </w:tc>
        <w:tc>
          <w:tcPr>
            <w:tcW w:w="540" w:type="dxa"/>
            <w:tcBorders>
              <w:top w:val="nil"/>
              <w:left w:val="nil"/>
              <w:bottom w:val="nil"/>
              <w:right w:val="nil"/>
            </w:tcBorders>
            <w:shd w:val="clear" w:color="FFFFFF" w:fill="FFFFFF"/>
            <w:noWrap/>
            <w:vAlign w:val="bottom"/>
            <w:hideMark/>
          </w:tcPr>
          <w:p w14:paraId="7B3DB513" w14:textId="77777777" w:rsidR="005D1150" w:rsidRPr="007E28A5" w:rsidRDefault="005D1150" w:rsidP="002B30A6">
            <w:pPr>
              <w:pStyle w:val="NICCYBodyTest"/>
              <w:rPr>
                <w:rFonts w:ascii="Calibri" w:hAnsi="Calibri" w:cs="Calibri"/>
                <w:color w:val="000000"/>
                <w:sz w:val="22"/>
                <w:szCs w:val="22"/>
              </w:rPr>
            </w:pPr>
            <w:r w:rsidRPr="007E28A5">
              <w:rPr>
                <w:rFonts w:ascii="Calibri" w:hAnsi="Calibri" w:cs="Calibri"/>
                <w:color w:val="000000"/>
                <w:sz w:val="22"/>
                <w:szCs w:val="22"/>
              </w:rPr>
              <w:t> </w:t>
            </w:r>
          </w:p>
        </w:tc>
      </w:tr>
      <w:tr w:rsidR="005D1150" w:rsidRPr="007E28A5" w14:paraId="766525A8" w14:textId="77777777" w:rsidTr="005D1150">
        <w:trPr>
          <w:trHeight w:val="290"/>
        </w:trPr>
        <w:tc>
          <w:tcPr>
            <w:tcW w:w="2518" w:type="dxa"/>
            <w:gridSpan w:val="2"/>
            <w:vMerge/>
            <w:tcBorders>
              <w:top w:val="single" w:sz="8" w:space="0" w:color="auto"/>
              <w:left w:val="single" w:sz="8" w:space="0" w:color="auto"/>
              <w:bottom w:val="single" w:sz="4" w:space="0" w:color="000000"/>
              <w:right w:val="single" w:sz="4" w:space="0" w:color="auto"/>
            </w:tcBorders>
            <w:vAlign w:val="center"/>
            <w:hideMark/>
          </w:tcPr>
          <w:p w14:paraId="2648300E" w14:textId="77777777" w:rsidR="005D1150" w:rsidRPr="00CE1075" w:rsidRDefault="005D1150" w:rsidP="002B30A6">
            <w:pPr>
              <w:pStyle w:val="NICCYBodyTest"/>
              <w:rPr>
                <w:rFonts w:ascii="Calibri" w:hAnsi="Calibri" w:cs="Calibri"/>
                <w:b/>
                <w:bCs/>
                <w:color w:val="262626" w:themeColor="text1" w:themeTint="D9"/>
                <w:sz w:val="22"/>
                <w:szCs w:val="22"/>
              </w:rPr>
            </w:pPr>
          </w:p>
        </w:tc>
        <w:tc>
          <w:tcPr>
            <w:tcW w:w="677" w:type="dxa"/>
            <w:tcBorders>
              <w:top w:val="nil"/>
              <w:left w:val="nil"/>
              <w:bottom w:val="single" w:sz="4" w:space="0" w:color="auto"/>
              <w:right w:val="single" w:sz="4" w:space="0" w:color="auto"/>
            </w:tcBorders>
            <w:shd w:val="clear" w:color="auto" w:fill="auto"/>
            <w:noWrap/>
            <w:vAlign w:val="bottom"/>
            <w:hideMark/>
          </w:tcPr>
          <w:p w14:paraId="3A685776" w14:textId="77777777" w:rsidR="005D1150" w:rsidRPr="00CE1075" w:rsidRDefault="005D1150" w:rsidP="002B30A6">
            <w:pPr>
              <w:pStyle w:val="NICCYBodyTest"/>
              <w:rPr>
                <w:rFonts w:ascii="Calibri" w:hAnsi="Calibri" w:cs="Calibri"/>
                <w:color w:val="262626" w:themeColor="text1" w:themeTint="D9"/>
                <w:sz w:val="22"/>
                <w:szCs w:val="22"/>
              </w:rPr>
            </w:pPr>
            <w:r w:rsidRPr="00CE1075">
              <w:rPr>
                <w:rFonts w:ascii="Calibri" w:hAnsi="Calibri" w:cs="Calibri"/>
                <w:color w:val="262626" w:themeColor="text1" w:themeTint="D9"/>
                <w:sz w:val="22"/>
                <w:szCs w:val="22"/>
              </w:rPr>
              <w:t>%</w:t>
            </w:r>
          </w:p>
        </w:tc>
        <w:tc>
          <w:tcPr>
            <w:tcW w:w="1024" w:type="dxa"/>
            <w:tcBorders>
              <w:top w:val="nil"/>
              <w:left w:val="nil"/>
              <w:bottom w:val="single" w:sz="4" w:space="0" w:color="auto"/>
              <w:right w:val="single" w:sz="4" w:space="0" w:color="auto"/>
            </w:tcBorders>
            <w:shd w:val="clear" w:color="auto" w:fill="auto"/>
            <w:noWrap/>
            <w:vAlign w:val="bottom"/>
            <w:hideMark/>
          </w:tcPr>
          <w:p w14:paraId="4FF0238E" w14:textId="77777777" w:rsidR="005D1150" w:rsidRPr="00CE1075" w:rsidRDefault="005D1150" w:rsidP="002B30A6">
            <w:pPr>
              <w:pStyle w:val="NICCYBodyTest"/>
              <w:rPr>
                <w:rFonts w:ascii="Calibri" w:hAnsi="Calibri" w:cs="Calibri"/>
                <w:color w:val="262626" w:themeColor="text1" w:themeTint="D9"/>
                <w:sz w:val="22"/>
                <w:szCs w:val="22"/>
              </w:rPr>
            </w:pPr>
            <w:r w:rsidRPr="00CE1075">
              <w:rPr>
                <w:rFonts w:ascii="Calibri" w:hAnsi="Calibri" w:cs="Calibri"/>
                <w:color w:val="262626" w:themeColor="text1" w:themeTint="D9"/>
                <w:sz w:val="22"/>
                <w:szCs w:val="22"/>
              </w:rPr>
              <w:t>Number</w:t>
            </w:r>
          </w:p>
        </w:tc>
        <w:tc>
          <w:tcPr>
            <w:tcW w:w="700" w:type="dxa"/>
            <w:tcBorders>
              <w:top w:val="nil"/>
              <w:left w:val="nil"/>
              <w:bottom w:val="single" w:sz="4" w:space="0" w:color="auto"/>
              <w:right w:val="single" w:sz="4" w:space="0" w:color="auto"/>
            </w:tcBorders>
            <w:shd w:val="clear" w:color="auto" w:fill="auto"/>
            <w:noWrap/>
            <w:vAlign w:val="bottom"/>
            <w:hideMark/>
          </w:tcPr>
          <w:p w14:paraId="4A90E8AF" w14:textId="77777777" w:rsidR="005D1150" w:rsidRPr="00CE1075" w:rsidRDefault="005D1150" w:rsidP="002B30A6">
            <w:pPr>
              <w:pStyle w:val="NICCYBodyTest"/>
              <w:rPr>
                <w:rFonts w:ascii="Calibri" w:hAnsi="Calibri" w:cs="Calibri"/>
                <w:color w:val="262626" w:themeColor="text1" w:themeTint="D9"/>
                <w:sz w:val="22"/>
                <w:szCs w:val="22"/>
              </w:rPr>
            </w:pPr>
            <w:r w:rsidRPr="00CE1075">
              <w:rPr>
                <w:rFonts w:ascii="Calibri" w:hAnsi="Calibri" w:cs="Calibri"/>
                <w:color w:val="262626" w:themeColor="text1" w:themeTint="D9"/>
                <w:sz w:val="22"/>
                <w:szCs w:val="22"/>
              </w:rPr>
              <w:t>%</w:t>
            </w:r>
          </w:p>
        </w:tc>
        <w:tc>
          <w:tcPr>
            <w:tcW w:w="952" w:type="dxa"/>
            <w:gridSpan w:val="2"/>
            <w:tcBorders>
              <w:top w:val="nil"/>
              <w:left w:val="nil"/>
              <w:bottom w:val="single" w:sz="4" w:space="0" w:color="auto"/>
              <w:right w:val="single" w:sz="4" w:space="0" w:color="auto"/>
            </w:tcBorders>
            <w:shd w:val="clear" w:color="auto" w:fill="auto"/>
            <w:noWrap/>
            <w:vAlign w:val="bottom"/>
            <w:hideMark/>
          </w:tcPr>
          <w:p w14:paraId="343B6335" w14:textId="77777777" w:rsidR="005D1150" w:rsidRPr="00CE1075" w:rsidRDefault="005D1150" w:rsidP="002B30A6">
            <w:pPr>
              <w:pStyle w:val="NICCYBodyTest"/>
              <w:rPr>
                <w:rFonts w:ascii="Calibri" w:hAnsi="Calibri" w:cs="Calibri"/>
                <w:color w:val="262626" w:themeColor="text1" w:themeTint="D9"/>
                <w:sz w:val="22"/>
                <w:szCs w:val="22"/>
              </w:rPr>
            </w:pPr>
            <w:r w:rsidRPr="00CE1075">
              <w:rPr>
                <w:rFonts w:ascii="Calibri" w:hAnsi="Calibri" w:cs="Calibri"/>
                <w:color w:val="262626" w:themeColor="text1" w:themeTint="D9"/>
                <w:sz w:val="22"/>
                <w:szCs w:val="22"/>
              </w:rPr>
              <w:t>Number</w:t>
            </w:r>
          </w:p>
        </w:tc>
        <w:tc>
          <w:tcPr>
            <w:tcW w:w="680" w:type="dxa"/>
            <w:gridSpan w:val="2"/>
            <w:tcBorders>
              <w:top w:val="nil"/>
              <w:left w:val="nil"/>
              <w:bottom w:val="single" w:sz="4" w:space="0" w:color="auto"/>
              <w:right w:val="single" w:sz="4" w:space="0" w:color="auto"/>
            </w:tcBorders>
            <w:shd w:val="clear" w:color="auto" w:fill="auto"/>
            <w:noWrap/>
            <w:vAlign w:val="bottom"/>
            <w:hideMark/>
          </w:tcPr>
          <w:p w14:paraId="6559B5BA" w14:textId="77777777" w:rsidR="005D1150" w:rsidRPr="00CE1075" w:rsidRDefault="005D1150" w:rsidP="002B30A6">
            <w:pPr>
              <w:pStyle w:val="NICCYBodyTest"/>
              <w:rPr>
                <w:rFonts w:ascii="Calibri" w:hAnsi="Calibri" w:cs="Calibri"/>
                <w:color w:val="262626" w:themeColor="text1" w:themeTint="D9"/>
                <w:sz w:val="22"/>
                <w:szCs w:val="22"/>
              </w:rPr>
            </w:pPr>
            <w:r w:rsidRPr="00CE1075">
              <w:rPr>
                <w:rFonts w:ascii="Calibri" w:hAnsi="Calibri" w:cs="Calibri"/>
                <w:color w:val="262626" w:themeColor="text1" w:themeTint="D9"/>
                <w:sz w:val="22"/>
                <w:szCs w:val="22"/>
              </w:rPr>
              <w:t>%</w:t>
            </w:r>
          </w:p>
        </w:tc>
        <w:tc>
          <w:tcPr>
            <w:tcW w:w="952" w:type="dxa"/>
            <w:tcBorders>
              <w:top w:val="nil"/>
              <w:left w:val="nil"/>
              <w:bottom w:val="single" w:sz="4" w:space="0" w:color="auto"/>
              <w:right w:val="single" w:sz="4" w:space="0" w:color="auto"/>
            </w:tcBorders>
            <w:shd w:val="clear" w:color="auto" w:fill="auto"/>
            <w:noWrap/>
            <w:vAlign w:val="bottom"/>
            <w:hideMark/>
          </w:tcPr>
          <w:p w14:paraId="3D9D99BB" w14:textId="77777777" w:rsidR="005D1150" w:rsidRPr="007E28A5" w:rsidRDefault="005D1150" w:rsidP="002B30A6">
            <w:pPr>
              <w:pStyle w:val="NICCYBodyTest"/>
              <w:rPr>
                <w:rFonts w:ascii="Calibri" w:hAnsi="Calibri" w:cs="Calibri"/>
                <w:color w:val="000000"/>
                <w:sz w:val="22"/>
                <w:szCs w:val="22"/>
              </w:rPr>
            </w:pPr>
            <w:r w:rsidRPr="007E28A5">
              <w:rPr>
                <w:rFonts w:ascii="Calibri" w:hAnsi="Calibri" w:cs="Calibri"/>
                <w:color w:val="000000"/>
                <w:sz w:val="22"/>
                <w:szCs w:val="22"/>
              </w:rPr>
              <w:t>Number</w:t>
            </w:r>
          </w:p>
        </w:tc>
        <w:tc>
          <w:tcPr>
            <w:tcW w:w="704" w:type="dxa"/>
            <w:tcBorders>
              <w:top w:val="nil"/>
              <w:left w:val="nil"/>
              <w:bottom w:val="single" w:sz="4" w:space="0" w:color="auto"/>
              <w:right w:val="single" w:sz="4" w:space="0" w:color="auto"/>
            </w:tcBorders>
            <w:shd w:val="clear" w:color="auto" w:fill="auto"/>
            <w:noWrap/>
            <w:vAlign w:val="bottom"/>
            <w:hideMark/>
          </w:tcPr>
          <w:p w14:paraId="621F69C2" w14:textId="77777777" w:rsidR="005D1150" w:rsidRPr="00CE1075" w:rsidRDefault="005D1150" w:rsidP="002B30A6">
            <w:pPr>
              <w:pStyle w:val="NICCYBodyTest"/>
              <w:rPr>
                <w:rFonts w:ascii="Calibri" w:hAnsi="Calibri" w:cs="Calibri"/>
                <w:color w:val="262626" w:themeColor="text1" w:themeTint="D9"/>
                <w:sz w:val="22"/>
                <w:szCs w:val="22"/>
              </w:rPr>
            </w:pPr>
            <w:r w:rsidRPr="00CE1075">
              <w:rPr>
                <w:rFonts w:ascii="Calibri" w:hAnsi="Calibri" w:cs="Calibri"/>
                <w:color w:val="262626" w:themeColor="text1" w:themeTint="D9"/>
                <w:sz w:val="22"/>
                <w:szCs w:val="22"/>
              </w:rPr>
              <w:t>%</w:t>
            </w:r>
          </w:p>
        </w:tc>
        <w:tc>
          <w:tcPr>
            <w:tcW w:w="952" w:type="dxa"/>
            <w:tcBorders>
              <w:top w:val="nil"/>
              <w:left w:val="nil"/>
              <w:bottom w:val="single" w:sz="4" w:space="0" w:color="auto"/>
              <w:right w:val="single" w:sz="8" w:space="0" w:color="auto"/>
            </w:tcBorders>
            <w:shd w:val="clear" w:color="auto" w:fill="auto"/>
            <w:noWrap/>
            <w:vAlign w:val="bottom"/>
            <w:hideMark/>
          </w:tcPr>
          <w:p w14:paraId="6A29149C" w14:textId="77777777" w:rsidR="005D1150" w:rsidRPr="00CE1075" w:rsidRDefault="005D1150" w:rsidP="002B30A6">
            <w:pPr>
              <w:pStyle w:val="NICCYBodyTest"/>
              <w:rPr>
                <w:rFonts w:ascii="Calibri" w:hAnsi="Calibri" w:cs="Calibri"/>
                <w:color w:val="262626" w:themeColor="text1" w:themeTint="D9"/>
                <w:sz w:val="22"/>
                <w:szCs w:val="22"/>
              </w:rPr>
            </w:pPr>
            <w:r w:rsidRPr="00CE1075">
              <w:rPr>
                <w:rFonts w:ascii="Calibri" w:hAnsi="Calibri" w:cs="Calibri"/>
                <w:color w:val="262626" w:themeColor="text1" w:themeTint="D9"/>
                <w:sz w:val="22"/>
                <w:szCs w:val="22"/>
              </w:rPr>
              <w:t>Number</w:t>
            </w:r>
          </w:p>
        </w:tc>
        <w:tc>
          <w:tcPr>
            <w:tcW w:w="540" w:type="dxa"/>
            <w:tcBorders>
              <w:top w:val="nil"/>
              <w:left w:val="nil"/>
              <w:bottom w:val="nil"/>
              <w:right w:val="nil"/>
            </w:tcBorders>
            <w:shd w:val="clear" w:color="FFFFFF" w:fill="FFFFFF"/>
            <w:noWrap/>
            <w:vAlign w:val="bottom"/>
            <w:hideMark/>
          </w:tcPr>
          <w:p w14:paraId="45089C68" w14:textId="77777777" w:rsidR="005D1150" w:rsidRPr="007E28A5" w:rsidRDefault="005D1150" w:rsidP="002B30A6">
            <w:pPr>
              <w:pStyle w:val="NICCYBodyTest"/>
              <w:rPr>
                <w:rFonts w:ascii="Calibri" w:hAnsi="Calibri" w:cs="Calibri"/>
                <w:color w:val="000000"/>
                <w:sz w:val="22"/>
                <w:szCs w:val="22"/>
              </w:rPr>
            </w:pPr>
            <w:r w:rsidRPr="007E28A5">
              <w:rPr>
                <w:rFonts w:ascii="Calibri" w:hAnsi="Calibri" w:cs="Calibri"/>
                <w:color w:val="000000"/>
                <w:sz w:val="22"/>
                <w:szCs w:val="22"/>
              </w:rPr>
              <w:t> </w:t>
            </w:r>
          </w:p>
        </w:tc>
      </w:tr>
      <w:tr w:rsidR="005D1150" w:rsidRPr="007E28A5" w14:paraId="75F2BED8" w14:textId="77777777" w:rsidTr="005D1150">
        <w:trPr>
          <w:trHeight w:val="290"/>
        </w:trPr>
        <w:tc>
          <w:tcPr>
            <w:tcW w:w="2518" w:type="dxa"/>
            <w:gridSpan w:val="2"/>
            <w:tcBorders>
              <w:top w:val="nil"/>
              <w:left w:val="single" w:sz="8" w:space="0" w:color="auto"/>
              <w:bottom w:val="single" w:sz="4" w:space="0" w:color="auto"/>
              <w:right w:val="single" w:sz="4" w:space="0" w:color="auto"/>
            </w:tcBorders>
            <w:shd w:val="clear" w:color="FFFFFF" w:fill="FFFFFF"/>
            <w:noWrap/>
            <w:vAlign w:val="bottom"/>
            <w:hideMark/>
          </w:tcPr>
          <w:p w14:paraId="2162A31B" w14:textId="77777777" w:rsidR="005D1150" w:rsidRPr="00CE1075" w:rsidRDefault="005D1150" w:rsidP="002B30A6">
            <w:pPr>
              <w:pStyle w:val="NICCYBodyTest"/>
              <w:rPr>
                <w:rFonts w:ascii="Calibri" w:hAnsi="Calibri" w:cs="Calibri"/>
                <w:color w:val="262626" w:themeColor="text1" w:themeTint="D9"/>
                <w:sz w:val="22"/>
                <w:szCs w:val="22"/>
              </w:rPr>
            </w:pPr>
            <w:r w:rsidRPr="00CE1075">
              <w:rPr>
                <w:rFonts w:ascii="Calibri" w:hAnsi="Calibri" w:cs="Calibri"/>
                <w:color w:val="262626" w:themeColor="text1" w:themeTint="D9"/>
                <w:sz w:val="22"/>
                <w:szCs w:val="22"/>
              </w:rPr>
              <w:t>In Receipt of Free School Meals</w:t>
            </w:r>
          </w:p>
        </w:tc>
        <w:tc>
          <w:tcPr>
            <w:tcW w:w="677" w:type="dxa"/>
            <w:tcBorders>
              <w:top w:val="nil"/>
              <w:left w:val="nil"/>
              <w:bottom w:val="single" w:sz="4" w:space="0" w:color="auto"/>
              <w:right w:val="single" w:sz="4" w:space="0" w:color="auto"/>
            </w:tcBorders>
            <w:shd w:val="clear" w:color="FFFFFF" w:fill="FFFFFF"/>
            <w:noWrap/>
            <w:vAlign w:val="bottom"/>
            <w:hideMark/>
          </w:tcPr>
          <w:p w14:paraId="60180D10" w14:textId="77777777" w:rsidR="005D1150" w:rsidRPr="00CE1075" w:rsidRDefault="005D1150" w:rsidP="002B30A6">
            <w:pPr>
              <w:pStyle w:val="NICCYBodyTest"/>
              <w:rPr>
                <w:rFonts w:ascii="Calibri" w:hAnsi="Calibri" w:cs="Calibri"/>
                <w:color w:val="262626" w:themeColor="text1" w:themeTint="D9"/>
                <w:sz w:val="22"/>
                <w:szCs w:val="22"/>
              </w:rPr>
            </w:pPr>
            <w:r w:rsidRPr="00CE1075">
              <w:rPr>
                <w:rFonts w:ascii="Calibri" w:hAnsi="Calibri" w:cs="Calibri"/>
                <w:color w:val="262626" w:themeColor="text1" w:themeTint="D9"/>
                <w:sz w:val="22"/>
                <w:szCs w:val="22"/>
              </w:rPr>
              <w:t>28</w:t>
            </w:r>
          </w:p>
        </w:tc>
        <w:tc>
          <w:tcPr>
            <w:tcW w:w="1024" w:type="dxa"/>
            <w:tcBorders>
              <w:top w:val="nil"/>
              <w:left w:val="nil"/>
              <w:bottom w:val="single" w:sz="4" w:space="0" w:color="auto"/>
              <w:right w:val="single" w:sz="4" w:space="0" w:color="auto"/>
            </w:tcBorders>
            <w:shd w:val="clear" w:color="FFFFFF" w:fill="FFFFFF"/>
            <w:noWrap/>
            <w:vAlign w:val="bottom"/>
            <w:hideMark/>
          </w:tcPr>
          <w:p w14:paraId="15B9F8E1" w14:textId="77777777" w:rsidR="005D1150" w:rsidRPr="00CE1075" w:rsidRDefault="005D1150" w:rsidP="002B30A6">
            <w:pPr>
              <w:pStyle w:val="NICCYBodyTest"/>
              <w:rPr>
                <w:rFonts w:ascii="Calibri" w:hAnsi="Calibri" w:cs="Calibri"/>
                <w:color w:val="262626" w:themeColor="text1" w:themeTint="D9"/>
                <w:sz w:val="22"/>
                <w:szCs w:val="22"/>
              </w:rPr>
            </w:pPr>
            <w:r w:rsidRPr="00CE1075">
              <w:rPr>
                <w:rFonts w:ascii="Calibri" w:hAnsi="Calibri" w:cs="Calibri"/>
                <w:color w:val="262626" w:themeColor="text1" w:themeTint="D9"/>
                <w:sz w:val="22"/>
                <w:szCs w:val="22"/>
              </w:rPr>
              <w:t>27,000</w:t>
            </w:r>
          </w:p>
        </w:tc>
        <w:tc>
          <w:tcPr>
            <w:tcW w:w="700" w:type="dxa"/>
            <w:tcBorders>
              <w:top w:val="nil"/>
              <w:left w:val="nil"/>
              <w:bottom w:val="single" w:sz="4" w:space="0" w:color="auto"/>
              <w:right w:val="single" w:sz="4" w:space="0" w:color="auto"/>
            </w:tcBorders>
            <w:shd w:val="clear" w:color="FFFFFF" w:fill="FFFFFF"/>
            <w:noWrap/>
            <w:vAlign w:val="bottom"/>
            <w:hideMark/>
          </w:tcPr>
          <w:p w14:paraId="1A8D8FF4" w14:textId="77777777" w:rsidR="005D1150" w:rsidRPr="00CE1075" w:rsidRDefault="005D1150" w:rsidP="002B30A6">
            <w:pPr>
              <w:pStyle w:val="NICCYBodyTest"/>
              <w:rPr>
                <w:rFonts w:ascii="Calibri" w:hAnsi="Calibri" w:cs="Calibri"/>
                <w:color w:val="262626" w:themeColor="text1" w:themeTint="D9"/>
                <w:sz w:val="22"/>
                <w:szCs w:val="22"/>
              </w:rPr>
            </w:pPr>
            <w:r w:rsidRPr="00CE1075">
              <w:rPr>
                <w:rFonts w:ascii="Calibri" w:hAnsi="Calibri" w:cs="Calibri"/>
                <w:color w:val="262626" w:themeColor="text1" w:themeTint="D9"/>
                <w:sz w:val="22"/>
                <w:szCs w:val="22"/>
              </w:rPr>
              <w:t>28</w:t>
            </w:r>
          </w:p>
        </w:tc>
        <w:tc>
          <w:tcPr>
            <w:tcW w:w="952" w:type="dxa"/>
            <w:gridSpan w:val="2"/>
            <w:tcBorders>
              <w:top w:val="nil"/>
              <w:left w:val="nil"/>
              <w:bottom w:val="single" w:sz="4" w:space="0" w:color="auto"/>
              <w:right w:val="single" w:sz="4" w:space="0" w:color="auto"/>
            </w:tcBorders>
            <w:shd w:val="clear" w:color="FFFFFF" w:fill="FFFFFF"/>
            <w:noWrap/>
            <w:vAlign w:val="bottom"/>
            <w:hideMark/>
          </w:tcPr>
          <w:p w14:paraId="43D850AB" w14:textId="77777777" w:rsidR="005D1150" w:rsidRPr="00CE1075" w:rsidRDefault="005D1150" w:rsidP="002B30A6">
            <w:pPr>
              <w:pStyle w:val="NICCYBodyTest"/>
              <w:rPr>
                <w:rFonts w:ascii="Calibri" w:hAnsi="Calibri" w:cs="Calibri"/>
                <w:color w:val="262626" w:themeColor="text1" w:themeTint="D9"/>
                <w:sz w:val="22"/>
                <w:szCs w:val="22"/>
              </w:rPr>
            </w:pPr>
            <w:r w:rsidRPr="00CE1075">
              <w:rPr>
                <w:rFonts w:ascii="Calibri" w:hAnsi="Calibri" w:cs="Calibri"/>
                <w:color w:val="262626" w:themeColor="text1" w:themeTint="D9"/>
                <w:sz w:val="22"/>
                <w:szCs w:val="22"/>
              </w:rPr>
              <w:t>23,000</w:t>
            </w:r>
          </w:p>
        </w:tc>
        <w:tc>
          <w:tcPr>
            <w:tcW w:w="680" w:type="dxa"/>
            <w:gridSpan w:val="2"/>
            <w:tcBorders>
              <w:top w:val="nil"/>
              <w:left w:val="nil"/>
              <w:bottom w:val="single" w:sz="4" w:space="0" w:color="auto"/>
              <w:right w:val="single" w:sz="4" w:space="0" w:color="auto"/>
            </w:tcBorders>
            <w:shd w:val="clear" w:color="FFFFFF" w:fill="FFFFFF"/>
            <w:noWrap/>
            <w:vAlign w:val="bottom"/>
            <w:hideMark/>
          </w:tcPr>
          <w:p w14:paraId="5C9B7F78" w14:textId="77777777" w:rsidR="005D1150" w:rsidRPr="00CE1075" w:rsidRDefault="005D1150" w:rsidP="002B30A6">
            <w:pPr>
              <w:pStyle w:val="NICCYBodyTest"/>
              <w:rPr>
                <w:rFonts w:ascii="Calibri" w:hAnsi="Calibri" w:cs="Calibri"/>
                <w:color w:val="262626" w:themeColor="text1" w:themeTint="D9"/>
                <w:sz w:val="22"/>
                <w:szCs w:val="22"/>
              </w:rPr>
            </w:pPr>
            <w:r w:rsidRPr="00CE1075">
              <w:rPr>
                <w:rFonts w:ascii="Calibri" w:hAnsi="Calibri" w:cs="Calibri"/>
                <w:color w:val="262626" w:themeColor="text1" w:themeTint="D9"/>
                <w:sz w:val="22"/>
                <w:szCs w:val="22"/>
              </w:rPr>
              <w:t>32</w:t>
            </w:r>
          </w:p>
        </w:tc>
        <w:tc>
          <w:tcPr>
            <w:tcW w:w="952" w:type="dxa"/>
            <w:tcBorders>
              <w:top w:val="nil"/>
              <w:left w:val="nil"/>
              <w:bottom w:val="single" w:sz="4" w:space="0" w:color="auto"/>
              <w:right w:val="nil"/>
            </w:tcBorders>
            <w:shd w:val="clear" w:color="FFFFFF" w:fill="FFFFFF"/>
            <w:noWrap/>
            <w:vAlign w:val="bottom"/>
            <w:hideMark/>
          </w:tcPr>
          <w:p w14:paraId="54760625" w14:textId="77777777" w:rsidR="005D1150" w:rsidRPr="007E28A5" w:rsidRDefault="005D1150" w:rsidP="002B30A6">
            <w:pPr>
              <w:pStyle w:val="NICCYBodyTest"/>
              <w:rPr>
                <w:rFonts w:ascii="Calibri" w:hAnsi="Calibri" w:cs="Calibri"/>
                <w:color w:val="000000"/>
                <w:sz w:val="22"/>
                <w:szCs w:val="22"/>
              </w:rPr>
            </w:pPr>
            <w:r w:rsidRPr="007E28A5">
              <w:rPr>
                <w:rFonts w:ascii="Calibri" w:hAnsi="Calibri" w:cs="Calibri"/>
                <w:color w:val="000000"/>
                <w:sz w:val="22"/>
                <w:szCs w:val="22"/>
              </w:rPr>
              <w:t>36,000</w:t>
            </w:r>
          </w:p>
        </w:tc>
        <w:tc>
          <w:tcPr>
            <w:tcW w:w="704" w:type="dxa"/>
            <w:tcBorders>
              <w:top w:val="nil"/>
              <w:left w:val="single" w:sz="4" w:space="0" w:color="auto"/>
              <w:bottom w:val="single" w:sz="4" w:space="0" w:color="auto"/>
              <w:right w:val="single" w:sz="4" w:space="0" w:color="auto"/>
            </w:tcBorders>
            <w:shd w:val="clear" w:color="FFFFFF" w:fill="FFFFFF"/>
            <w:noWrap/>
            <w:vAlign w:val="bottom"/>
            <w:hideMark/>
          </w:tcPr>
          <w:p w14:paraId="4ED69454" w14:textId="77777777" w:rsidR="005D1150" w:rsidRPr="00CE1075" w:rsidRDefault="005D1150" w:rsidP="002B30A6">
            <w:pPr>
              <w:pStyle w:val="NICCYBodyTest"/>
              <w:rPr>
                <w:rFonts w:ascii="Calibri" w:hAnsi="Calibri" w:cs="Calibri"/>
                <w:color w:val="262626" w:themeColor="text1" w:themeTint="D9"/>
                <w:sz w:val="22"/>
                <w:szCs w:val="22"/>
              </w:rPr>
            </w:pPr>
            <w:r w:rsidRPr="00CE1075">
              <w:rPr>
                <w:rFonts w:ascii="Calibri" w:hAnsi="Calibri" w:cs="Calibri"/>
                <w:color w:val="262626" w:themeColor="text1" w:themeTint="D9"/>
                <w:sz w:val="22"/>
                <w:szCs w:val="22"/>
              </w:rPr>
              <w:t>30</w:t>
            </w:r>
          </w:p>
        </w:tc>
        <w:tc>
          <w:tcPr>
            <w:tcW w:w="952" w:type="dxa"/>
            <w:tcBorders>
              <w:top w:val="nil"/>
              <w:left w:val="nil"/>
              <w:bottom w:val="single" w:sz="4" w:space="0" w:color="auto"/>
              <w:right w:val="single" w:sz="8" w:space="0" w:color="auto"/>
            </w:tcBorders>
            <w:shd w:val="clear" w:color="FFFFFF" w:fill="FFFFFF"/>
            <w:noWrap/>
            <w:vAlign w:val="bottom"/>
            <w:hideMark/>
          </w:tcPr>
          <w:p w14:paraId="19054105" w14:textId="77777777" w:rsidR="005D1150" w:rsidRPr="00CE1075" w:rsidRDefault="005D1150" w:rsidP="002B30A6">
            <w:pPr>
              <w:pStyle w:val="NICCYBodyTest"/>
              <w:rPr>
                <w:rFonts w:ascii="Calibri" w:hAnsi="Calibri" w:cs="Calibri"/>
                <w:color w:val="262626" w:themeColor="text1" w:themeTint="D9"/>
                <w:sz w:val="22"/>
                <w:szCs w:val="22"/>
              </w:rPr>
            </w:pPr>
            <w:r w:rsidRPr="00CE1075">
              <w:rPr>
                <w:rFonts w:ascii="Calibri" w:hAnsi="Calibri" w:cs="Calibri"/>
                <w:color w:val="262626" w:themeColor="text1" w:themeTint="D9"/>
                <w:sz w:val="22"/>
                <w:szCs w:val="22"/>
              </w:rPr>
              <w:t>29,000</w:t>
            </w:r>
          </w:p>
        </w:tc>
        <w:tc>
          <w:tcPr>
            <w:tcW w:w="540" w:type="dxa"/>
            <w:tcBorders>
              <w:top w:val="nil"/>
              <w:left w:val="nil"/>
              <w:bottom w:val="nil"/>
              <w:right w:val="nil"/>
            </w:tcBorders>
            <w:shd w:val="clear" w:color="FFFFFF" w:fill="FFFFFF"/>
            <w:noWrap/>
            <w:vAlign w:val="bottom"/>
            <w:hideMark/>
          </w:tcPr>
          <w:p w14:paraId="799C22DF" w14:textId="77777777" w:rsidR="005D1150" w:rsidRPr="007E28A5" w:rsidRDefault="005D1150" w:rsidP="002B30A6">
            <w:pPr>
              <w:pStyle w:val="NICCYBodyTest"/>
              <w:rPr>
                <w:rFonts w:ascii="Calibri" w:hAnsi="Calibri" w:cs="Calibri"/>
                <w:color w:val="000000"/>
                <w:sz w:val="22"/>
                <w:szCs w:val="22"/>
              </w:rPr>
            </w:pPr>
            <w:r w:rsidRPr="007E28A5">
              <w:rPr>
                <w:rFonts w:ascii="Calibri" w:hAnsi="Calibri" w:cs="Calibri"/>
                <w:color w:val="000000"/>
                <w:sz w:val="22"/>
                <w:szCs w:val="22"/>
              </w:rPr>
              <w:t> </w:t>
            </w:r>
          </w:p>
        </w:tc>
      </w:tr>
      <w:tr w:rsidR="005D1150" w:rsidRPr="007E28A5" w14:paraId="267F2D90" w14:textId="77777777" w:rsidTr="005D1150">
        <w:trPr>
          <w:trHeight w:val="290"/>
        </w:trPr>
        <w:tc>
          <w:tcPr>
            <w:tcW w:w="2518" w:type="dxa"/>
            <w:gridSpan w:val="2"/>
            <w:tcBorders>
              <w:top w:val="nil"/>
              <w:left w:val="single" w:sz="8" w:space="0" w:color="auto"/>
              <w:bottom w:val="nil"/>
              <w:right w:val="single" w:sz="4" w:space="0" w:color="auto"/>
            </w:tcBorders>
            <w:shd w:val="clear" w:color="FFFFFF" w:fill="FFFFFF"/>
            <w:noWrap/>
            <w:vAlign w:val="bottom"/>
            <w:hideMark/>
          </w:tcPr>
          <w:p w14:paraId="7C904BCB" w14:textId="77777777" w:rsidR="005D1150" w:rsidRPr="00CE1075" w:rsidRDefault="005D1150" w:rsidP="002B30A6">
            <w:pPr>
              <w:pStyle w:val="NICCYBodyTest"/>
              <w:rPr>
                <w:rFonts w:ascii="Calibri" w:hAnsi="Calibri" w:cs="Calibri"/>
                <w:color w:val="262626" w:themeColor="text1" w:themeTint="D9"/>
                <w:sz w:val="22"/>
                <w:szCs w:val="22"/>
              </w:rPr>
            </w:pPr>
            <w:r w:rsidRPr="00CE1075">
              <w:rPr>
                <w:rFonts w:ascii="Calibri" w:hAnsi="Calibri" w:cs="Calibri"/>
                <w:color w:val="262626" w:themeColor="text1" w:themeTint="D9"/>
                <w:sz w:val="22"/>
                <w:szCs w:val="22"/>
              </w:rPr>
              <w:lastRenderedPageBreak/>
              <w:t>Not in Receipt of Free School Meals</w:t>
            </w:r>
          </w:p>
        </w:tc>
        <w:tc>
          <w:tcPr>
            <w:tcW w:w="677" w:type="dxa"/>
            <w:tcBorders>
              <w:top w:val="nil"/>
              <w:left w:val="nil"/>
              <w:bottom w:val="nil"/>
              <w:right w:val="single" w:sz="4" w:space="0" w:color="auto"/>
            </w:tcBorders>
            <w:shd w:val="clear" w:color="FFFFFF" w:fill="FFFFFF"/>
            <w:noWrap/>
            <w:vAlign w:val="bottom"/>
            <w:hideMark/>
          </w:tcPr>
          <w:p w14:paraId="46B8972B" w14:textId="77777777" w:rsidR="005D1150" w:rsidRPr="00CE1075" w:rsidRDefault="005D1150" w:rsidP="002B30A6">
            <w:pPr>
              <w:pStyle w:val="NICCYBodyTest"/>
              <w:rPr>
                <w:rFonts w:ascii="Calibri" w:hAnsi="Calibri" w:cs="Calibri"/>
                <w:color w:val="262626" w:themeColor="text1" w:themeTint="D9"/>
                <w:sz w:val="22"/>
                <w:szCs w:val="22"/>
              </w:rPr>
            </w:pPr>
            <w:r w:rsidRPr="00CE1075">
              <w:rPr>
                <w:rFonts w:ascii="Calibri" w:hAnsi="Calibri" w:cs="Calibri"/>
                <w:color w:val="262626" w:themeColor="text1" w:themeTint="D9"/>
                <w:sz w:val="22"/>
                <w:szCs w:val="22"/>
              </w:rPr>
              <w:t>72</w:t>
            </w:r>
          </w:p>
        </w:tc>
        <w:tc>
          <w:tcPr>
            <w:tcW w:w="1024" w:type="dxa"/>
            <w:tcBorders>
              <w:top w:val="nil"/>
              <w:left w:val="nil"/>
              <w:bottom w:val="nil"/>
              <w:right w:val="single" w:sz="4" w:space="0" w:color="auto"/>
            </w:tcBorders>
            <w:shd w:val="clear" w:color="FFFFFF" w:fill="FFFFFF"/>
            <w:noWrap/>
            <w:vAlign w:val="bottom"/>
            <w:hideMark/>
          </w:tcPr>
          <w:p w14:paraId="328C202B" w14:textId="77777777" w:rsidR="005D1150" w:rsidRPr="00CE1075" w:rsidRDefault="005D1150" w:rsidP="002B30A6">
            <w:pPr>
              <w:pStyle w:val="NICCYBodyTest"/>
              <w:rPr>
                <w:rFonts w:ascii="Calibri" w:hAnsi="Calibri" w:cs="Calibri"/>
                <w:color w:val="262626" w:themeColor="text1" w:themeTint="D9"/>
                <w:sz w:val="22"/>
                <w:szCs w:val="22"/>
              </w:rPr>
            </w:pPr>
            <w:r w:rsidRPr="00CE1075">
              <w:rPr>
                <w:rFonts w:ascii="Calibri" w:hAnsi="Calibri" w:cs="Calibri"/>
                <w:color w:val="262626" w:themeColor="text1" w:themeTint="D9"/>
                <w:sz w:val="22"/>
                <w:szCs w:val="22"/>
              </w:rPr>
              <w:t>69,000</w:t>
            </w:r>
          </w:p>
        </w:tc>
        <w:tc>
          <w:tcPr>
            <w:tcW w:w="700" w:type="dxa"/>
            <w:tcBorders>
              <w:top w:val="nil"/>
              <w:left w:val="nil"/>
              <w:bottom w:val="nil"/>
              <w:right w:val="single" w:sz="4" w:space="0" w:color="auto"/>
            </w:tcBorders>
            <w:shd w:val="clear" w:color="FFFFFF" w:fill="FFFFFF"/>
            <w:noWrap/>
            <w:vAlign w:val="bottom"/>
            <w:hideMark/>
          </w:tcPr>
          <w:p w14:paraId="44BAD967" w14:textId="77777777" w:rsidR="005D1150" w:rsidRPr="00CE1075" w:rsidRDefault="005D1150" w:rsidP="002B30A6">
            <w:pPr>
              <w:pStyle w:val="NICCYBodyTest"/>
              <w:rPr>
                <w:rFonts w:ascii="Calibri" w:hAnsi="Calibri" w:cs="Calibri"/>
                <w:color w:val="262626" w:themeColor="text1" w:themeTint="D9"/>
                <w:sz w:val="22"/>
                <w:szCs w:val="22"/>
              </w:rPr>
            </w:pPr>
            <w:r w:rsidRPr="00CE1075">
              <w:rPr>
                <w:rFonts w:ascii="Calibri" w:hAnsi="Calibri" w:cs="Calibri"/>
                <w:color w:val="262626" w:themeColor="text1" w:themeTint="D9"/>
                <w:sz w:val="22"/>
                <w:szCs w:val="22"/>
              </w:rPr>
              <w:t>72</w:t>
            </w:r>
          </w:p>
        </w:tc>
        <w:tc>
          <w:tcPr>
            <w:tcW w:w="952" w:type="dxa"/>
            <w:gridSpan w:val="2"/>
            <w:tcBorders>
              <w:top w:val="nil"/>
              <w:left w:val="nil"/>
              <w:bottom w:val="nil"/>
              <w:right w:val="single" w:sz="4" w:space="0" w:color="auto"/>
            </w:tcBorders>
            <w:shd w:val="clear" w:color="FFFFFF" w:fill="FFFFFF"/>
            <w:noWrap/>
            <w:vAlign w:val="bottom"/>
            <w:hideMark/>
          </w:tcPr>
          <w:p w14:paraId="4F331EB5" w14:textId="77777777" w:rsidR="005D1150" w:rsidRPr="00CE1075" w:rsidRDefault="005D1150" w:rsidP="002B30A6">
            <w:pPr>
              <w:pStyle w:val="NICCYBodyTest"/>
              <w:rPr>
                <w:rFonts w:ascii="Calibri" w:hAnsi="Calibri" w:cs="Calibri"/>
                <w:color w:val="262626" w:themeColor="text1" w:themeTint="D9"/>
                <w:sz w:val="22"/>
                <w:szCs w:val="22"/>
              </w:rPr>
            </w:pPr>
            <w:r w:rsidRPr="00CE1075">
              <w:rPr>
                <w:rFonts w:ascii="Calibri" w:hAnsi="Calibri" w:cs="Calibri"/>
                <w:color w:val="262626" w:themeColor="text1" w:themeTint="D9"/>
                <w:sz w:val="22"/>
                <w:szCs w:val="22"/>
              </w:rPr>
              <w:t>58,000</w:t>
            </w:r>
          </w:p>
        </w:tc>
        <w:tc>
          <w:tcPr>
            <w:tcW w:w="680" w:type="dxa"/>
            <w:gridSpan w:val="2"/>
            <w:tcBorders>
              <w:top w:val="nil"/>
              <w:left w:val="nil"/>
              <w:bottom w:val="nil"/>
              <w:right w:val="single" w:sz="4" w:space="0" w:color="auto"/>
            </w:tcBorders>
            <w:shd w:val="clear" w:color="FFFFFF" w:fill="FFFFFF"/>
            <w:noWrap/>
            <w:vAlign w:val="bottom"/>
            <w:hideMark/>
          </w:tcPr>
          <w:p w14:paraId="772DDADF" w14:textId="77777777" w:rsidR="005D1150" w:rsidRPr="00CE1075" w:rsidRDefault="005D1150" w:rsidP="002B30A6">
            <w:pPr>
              <w:pStyle w:val="NICCYBodyTest"/>
              <w:rPr>
                <w:rFonts w:ascii="Calibri" w:hAnsi="Calibri" w:cs="Calibri"/>
                <w:color w:val="262626" w:themeColor="text1" w:themeTint="D9"/>
                <w:sz w:val="22"/>
                <w:szCs w:val="22"/>
              </w:rPr>
            </w:pPr>
            <w:r w:rsidRPr="00CE1075">
              <w:rPr>
                <w:rFonts w:ascii="Calibri" w:hAnsi="Calibri" w:cs="Calibri"/>
                <w:color w:val="262626" w:themeColor="text1" w:themeTint="D9"/>
                <w:sz w:val="22"/>
                <w:szCs w:val="22"/>
              </w:rPr>
              <w:t>68</w:t>
            </w:r>
          </w:p>
        </w:tc>
        <w:tc>
          <w:tcPr>
            <w:tcW w:w="952" w:type="dxa"/>
            <w:tcBorders>
              <w:top w:val="nil"/>
              <w:left w:val="nil"/>
              <w:bottom w:val="nil"/>
              <w:right w:val="nil"/>
            </w:tcBorders>
            <w:shd w:val="clear" w:color="FFFFFF" w:fill="FFFFFF"/>
            <w:noWrap/>
            <w:vAlign w:val="bottom"/>
            <w:hideMark/>
          </w:tcPr>
          <w:p w14:paraId="3532840A" w14:textId="77777777" w:rsidR="005D1150" w:rsidRPr="007E28A5" w:rsidRDefault="005D1150" w:rsidP="002B30A6">
            <w:pPr>
              <w:pStyle w:val="NICCYBodyTest"/>
              <w:rPr>
                <w:rFonts w:ascii="Calibri" w:hAnsi="Calibri" w:cs="Calibri"/>
                <w:color w:val="000000"/>
                <w:sz w:val="22"/>
                <w:szCs w:val="22"/>
              </w:rPr>
            </w:pPr>
            <w:r w:rsidRPr="007E28A5">
              <w:rPr>
                <w:rFonts w:ascii="Calibri" w:hAnsi="Calibri" w:cs="Calibri"/>
                <w:color w:val="000000"/>
                <w:sz w:val="22"/>
                <w:szCs w:val="22"/>
              </w:rPr>
              <w:t>77,000</w:t>
            </w:r>
          </w:p>
        </w:tc>
        <w:tc>
          <w:tcPr>
            <w:tcW w:w="704" w:type="dxa"/>
            <w:tcBorders>
              <w:top w:val="nil"/>
              <w:left w:val="single" w:sz="4" w:space="0" w:color="auto"/>
              <w:bottom w:val="nil"/>
              <w:right w:val="single" w:sz="4" w:space="0" w:color="auto"/>
            </w:tcBorders>
            <w:shd w:val="clear" w:color="FFFFFF" w:fill="FFFFFF"/>
            <w:noWrap/>
            <w:vAlign w:val="bottom"/>
            <w:hideMark/>
          </w:tcPr>
          <w:p w14:paraId="6E00442E" w14:textId="77777777" w:rsidR="005D1150" w:rsidRPr="00CE1075" w:rsidRDefault="005D1150" w:rsidP="002B30A6">
            <w:pPr>
              <w:pStyle w:val="NICCYBodyTest"/>
              <w:rPr>
                <w:rFonts w:ascii="Calibri" w:hAnsi="Calibri" w:cs="Calibri"/>
                <w:color w:val="262626" w:themeColor="text1" w:themeTint="D9"/>
                <w:sz w:val="22"/>
                <w:szCs w:val="22"/>
              </w:rPr>
            </w:pPr>
            <w:r w:rsidRPr="00CE1075">
              <w:rPr>
                <w:rFonts w:ascii="Calibri" w:hAnsi="Calibri" w:cs="Calibri"/>
                <w:color w:val="262626" w:themeColor="text1" w:themeTint="D9"/>
                <w:sz w:val="22"/>
                <w:szCs w:val="22"/>
              </w:rPr>
              <w:t>70</w:t>
            </w:r>
          </w:p>
        </w:tc>
        <w:tc>
          <w:tcPr>
            <w:tcW w:w="952" w:type="dxa"/>
            <w:tcBorders>
              <w:top w:val="nil"/>
              <w:left w:val="nil"/>
              <w:bottom w:val="nil"/>
              <w:right w:val="single" w:sz="8" w:space="0" w:color="auto"/>
            </w:tcBorders>
            <w:shd w:val="clear" w:color="FFFFFF" w:fill="FFFFFF"/>
            <w:noWrap/>
            <w:vAlign w:val="bottom"/>
            <w:hideMark/>
          </w:tcPr>
          <w:p w14:paraId="1B447CAB" w14:textId="77777777" w:rsidR="005D1150" w:rsidRPr="00CE1075" w:rsidRDefault="005D1150" w:rsidP="002B30A6">
            <w:pPr>
              <w:pStyle w:val="NICCYBodyTest"/>
              <w:rPr>
                <w:rFonts w:ascii="Calibri" w:hAnsi="Calibri" w:cs="Calibri"/>
                <w:color w:val="262626" w:themeColor="text1" w:themeTint="D9"/>
                <w:sz w:val="22"/>
                <w:szCs w:val="22"/>
              </w:rPr>
            </w:pPr>
            <w:r w:rsidRPr="00CE1075">
              <w:rPr>
                <w:rFonts w:ascii="Calibri" w:hAnsi="Calibri" w:cs="Calibri"/>
                <w:color w:val="262626" w:themeColor="text1" w:themeTint="D9"/>
                <w:sz w:val="22"/>
                <w:szCs w:val="22"/>
              </w:rPr>
              <w:t>67,000</w:t>
            </w:r>
          </w:p>
        </w:tc>
        <w:tc>
          <w:tcPr>
            <w:tcW w:w="540" w:type="dxa"/>
            <w:tcBorders>
              <w:top w:val="nil"/>
              <w:left w:val="nil"/>
              <w:bottom w:val="nil"/>
              <w:right w:val="nil"/>
            </w:tcBorders>
            <w:shd w:val="clear" w:color="FFFFFF" w:fill="FFFFFF"/>
            <w:noWrap/>
            <w:vAlign w:val="bottom"/>
            <w:hideMark/>
          </w:tcPr>
          <w:p w14:paraId="2D6F6B96" w14:textId="77777777" w:rsidR="005D1150" w:rsidRPr="007E28A5" w:rsidRDefault="005D1150" w:rsidP="002B30A6">
            <w:pPr>
              <w:pStyle w:val="NICCYBodyTest"/>
              <w:rPr>
                <w:rFonts w:ascii="Calibri" w:hAnsi="Calibri" w:cs="Calibri"/>
                <w:color w:val="000000"/>
                <w:sz w:val="22"/>
                <w:szCs w:val="22"/>
              </w:rPr>
            </w:pPr>
            <w:r w:rsidRPr="007E28A5">
              <w:rPr>
                <w:rFonts w:ascii="Calibri" w:hAnsi="Calibri" w:cs="Calibri"/>
                <w:color w:val="000000"/>
                <w:sz w:val="22"/>
                <w:szCs w:val="22"/>
              </w:rPr>
              <w:t> </w:t>
            </w:r>
          </w:p>
        </w:tc>
      </w:tr>
      <w:tr w:rsidR="005D1150" w:rsidRPr="007E28A5" w14:paraId="0A795BFE" w14:textId="77777777" w:rsidTr="005D1150">
        <w:trPr>
          <w:trHeight w:val="290"/>
        </w:trPr>
        <w:tc>
          <w:tcPr>
            <w:tcW w:w="2518" w:type="dxa"/>
            <w:gridSpan w:val="2"/>
            <w:tcBorders>
              <w:top w:val="single" w:sz="4" w:space="0" w:color="auto"/>
              <w:left w:val="nil"/>
              <w:bottom w:val="single" w:sz="4" w:space="0" w:color="auto"/>
              <w:right w:val="nil"/>
            </w:tcBorders>
            <w:shd w:val="clear" w:color="FFFFFF" w:fill="FFFF00"/>
            <w:noWrap/>
            <w:vAlign w:val="bottom"/>
            <w:hideMark/>
          </w:tcPr>
          <w:p w14:paraId="7803BF81" w14:textId="77777777" w:rsidR="005D1150" w:rsidRPr="00CE1075" w:rsidRDefault="005D1150" w:rsidP="002B30A6">
            <w:pPr>
              <w:pStyle w:val="NICCYBodyTest"/>
              <w:rPr>
                <w:rFonts w:ascii="Calibri" w:hAnsi="Calibri" w:cs="Calibri"/>
                <w:color w:val="262626" w:themeColor="text1" w:themeTint="D9"/>
                <w:sz w:val="22"/>
                <w:szCs w:val="22"/>
              </w:rPr>
            </w:pPr>
            <w:r w:rsidRPr="00CE1075">
              <w:rPr>
                <w:rFonts w:ascii="Calibri" w:hAnsi="Calibri" w:cs="Calibri"/>
                <w:color w:val="262626" w:themeColor="text1" w:themeTint="D9"/>
                <w:sz w:val="22"/>
                <w:szCs w:val="22"/>
              </w:rPr>
              <w:t> </w:t>
            </w:r>
          </w:p>
        </w:tc>
        <w:tc>
          <w:tcPr>
            <w:tcW w:w="677" w:type="dxa"/>
            <w:tcBorders>
              <w:top w:val="single" w:sz="4" w:space="0" w:color="auto"/>
              <w:left w:val="nil"/>
              <w:bottom w:val="single" w:sz="4" w:space="0" w:color="auto"/>
              <w:right w:val="nil"/>
            </w:tcBorders>
            <w:shd w:val="clear" w:color="FFFFFF" w:fill="FFFF00"/>
            <w:noWrap/>
            <w:vAlign w:val="bottom"/>
            <w:hideMark/>
          </w:tcPr>
          <w:p w14:paraId="42D6C208" w14:textId="77777777" w:rsidR="005D1150" w:rsidRPr="00CE1075" w:rsidRDefault="005D1150" w:rsidP="002B30A6">
            <w:pPr>
              <w:pStyle w:val="NICCYBodyTest"/>
              <w:rPr>
                <w:rFonts w:ascii="Calibri" w:hAnsi="Calibri" w:cs="Calibri"/>
                <w:color w:val="262626" w:themeColor="text1" w:themeTint="D9"/>
                <w:sz w:val="22"/>
                <w:szCs w:val="22"/>
              </w:rPr>
            </w:pPr>
            <w:r w:rsidRPr="00CE1075">
              <w:rPr>
                <w:rFonts w:ascii="Calibri" w:hAnsi="Calibri" w:cs="Calibri"/>
                <w:color w:val="262626" w:themeColor="text1" w:themeTint="D9"/>
                <w:sz w:val="22"/>
                <w:szCs w:val="22"/>
              </w:rPr>
              <w:t> </w:t>
            </w:r>
          </w:p>
        </w:tc>
        <w:tc>
          <w:tcPr>
            <w:tcW w:w="1024" w:type="dxa"/>
            <w:tcBorders>
              <w:top w:val="single" w:sz="4" w:space="0" w:color="auto"/>
              <w:left w:val="nil"/>
              <w:bottom w:val="single" w:sz="4" w:space="0" w:color="auto"/>
              <w:right w:val="nil"/>
            </w:tcBorders>
            <w:shd w:val="clear" w:color="FFFFFF" w:fill="FFFF00"/>
            <w:noWrap/>
            <w:vAlign w:val="bottom"/>
            <w:hideMark/>
          </w:tcPr>
          <w:p w14:paraId="43DE84A6" w14:textId="77777777" w:rsidR="005D1150" w:rsidRPr="00CE1075" w:rsidRDefault="005D1150" w:rsidP="002B30A6">
            <w:pPr>
              <w:pStyle w:val="NICCYBodyTest"/>
              <w:rPr>
                <w:rFonts w:ascii="Calibri" w:hAnsi="Calibri" w:cs="Calibri"/>
                <w:color w:val="262626" w:themeColor="text1" w:themeTint="D9"/>
                <w:sz w:val="22"/>
                <w:szCs w:val="22"/>
              </w:rPr>
            </w:pPr>
            <w:r w:rsidRPr="00CE1075">
              <w:rPr>
                <w:rFonts w:ascii="Calibri" w:hAnsi="Calibri" w:cs="Calibri"/>
                <w:color w:val="262626" w:themeColor="text1" w:themeTint="D9"/>
                <w:sz w:val="22"/>
                <w:szCs w:val="22"/>
              </w:rPr>
              <w:t> </w:t>
            </w:r>
          </w:p>
        </w:tc>
        <w:tc>
          <w:tcPr>
            <w:tcW w:w="700" w:type="dxa"/>
            <w:tcBorders>
              <w:top w:val="single" w:sz="4" w:space="0" w:color="auto"/>
              <w:left w:val="nil"/>
              <w:bottom w:val="single" w:sz="4" w:space="0" w:color="auto"/>
              <w:right w:val="nil"/>
            </w:tcBorders>
            <w:shd w:val="clear" w:color="FFFFFF" w:fill="FFFF00"/>
            <w:noWrap/>
            <w:vAlign w:val="bottom"/>
            <w:hideMark/>
          </w:tcPr>
          <w:p w14:paraId="4A93A2AE" w14:textId="77777777" w:rsidR="005D1150" w:rsidRPr="00CE1075" w:rsidRDefault="005D1150" w:rsidP="002B30A6">
            <w:pPr>
              <w:pStyle w:val="NICCYBodyTest"/>
              <w:rPr>
                <w:rFonts w:ascii="Calibri" w:hAnsi="Calibri" w:cs="Calibri"/>
                <w:color w:val="262626" w:themeColor="text1" w:themeTint="D9"/>
                <w:sz w:val="22"/>
                <w:szCs w:val="22"/>
              </w:rPr>
            </w:pPr>
            <w:r w:rsidRPr="00CE1075">
              <w:rPr>
                <w:rFonts w:ascii="Calibri" w:hAnsi="Calibri" w:cs="Calibri"/>
                <w:color w:val="262626" w:themeColor="text1" w:themeTint="D9"/>
                <w:sz w:val="22"/>
                <w:szCs w:val="22"/>
              </w:rPr>
              <w:t> </w:t>
            </w:r>
          </w:p>
        </w:tc>
        <w:tc>
          <w:tcPr>
            <w:tcW w:w="952" w:type="dxa"/>
            <w:gridSpan w:val="2"/>
            <w:tcBorders>
              <w:top w:val="single" w:sz="4" w:space="0" w:color="auto"/>
              <w:left w:val="nil"/>
              <w:bottom w:val="single" w:sz="4" w:space="0" w:color="auto"/>
              <w:right w:val="nil"/>
            </w:tcBorders>
            <w:shd w:val="clear" w:color="FFFFFF" w:fill="FFFF00"/>
            <w:noWrap/>
            <w:vAlign w:val="bottom"/>
            <w:hideMark/>
          </w:tcPr>
          <w:p w14:paraId="1CD4C6E7" w14:textId="77777777" w:rsidR="005D1150" w:rsidRPr="00CE1075" w:rsidRDefault="005D1150" w:rsidP="002B30A6">
            <w:pPr>
              <w:pStyle w:val="NICCYBodyTest"/>
              <w:rPr>
                <w:rFonts w:ascii="Calibri" w:hAnsi="Calibri" w:cs="Calibri"/>
                <w:color w:val="262626" w:themeColor="text1" w:themeTint="D9"/>
                <w:sz w:val="22"/>
                <w:szCs w:val="22"/>
              </w:rPr>
            </w:pPr>
            <w:r w:rsidRPr="00CE1075">
              <w:rPr>
                <w:rFonts w:ascii="Calibri" w:hAnsi="Calibri" w:cs="Calibri"/>
                <w:color w:val="262626" w:themeColor="text1" w:themeTint="D9"/>
                <w:sz w:val="22"/>
                <w:szCs w:val="22"/>
              </w:rPr>
              <w:t> </w:t>
            </w:r>
          </w:p>
        </w:tc>
        <w:tc>
          <w:tcPr>
            <w:tcW w:w="680" w:type="dxa"/>
            <w:gridSpan w:val="2"/>
            <w:tcBorders>
              <w:top w:val="single" w:sz="4" w:space="0" w:color="auto"/>
              <w:left w:val="nil"/>
              <w:bottom w:val="single" w:sz="4" w:space="0" w:color="auto"/>
              <w:right w:val="nil"/>
            </w:tcBorders>
            <w:shd w:val="clear" w:color="FFFFFF" w:fill="FFFF00"/>
            <w:noWrap/>
            <w:vAlign w:val="bottom"/>
            <w:hideMark/>
          </w:tcPr>
          <w:p w14:paraId="29DF4FA8" w14:textId="77777777" w:rsidR="005D1150" w:rsidRPr="00CE1075" w:rsidRDefault="005D1150" w:rsidP="002B30A6">
            <w:pPr>
              <w:pStyle w:val="NICCYBodyTest"/>
              <w:rPr>
                <w:rFonts w:ascii="Calibri" w:hAnsi="Calibri" w:cs="Calibri"/>
                <w:color w:val="262626" w:themeColor="text1" w:themeTint="D9"/>
                <w:sz w:val="22"/>
                <w:szCs w:val="22"/>
              </w:rPr>
            </w:pPr>
            <w:r w:rsidRPr="00CE1075">
              <w:rPr>
                <w:rFonts w:ascii="Calibri" w:hAnsi="Calibri" w:cs="Calibri"/>
                <w:color w:val="262626" w:themeColor="text1" w:themeTint="D9"/>
                <w:sz w:val="22"/>
                <w:szCs w:val="22"/>
              </w:rPr>
              <w:t> </w:t>
            </w:r>
          </w:p>
        </w:tc>
        <w:tc>
          <w:tcPr>
            <w:tcW w:w="952" w:type="dxa"/>
            <w:tcBorders>
              <w:top w:val="single" w:sz="4" w:space="0" w:color="auto"/>
              <w:left w:val="nil"/>
              <w:bottom w:val="single" w:sz="4" w:space="0" w:color="auto"/>
              <w:right w:val="nil"/>
            </w:tcBorders>
            <w:shd w:val="clear" w:color="FFFFFF" w:fill="FFFF00"/>
            <w:noWrap/>
            <w:vAlign w:val="bottom"/>
            <w:hideMark/>
          </w:tcPr>
          <w:p w14:paraId="76FF9B4C" w14:textId="77777777" w:rsidR="005D1150" w:rsidRPr="007E28A5" w:rsidRDefault="005D1150" w:rsidP="002B30A6">
            <w:pPr>
              <w:pStyle w:val="NICCYBodyTest"/>
              <w:rPr>
                <w:rFonts w:ascii="Calibri" w:hAnsi="Calibri" w:cs="Calibri"/>
                <w:color w:val="000000"/>
                <w:sz w:val="22"/>
                <w:szCs w:val="22"/>
              </w:rPr>
            </w:pPr>
            <w:r w:rsidRPr="007E28A5">
              <w:rPr>
                <w:rFonts w:ascii="Calibri" w:hAnsi="Calibri" w:cs="Calibri"/>
                <w:color w:val="000000"/>
                <w:sz w:val="22"/>
                <w:szCs w:val="22"/>
              </w:rPr>
              <w:t> </w:t>
            </w:r>
          </w:p>
        </w:tc>
        <w:tc>
          <w:tcPr>
            <w:tcW w:w="704" w:type="dxa"/>
            <w:tcBorders>
              <w:top w:val="single" w:sz="4" w:space="0" w:color="auto"/>
              <w:left w:val="nil"/>
              <w:bottom w:val="single" w:sz="4" w:space="0" w:color="auto"/>
              <w:right w:val="nil"/>
            </w:tcBorders>
            <w:shd w:val="clear" w:color="FFFFFF" w:fill="FFFF00"/>
            <w:noWrap/>
            <w:vAlign w:val="bottom"/>
            <w:hideMark/>
          </w:tcPr>
          <w:p w14:paraId="46F5A673" w14:textId="77777777" w:rsidR="005D1150" w:rsidRPr="00CE1075" w:rsidRDefault="005D1150" w:rsidP="002B30A6">
            <w:pPr>
              <w:pStyle w:val="NICCYBodyTest"/>
              <w:rPr>
                <w:rFonts w:ascii="Calibri" w:hAnsi="Calibri" w:cs="Calibri"/>
                <w:color w:val="262626" w:themeColor="text1" w:themeTint="D9"/>
                <w:sz w:val="22"/>
                <w:szCs w:val="22"/>
              </w:rPr>
            </w:pPr>
            <w:r w:rsidRPr="00CE1075">
              <w:rPr>
                <w:rFonts w:ascii="Calibri" w:hAnsi="Calibri" w:cs="Calibri"/>
                <w:color w:val="262626" w:themeColor="text1" w:themeTint="D9"/>
                <w:sz w:val="22"/>
                <w:szCs w:val="22"/>
              </w:rPr>
              <w:t> </w:t>
            </w:r>
          </w:p>
        </w:tc>
        <w:tc>
          <w:tcPr>
            <w:tcW w:w="952" w:type="dxa"/>
            <w:tcBorders>
              <w:top w:val="single" w:sz="4" w:space="0" w:color="auto"/>
              <w:left w:val="nil"/>
              <w:bottom w:val="single" w:sz="4" w:space="0" w:color="auto"/>
              <w:right w:val="nil"/>
            </w:tcBorders>
            <w:shd w:val="clear" w:color="FFFFFF" w:fill="FFFF00"/>
            <w:noWrap/>
            <w:vAlign w:val="bottom"/>
            <w:hideMark/>
          </w:tcPr>
          <w:p w14:paraId="58FF5CB9" w14:textId="77777777" w:rsidR="005D1150" w:rsidRPr="00CE1075" w:rsidRDefault="005D1150" w:rsidP="002B30A6">
            <w:pPr>
              <w:pStyle w:val="NICCYBodyTest"/>
              <w:rPr>
                <w:rFonts w:ascii="Calibri" w:hAnsi="Calibri" w:cs="Calibri"/>
                <w:color w:val="262626" w:themeColor="text1" w:themeTint="D9"/>
                <w:sz w:val="22"/>
                <w:szCs w:val="22"/>
              </w:rPr>
            </w:pPr>
            <w:r w:rsidRPr="00CE1075">
              <w:rPr>
                <w:rFonts w:ascii="Calibri" w:hAnsi="Calibri" w:cs="Calibri"/>
                <w:color w:val="262626" w:themeColor="text1" w:themeTint="D9"/>
                <w:sz w:val="22"/>
                <w:szCs w:val="22"/>
              </w:rPr>
              <w:t> </w:t>
            </w:r>
          </w:p>
        </w:tc>
        <w:tc>
          <w:tcPr>
            <w:tcW w:w="540" w:type="dxa"/>
            <w:tcBorders>
              <w:top w:val="nil"/>
              <w:left w:val="nil"/>
              <w:bottom w:val="nil"/>
              <w:right w:val="nil"/>
            </w:tcBorders>
            <w:shd w:val="clear" w:color="FFFFFF" w:fill="FFFFFF"/>
            <w:noWrap/>
            <w:vAlign w:val="bottom"/>
            <w:hideMark/>
          </w:tcPr>
          <w:p w14:paraId="579501F8" w14:textId="77777777" w:rsidR="005D1150" w:rsidRPr="007E28A5" w:rsidRDefault="005D1150" w:rsidP="002B30A6">
            <w:pPr>
              <w:pStyle w:val="NICCYBodyTest"/>
              <w:rPr>
                <w:rFonts w:ascii="Calibri" w:hAnsi="Calibri" w:cs="Calibri"/>
                <w:color w:val="000000"/>
                <w:sz w:val="22"/>
                <w:szCs w:val="22"/>
              </w:rPr>
            </w:pPr>
            <w:r w:rsidRPr="007E28A5">
              <w:rPr>
                <w:rFonts w:ascii="Calibri" w:hAnsi="Calibri" w:cs="Calibri"/>
                <w:color w:val="000000"/>
                <w:sz w:val="22"/>
                <w:szCs w:val="22"/>
              </w:rPr>
              <w:t> </w:t>
            </w:r>
          </w:p>
        </w:tc>
      </w:tr>
      <w:tr w:rsidR="005D1150" w:rsidRPr="007E28A5" w14:paraId="369411C1" w14:textId="77777777" w:rsidTr="005D1150">
        <w:trPr>
          <w:trHeight w:val="300"/>
        </w:trPr>
        <w:tc>
          <w:tcPr>
            <w:tcW w:w="2518" w:type="dxa"/>
            <w:gridSpan w:val="2"/>
            <w:tcBorders>
              <w:top w:val="nil"/>
              <w:left w:val="single" w:sz="8" w:space="0" w:color="auto"/>
              <w:bottom w:val="single" w:sz="8" w:space="0" w:color="auto"/>
              <w:right w:val="single" w:sz="4" w:space="0" w:color="auto"/>
            </w:tcBorders>
            <w:shd w:val="clear" w:color="FFFFFF" w:fill="FFFFFF"/>
            <w:noWrap/>
            <w:vAlign w:val="bottom"/>
            <w:hideMark/>
          </w:tcPr>
          <w:p w14:paraId="6CCACB07" w14:textId="77777777" w:rsidR="005D1150" w:rsidRPr="00CE1075" w:rsidRDefault="005D1150" w:rsidP="002B30A6">
            <w:pPr>
              <w:pStyle w:val="NICCYBodyTest"/>
              <w:rPr>
                <w:rFonts w:ascii="Calibri" w:hAnsi="Calibri" w:cs="Calibri"/>
                <w:color w:val="262626" w:themeColor="text1" w:themeTint="D9"/>
                <w:sz w:val="22"/>
                <w:szCs w:val="22"/>
              </w:rPr>
            </w:pPr>
            <w:r w:rsidRPr="00CE1075">
              <w:rPr>
                <w:rFonts w:ascii="Calibri" w:hAnsi="Calibri" w:cs="Calibri"/>
                <w:color w:val="262626" w:themeColor="text1" w:themeTint="D9"/>
                <w:sz w:val="22"/>
                <w:szCs w:val="22"/>
              </w:rPr>
              <w:t>All Children</w:t>
            </w:r>
          </w:p>
        </w:tc>
        <w:tc>
          <w:tcPr>
            <w:tcW w:w="677" w:type="dxa"/>
            <w:tcBorders>
              <w:top w:val="nil"/>
              <w:left w:val="nil"/>
              <w:bottom w:val="single" w:sz="8" w:space="0" w:color="auto"/>
              <w:right w:val="single" w:sz="4" w:space="0" w:color="auto"/>
            </w:tcBorders>
            <w:shd w:val="clear" w:color="FFFFFF" w:fill="FFFFFF"/>
            <w:noWrap/>
            <w:vAlign w:val="bottom"/>
            <w:hideMark/>
          </w:tcPr>
          <w:p w14:paraId="3ADBCEBE" w14:textId="77777777" w:rsidR="005D1150" w:rsidRPr="00CE1075" w:rsidRDefault="005D1150" w:rsidP="002B30A6">
            <w:pPr>
              <w:pStyle w:val="NICCYBodyTest"/>
              <w:rPr>
                <w:rFonts w:ascii="Calibri" w:hAnsi="Calibri" w:cs="Calibri"/>
                <w:color w:val="262626" w:themeColor="text1" w:themeTint="D9"/>
                <w:sz w:val="22"/>
                <w:szCs w:val="22"/>
              </w:rPr>
            </w:pPr>
            <w:r w:rsidRPr="00CE1075">
              <w:rPr>
                <w:rFonts w:ascii="Calibri" w:hAnsi="Calibri" w:cs="Calibri"/>
                <w:color w:val="262626" w:themeColor="text1" w:themeTint="D9"/>
                <w:sz w:val="22"/>
                <w:szCs w:val="22"/>
              </w:rPr>
              <w:t>100</w:t>
            </w:r>
          </w:p>
        </w:tc>
        <w:tc>
          <w:tcPr>
            <w:tcW w:w="1024" w:type="dxa"/>
            <w:tcBorders>
              <w:top w:val="nil"/>
              <w:left w:val="nil"/>
              <w:bottom w:val="single" w:sz="8" w:space="0" w:color="auto"/>
              <w:right w:val="single" w:sz="4" w:space="0" w:color="auto"/>
            </w:tcBorders>
            <w:shd w:val="clear" w:color="FFFFFF" w:fill="FFFFFF"/>
            <w:noWrap/>
            <w:vAlign w:val="bottom"/>
            <w:hideMark/>
          </w:tcPr>
          <w:p w14:paraId="1D972AF6" w14:textId="77777777" w:rsidR="005D1150" w:rsidRPr="00CE1075" w:rsidRDefault="005D1150" w:rsidP="002B30A6">
            <w:pPr>
              <w:pStyle w:val="NICCYBodyTest"/>
              <w:rPr>
                <w:rFonts w:ascii="Calibri" w:hAnsi="Calibri" w:cs="Calibri"/>
                <w:color w:val="262626" w:themeColor="text1" w:themeTint="D9"/>
                <w:sz w:val="22"/>
                <w:szCs w:val="22"/>
              </w:rPr>
            </w:pPr>
            <w:r w:rsidRPr="00CE1075">
              <w:rPr>
                <w:rFonts w:ascii="Calibri" w:hAnsi="Calibri" w:cs="Calibri"/>
                <w:color w:val="262626" w:themeColor="text1" w:themeTint="D9"/>
                <w:sz w:val="22"/>
                <w:szCs w:val="22"/>
              </w:rPr>
              <w:t>97,000</w:t>
            </w:r>
          </w:p>
        </w:tc>
        <w:tc>
          <w:tcPr>
            <w:tcW w:w="700" w:type="dxa"/>
            <w:tcBorders>
              <w:top w:val="nil"/>
              <w:left w:val="nil"/>
              <w:bottom w:val="single" w:sz="8" w:space="0" w:color="auto"/>
              <w:right w:val="single" w:sz="4" w:space="0" w:color="auto"/>
            </w:tcBorders>
            <w:shd w:val="clear" w:color="FFFFFF" w:fill="FFFFFF"/>
            <w:noWrap/>
            <w:vAlign w:val="bottom"/>
            <w:hideMark/>
          </w:tcPr>
          <w:p w14:paraId="4B57F456" w14:textId="77777777" w:rsidR="005D1150" w:rsidRPr="00CE1075" w:rsidRDefault="005D1150" w:rsidP="002B30A6">
            <w:pPr>
              <w:pStyle w:val="NICCYBodyTest"/>
              <w:rPr>
                <w:rFonts w:ascii="Calibri" w:hAnsi="Calibri" w:cs="Calibri"/>
                <w:color w:val="262626" w:themeColor="text1" w:themeTint="D9"/>
                <w:sz w:val="22"/>
                <w:szCs w:val="22"/>
              </w:rPr>
            </w:pPr>
            <w:r w:rsidRPr="00CE1075">
              <w:rPr>
                <w:rFonts w:ascii="Calibri" w:hAnsi="Calibri" w:cs="Calibri"/>
                <w:color w:val="262626" w:themeColor="text1" w:themeTint="D9"/>
                <w:sz w:val="22"/>
                <w:szCs w:val="22"/>
              </w:rPr>
              <w:t>100</w:t>
            </w:r>
          </w:p>
        </w:tc>
        <w:tc>
          <w:tcPr>
            <w:tcW w:w="952" w:type="dxa"/>
            <w:gridSpan w:val="2"/>
            <w:tcBorders>
              <w:top w:val="nil"/>
              <w:left w:val="nil"/>
              <w:bottom w:val="single" w:sz="8" w:space="0" w:color="auto"/>
              <w:right w:val="single" w:sz="4" w:space="0" w:color="auto"/>
            </w:tcBorders>
            <w:shd w:val="clear" w:color="FFFFFF" w:fill="FFFFFF"/>
            <w:noWrap/>
            <w:vAlign w:val="bottom"/>
            <w:hideMark/>
          </w:tcPr>
          <w:p w14:paraId="08456056" w14:textId="77777777" w:rsidR="005D1150" w:rsidRPr="00CE1075" w:rsidRDefault="005D1150" w:rsidP="002B30A6">
            <w:pPr>
              <w:pStyle w:val="NICCYBodyTest"/>
              <w:rPr>
                <w:rFonts w:ascii="Calibri" w:hAnsi="Calibri" w:cs="Calibri"/>
                <w:color w:val="262626" w:themeColor="text1" w:themeTint="D9"/>
                <w:sz w:val="22"/>
                <w:szCs w:val="22"/>
              </w:rPr>
            </w:pPr>
            <w:r w:rsidRPr="00CE1075">
              <w:rPr>
                <w:rFonts w:ascii="Calibri" w:hAnsi="Calibri" w:cs="Calibri"/>
                <w:color w:val="262626" w:themeColor="text1" w:themeTint="D9"/>
                <w:sz w:val="22"/>
                <w:szCs w:val="22"/>
              </w:rPr>
              <w:t>81,000</w:t>
            </w:r>
          </w:p>
        </w:tc>
        <w:tc>
          <w:tcPr>
            <w:tcW w:w="680" w:type="dxa"/>
            <w:gridSpan w:val="2"/>
            <w:tcBorders>
              <w:top w:val="nil"/>
              <w:left w:val="nil"/>
              <w:bottom w:val="single" w:sz="8" w:space="0" w:color="auto"/>
              <w:right w:val="single" w:sz="4" w:space="0" w:color="auto"/>
            </w:tcBorders>
            <w:shd w:val="clear" w:color="FFFFFF" w:fill="FFFFFF"/>
            <w:noWrap/>
            <w:vAlign w:val="bottom"/>
            <w:hideMark/>
          </w:tcPr>
          <w:p w14:paraId="688D7598" w14:textId="77777777" w:rsidR="005D1150" w:rsidRPr="00CE1075" w:rsidRDefault="005D1150" w:rsidP="002B30A6">
            <w:pPr>
              <w:pStyle w:val="NICCYBodyTest"/>
              <w:rPr>
                <w:rFonts w:ascii="Calibri" w:hAnsi="Calibri" w:cs="Calibri"/>
                <w:color w:val="262626" w:themeColor="text1" w:themeTint="D9"/>
                <w:sz w:val="22"/>
                <w:szCs w:val="22"/>
              </w:rPr>
            </w:pPr>
            <w:r w:rsidRPr="00CE1075">
              <w:rPr>
                <w:rFonts w:ascii="Calibri" w:hAnsi="Calibri" w:cs="Calibri"/>
                <w:color w:val="262626" w:themeColor="text1" w:themeTint="D9"/>
                <w:sz w:val="22"/>
                <w:szCs w:val="22"/>
              </w:rPr>
              <w:t>100</w:t>
            </w:r>
          </w:p>
        </w:tc>
        <w:tc>
          <w:tcPr>
            <w:tcW w:w="952" w:type="dxa"/>
            <w:tcBorders>
              <w:top w:val="nil"/>
              <w:left w:val="nil"/>
              <w:bottom w:val="single" w:sz="8" w:space="0" w:color="auto"/>
              <w:right w:val="single" w:sz="4" w:space="0" w:color="auto"/>
            </w:tcBorders>
            <w:shd w:val="clear" w:color="FFFFFF" w:fill="FFFFFF"/>
            <w:noWrap/>
            <w:vAlign w:val="bottom"/>
            <w:hideMark/>
          </w:tcPr>
          <w:p w14:paraId="15E52475" w14:textId="77777777" w:rsidR="005D1150" w:rsidRPr="007E28A5" w:rsidRDefault="005D1150" w:rsidP="002B30A6">
            <w:pPr>
              <w:pStyle w:val="NICCYBodyTest"/>
              <w:rPr>
                <w:rFonts w:ascii="Calibri" w:hAnsi="Calibri" w:cs="Calibri"/>
                <w:color w:val="000000"/>
                <w:sz w:val="22"/>
                <w:szCs w:val="22"/>
              </w:rPr>
            </w:pPr>
            <w:r w:rsidRPr="007E28A5">
              <w:rPr>
                <w:rFonts w:ascii="Calibri" w:hAnsi="Calibri" w:cs="Calibri"/>
                <w:color w:val="000000"/>
                <w:sz w:val="22"/>
                <w:szCs w:val="22"/>
              </w:rPr>
              <w:t>114,000</w:t>
            </w:r>
          </w:p>
        </w:tc>
        <w:tc>
          <w:tcPr>
            <w:tcW w:w="704" w:type="dxa"/>
            <w:tcBorders>
              <w:top w:val="nil"/>
              <w:left w:val="nil"/>
              <w:bottom w:val="single" w:sz="8" w:space="0" w:color="auto"/>
              <w:right w:val="single" w:sz="4" w:space="0" w:color="auto"/>
            </w:tcBorders>
            <w:shd w:val="clear" w:color="FFFFFF" w:fill="FFFFFF"/>
            <w:noWrap/>
            <w:vAlign w:val="bottom"/>
            <w:hideMark/>
          </w:tcPr>
          <w:p w14:paraId="12B466FC" w14:textId="77777777" w:rsidR="005D1150" w:rsidRPr="00CE1075" w:rsidRDefault="005D1150" w:rsidP="002B30A6">
            <w:pPr>
              <w:pStyle w:val="NICCYBodyTest"/>
              <w:rPr>
                <w:rFonts w:ascii="Calibri" w:hAnsi="Calibri" w:cs="Calibri"/>
                <w:color w:val="262626" w:themeColor="text1" w:themeTint="D9"/>
                <w:sz w:val="22"/>
                <w:szCs w:val="22"/>
              </w:rPr>
            </w:pPr>
            <w:r w:rsidRPr="00CE1075">
              <w:rPr>
                <w:rFonts w:ascii="Calibri" w:hAnsi="Calibri" w:cs="Calibri"/>
                <w:color w:val="262626" w:themeColor="text1" w:themeTint="D9"/>
                <w:sz w:val="22"/>
                <w:szCs w:val="22"/>
              </w:rPr>
              <w:t>100</w:t>
            </w:r>
          </w:p>
        </w:tc>
        <w:tc>
          <w:tcPr>
            <w:tcW w:w="952" w:type="dxa"/>
            <w:tcBorders>
              <w:top w:val="nil"/>
              <w:left w:val="nil"/>
              <w:bottom w:val="single" w:sz="8" w:space="0" w:color="auto"/>
              <w:right w:val="single" w:sz="8" w:space="0" w:color="auto"/>
            </w:tcBorders>
            <w:shd w:val="clear" w:color="FFFFFF" w:fill="FFFFFF"/>
            <w:noWrap/>
            <w:vAlign w:val="bottom"/>
            <w:hideMark/>
          </w:tcPr>
          <w:p w14:paraId="2DDF9A27" w14:textId="77777777" w:rsidR="005D1150" w:rsidRPr="00CE1075" w:rsidRDefault="005D1150" w:rsidP="002B30A6">
            <w:pPr>
              <w:pStyle w:val="NICCYBodyTest"/>
              <w:rPr>
                <w:rFonts w:ascii="Calibri" w:hAnsi="Calibri" w:cs="Calibri"/>
                <w:color w:val="262626" w:themeColor="text1" w:themeTint="D9"/>
                <w:sz w:val="22"/>
                <w:szCs w:val="22"/>
              </w:rPr>
            </w:pPr>
            <w:r w:rsidRPr="00CE1075">
              <w:rPr>
                <w:rFonts w:ascii="Calibri" w:hAnsi="Calibri" w:cs="Calibri"/>
                <w:color w:val="262626" w:themeColor="text1" w:themeTint="D9"/>
                <w:sz w:val="22"/>
                <w:szCs w:val="22"/>
              </w:rPr>
              <w:t>97,000</w:t>
            </w:r>
          </w:p>
        </w:tc>
        <w:tc>
          <w:tcPr>
            <w:tcW w:w="540" w:type="dxa"/>
            <w:tcBorders>
              <w:top w:val="nil"/>
              <w:left w:val="nil"/>
              <w:bottom w:val="nil"/>
              <w:right w:val="nil"/>
            </w:tcBorders>
            <w:shd w:val="clear" w:color="FFFFFF" w:fill="FFFFFF"/>
            <w:noWrap/>
            <w:vAlign w:val="bottom"/>
            <w:hideMark/>
          </w:tcPr>
          <w:p w14:paraId="7629A461" w14:textId="77777777" w:rsidR="005D1150" w:rsidRPr="007E28A5" w:rsidRDefault="005D1150" w:rsidP="002B30A6">
            <w:pPr>
              <w:pStyle w:val="NICCYBodyTest"/>
              <w:rPr>
                <w:rFonts w:ascii="Calibri" w:hAnsi="Calibri" w:cs="Calibri"/>
                <w:color w:val="000000"/>
                <w:sz w:val="22"/>
                <w:szCs w:val="22"/>
              </w:rPr>
            </w:pPr>
            <w:r w:rsidRPr="007E28A5">
              <w:rPr>
                <w:rFonts w:ascii="Calibri" w:hAnsi="Calibri" w:cs="Calibri"/>
                <w:color w:val="000000"/>
                <w:sz w:val="22"/>
                <w:szCs w:val="22"/>
              </w:rPr>
              <w:t> </w:t>
            </w:r>
          </w:p>
        </w:tc>
      </w:tr>
      <w:tr w:rsidR="00CE1075" w:rsidRPr="00CE1075" w14:paraId="2E773511" w14:textId="77777777" w:rsidTr="005D1150">
        <w:trPr>
          <w:gridBefore w:val="1"/>
          <w:gridAfter w:val="7"/>
          <w:wBefore w:w="108" w:type="dxa"/>
          <w:wAfter w:w="4279" w:type="dxa"/>
          <w:trHeight w:val="290"/>
        </w:trPr>
        <w:tc>
          <w:tcPr>
            <w:tcW w:w="5312" w:type="dxa"/>
            <w:gridSpan w:val="5"/>
            <w:tcBorders>
              <w:top w:val="nil"/>
              <w:left w:val="nil"/>
              <w:bottom w:val="nil"/>
              <w:right w:val="nil"/>
            </w:tcBorders>
            <w:shd w:val="clear" w:color="FFFFFF" w:fill="FFFFFF"/>
            <w:noWrap/>
            <w:vAlign w:val="bottom"/>
            <w:hideMark/>
          </w:tcPr>
          <w:p w14:paraId="23988D73" w14:textId="21081701" w:rsidR="005D1150" w:rsidRPr="00CE1075" w:rsidRDefault="005D1150" w:rsidP="002B30A6">
            <w:pPr>
              <w:pStyle w:val="NICCYBodyTest"/>
              <w:rPr>
                <w:b/>
                <w:bCs/>
                <w:i/>
                <w:iCs/>
                <w:color w:val="262626" w:themeColor="text1" w:themeTint="D9"/>
                <w:sz w:val="16"/>
                <w:szCs w:val="16"/>
              </w:rPr>
            </w:pPr>
            <w:r w:rsidRPr="00CE1075">
              <w:rPr>
                <w:i/>
                <w:iCs/>
                <w:color w:val="262626" w:themeColor="text1" w:themeTint="D9"/>
                <w:sz w:val="16"/>
                <w:szCs w:val="16"/>
              </w:rPr>
              <w:t>Figures based on an average of 3 years of data</w:t>
            </w:r>
          </w:p>
        </w:tc>
      </w:tr>
      <w:tr w:rsidR="005D1150" w:rsidRPr="007E28A5" w14:paraId="2EDE2EDD" w14:textId="77777777" w:rsidTr="005D1150">
        <w:trPr>
          <w:gridBefore w:val="1"/>
          <w:gridAfter w:val="5"/>
          <w:wBefore w:w="108" w:type="dxa"/>
          <w:wAfter w:w="3602" w:type="dxa"/>
          <w:trHeight w:val="290"/>
        </w:trPr>
        <w:tc>
          <w:tcPr>
            <w:tcW w:w="5989" w:type="dxa"/>
            <w:gridSpan w:val="7"/>
            <w:tcBorders>
              <w:top w:val="nil"/>
              <w:left w:val="nil"/>
              <w:bottom w:val="nil"/>
              <w:right w:val="nil"/>
            </w:tcBorders>
            <w:shd w:val="clear" w:color="FFFFFF" w:fill="FFFFFF"/>
            <w:noWrap/>
            <w:vAlign w:val="bottom"/>
            <w:hideMark/>
          </w:tcPr>
          <w:p w14:paraId="43805F8B" w14:textId="77777777" w:rsidR="005D1150" w:rsidRPr="00CE1075" w:rsidRDefault="005D1150" w:rsidP="002B30A6">
            <w:pPr>
              <w:pStyle w:val="NICCYBodyTest"/>
              <w:rPr>
                <w:i/>
                <w:iCs/>
                <w:color w:val="262626" w:themeColor="text1" w:themeTint="D9"/>
                <w:sz w:val="16"/>
                <w:szCs w:val="16"/>
              </w:rPr>
            </w:pPr>
            <w:r w:rsidRPr="00CE1075">
              <w:rPr>
                <w:i/>
                <w:iCs/>
                <w:color w:val="262626" w:themeColor="text1" w:themeTint="D9"/>
                <w:sz w:val="16"/>
                <w:szCs w:val="16"/>
              </w:rPr>
              <w:t>Figures are rounded to the nearest thousand / %</w:t>
            </w:r>
          </w:p>
        </w:tc>
      </w:tr>
    </w:tbl>
    <w:p w14:paraId="5FDC5CBC" w14:textId="19E5B915" w:rsidR="005D1150" w:rsidRDefault="005D1150" w:rsidP="00CA60CB">
      <w:pPr>
        <w:pStyle w:val="NICCYBodyTest"/>
        <w:ind w:left="720"/>
      </w:pPr>
    </w:p>
    <w:p w14:paraId="1CFA2962" w14:textId="3308E322" w:rsidR="001A1F37" w:rsidRDefault="001A1F37" w:rsidP="00CA60CB">
      <w:pPr>
        <w:pStyle w:val="NICCYBodyTest"/>
        <w:ind w:left="720"/>
      </w:pPr>
      <w:r>
        <w:t xml:space="preserve">These statistics suggest that eligibility for Free Schools Meals does not closely match the </w:t>
      </w:r>
      <w:r w:rsidR="009541D4">
        <w:t xml:space="preserve">accepted measures for child poverty, </w:t>
      </w:r>
      <w:r w:rsidR="00524C18">
        <w:t xml:space="preserve">with </w:t>
      </w:r>
      <w:r w:rsidR="009541D4">
        <w:t>only one in three children in poverty being in receipt.</w:t>
      </w:r>
    </w:p>
    <w:p w14:paraId="31F3668B" w14:textId="61B1C254" w:rsidR="009541D4" w:rsidRDefault="009541D4" w:rsidP="00CA60CB">
      <w:pPr>
        <w:pStyle w:val="NICCYBodyTest"/>
        <w:ind w:left="720"/>
      </w:pPr>
    </w:p>
    <w:p w14:paraId="7B78F691" w14:textId="29E2FACE" w:rsidR="009541D4" w:rsidRDefault="00B16448" w:rsidP="00CA60CB">
      <w:pPr>
        <w:pStyle w:val="NICCYBodyTest"/>
        <w:ind w:left="720"/>
      </w:pPr>
      <w:r>
        <w:t>Given</w:t>
      </w:r>
      <w:r w:rsidR="009541D4">
        <w:t xml:space="preserve"> that this measure is used to target support for socio-</w:t>
      </w:r>
      <w:proofErr w:type="gramStart"/>
      <w:r w:rsidR="009541D4">
        <w:t>economically disadvantaged</w:t>
      </w:r>
      <w:proofErr w:type="gramEnd"/>
      <w:r w:rsidR="009541D4">
        <w:t xml:space="preserve"> children, there is an urgent need to review the eligibility criteria for Free School Meals to ensure that it includes all children in poverty. </w:t>
      </w:r>
      <w:r w:rsidR="00DB0534">
        <w:t>NICCY is not</w:t>
      </w:r>
      <w:r w:rsidR="00367413">
        <w:t>, therefore,</w:t>
      </w:r>
      <w:r w:rsidR="00DB0534">
        <w:t xml:space="preserve"> supportive of using </w:t>
      </w:r>
      <w:r w:rsidR="00367413">
        <w:t>the Free School Meals criteria as it currently stands. H</w:t>
      </w:r>
      <w:r w:rsidR="00354F89">
        <w:t xml:space="preserve">owever, if it is reviewed and amended to ensure that all children in poverty are </w:t>
      </w:r>
      <w:r w:rsidR="00D72773">
        <w:t>eligible, it would be appropriate for this measure to be used as the SDC criteria.</w:t>
      </w:r>
    </w:p>
    <w:p w14:paraId="7414C39B" w14:textId="77777777" w:rsidR="00507B51" w:rsidRDefault="00507B51" w:rsidP="00CE1075"/>
    <w:p w14:paraId="658DFE2E" w14:textId="77777777" w:rsidR="000B0320" w:rsidRDefault="000B0320" w:rsidP="000B0320">
      <w:pPr>
        <w:pStyle w:val="NICCYBodyTest"/>
      </w:pPr>
    </w:p>
    <w:p w14:paraId="3B55D65C" w14:textId="03BC8908" w:rsidR="00BE3C38" w:rsidRDefault="000B0320" w:rsidP="000B0320">
      <w:pPr>
        <w:pStyle w:val="NICCYBodyTest"/>
      </w:pPr>
      <w:proofErr w:type="gramStart"/>
      <w:r>
        <w:t>On the basis of</w:t>
      </w:r>
      <w:proofErr w:type="gramEnd"/>
      <w:r>
        <w:t xml:space="preserve"> these points, NICCY </w:t>
      </w:r>
      <w:r w:rsidR="00BE072E">
        <w:t xml:space="preserve">agrees that, in the short term, the most suitable option is </w:t>
      </w:r>
      <w:r w:rsidR="00BE072E" w:rsidRPr="00BE072E">
        <w:rPr>
          <w:b/>
          <w:bCs/>
          <w:i/>
          <w:iCs/>
        </w:rPr>
        <w:t>Option 3: Retain the statutory criterion and amend the current definition of ‘socially disadvantaged circumstances to include universal credit and all its legacy benefits.</w:t>
      </w:r>
      <w:r w:rsidR="00BE072E">
        <w:t xml:space="preserve"> </w:t>
      </w:r>
    </w:p>
    <w:p w14:paraId="29BF090C" w14:textId="0494F87F" w:rsidR="00BE072E" w:rsidRDefault="00BE072E" w:rsidP="000B0320">
      <w:pPr>
        <w:pStyle w:val="NICCYBodyTest"/>
      </w:pPr>
    </w:p>
    <w:p w14:paraId="620DE48B" w14:textId="4AFE2953" w:rsidR="00BE072E" w:rsidRDefault="00BE072E" w:rsidP="000B0320">
      <w:pPr>
        <w:pStyle w:val="NICCYBodyTest"/>
      </w:pPr>
      <w:r>
        <w:t xml:space="preserve">Retaining the SDC </w:t>
      </w:r>
      <w:r w:rsidR="00B16448">
        <w:t xml:space="preserve">criteria </w:t>
      </w:r>
      <w:r>
        <w:t>and extending it to Universal Credit (UC) and its legacy benefits provides the best assurance of extending eligibility to all children in poverty, whether they are in working or workless households. It also addresses the inequalities between those who have remained on legacy benefits and those who are now in receipt of UC.</w:t>
      </w:r>
    </w:p>
    <w:p w14:paraId="22AE00B6" w14:textId="5EB74BB6" w:rsidR="00BE072E" w:rsidRDefault="00BE072E" w:rsidP="000B0320">
      <w:pPr>
        <w:pStyle w:val="NICCYBodyTest"/>
        <w:rPr>
          <w:b/>
          <w:bCs/>
        </w:rPr>
      </w:pPr>
    </w:p>
    <w:p w14:paraId="38E0681A" w14:textId="381EFFE4" w:rsidR="00BE072E" w:rsidRDefault="00BE072E" w:rsidP="000B0320">
      <w:pPr>
        <w:pStyle w:val="NICCYBodyTest"/>
      </w:pPr>
      <w:r>
        <w:t xml:space="preserve">However, we do not agree with the second part of the proposal – </w:t>
      </w:r>
      <w:proofErr w:type="gramStart"/>
      <w:r>
        <w:t>i</w:t>
      </w:r>
      <w:r w:rsidR="00524C18">
        <w:t>.</w:t>
      </w:r>
      <w:r>
        <w:t>e</w:t>
      </w:r>
      <w:r w:rsidR="00524C18">
        <w:t>.</w:t>
      </w:r>
      <w:proofErr w:type="gramEnd"/>
      <w:r>
        <w:t xml:space="preserve"> to standardise pre-school education session times and then remove the statutory criterion for ‘socially disadvantaged circumstances’. Without clarity </w:t>
      </w:r>
      <w:r w:rsidR="00524C18">
        <w:t xml:space="preserve">as to </w:t>
      </w:r>
      <w:r>
        <w:t xml:space="preserve">whether the provision would be standardised up to full time hours (including a meal), or standardised down to part time hours, it is not possible to determine the implications of this proposal. </w:t>
      </w:r>
      <w:r w:rsidR="00B05BF8">
        <w:t xml:space="preserve">Moreover, even in the situation where provision is standardised, there is a benefit of maintaining SDC criteria to families in low incomes for whom there is no support for home-school transport. If the SDC criteria were to be removed the Department would need to start funding home-school </w:t>
      </w:r>
      <w:r w:rsidR="00B05BF8">
        <w:lastRenderedPageBreak/>
        <w:t>transport for pre-school children who have not been able to access pre-school places close to home.</w:t>
      </w:r>
    </w:p>
    <w:p w14:paraId="2BD44834" w14:textId="09E2AB2A" w:rsidR="00D72773" w:rsidRDefault="00D72773" w:rsidP="000B0320">
      <w:pPr>
        <w:pStyle w:val="NICCYBodyTest"/>
      </w:pPr>
    </w:p>
    <w:p w14:paraId="57CD2D8B" w14:textId="212A5ADB" w:rsidR="00D72773" w:rsidRDefault="000E4F52" w:rsidP="000B0320">
      <w:pPr>
        <w:pStyle w:val="NICCYBodyTest"/>
      </w:pPr>
      <w:r>
        <w:t>Instead, NICCY proposes that DE conducts a review of the Free School Meal eligibility</w:t>
      </w:r>
      <w:r w:rsidR="006A26DA">
        <w:t xml:space="preserve"> criteria, and amends this to ensure that it </w:t>
      </w:r>
      <w:r w:rsidR="00FE1B62">
        <w:t xml:space="preserve">more accurately reflects the </w:t>
      </w:r>
      <w:r w:rsidR="00987187">
        <w:t xml:space="preserve">government measure for relative poverty. </w:t>
      </w:r>
      <w:r w:rsidR="00716869">
        <w:t xml:space="preserve">Once this has been done, and all children in poverty are eligible for </w:t>
      </w:r>
      <w:r w:rsidR="00C54EC9">
        <w:t xml:space="preserve">Free School Meals, </w:t>
      </w:r>
      <w:r w:rsidR="00730A85">
        <w:t xml:space="preserve">then </w:t>
      </w:r>
      <w:r w:rsidR="00C54EC9">
        <w:t>at that point the SDC criteria should be chang</w:t>
      </w:r>
      <w:r w:rsidR="00936BB8">
        <w:t xml:space="preserve">ed to match this. This would provide consistency in how DE targets its support to children in poverty. </w:t>
      </w:r>
    </w:p>
    <w:p w14:paraId="5D0DA7C9" w14:textId="6FEAAD5F" w:rsidR="00936BB8" w:rsidRDefault="00936BB8" w:rsidP="000B0320">
      <w:pPr>
        <w:pStyle w:val="NICCYBodyTest"/>
      </w:pPr>
    </w:p>
    <w:p w14:paraId="4605701E" w14:textId="77777777" w:rsidR="00CB2C20" w:rsidRDefault="00936BB8" w:rsidP="00A92A49">
      <w:pPr>
        <w:pStyle w:val="NICCYBodyTest"/>
        <w:rPr>
          <w:b/>
          <w:bCs/>
        </w:rPr>
      </w:pPr>
      <w:r w:rsidRPr="00936BB8">
        <w:rPr>
          <w:b/>
          <w:bCs/>
        </w:rPr>
        <w:t>Recommendat</w:t>
      </w:r>
      <w:r w:rsidR="00CB2C20">
        <w:rPr>
          <w:b/>
          <w:bCs/>
        </w:rPr>
        <w:t>ions</w:t>
      </w:r>
    </w:p>
    <w:p w14:paraId="12D11CF2" w14:textId="77777777" w:rsidR="00CB2C20" w:rsidRDefault="00CB2C20" w:rsidP="00A92A49">
      <w:pPr>
        <w:pStyle w:val="NICCYBodyTest"/>
        <w:rPr>
          <w:b/>
          <w:bCs/>
        </w:rPr>
      </w:pPr>
    </w:p>
    <w:p w14:paraId="78844E37" w14:textId="66A0E19F" w:rsidR="00A92A49" w:rsidRPr="002351CE" w:rsidRDefault="00A62250" w:rsidP="00A62250">
      <w:pPr>
        <w:pStyle w:val="NICCYBodyTest"/>
        <w:rPr>
          <w:b/>
          <w:bCs/>
        </w:rPr>
      </w:pPr>
      <w:r w:rsidRPr="002351CE">
        <w:rPr>
          <w:b/>
          <w:bCs/>
        </w:rPr>
        <w:t xml:space="preserve">NICCY recognises that there may be a rationale for </w:t>
      </w:r>
      <w:r w:rsidR="00CA2079" w:rsidRPr="002351CE">
        <w:rPr>
          <w:b/>
          <w:bCs/>
        </w:rPr>
        <w:t>differen</w:t>
      </w:r>
      <w:r w:rsidR="003217F7" w:rsidRPr="002351CE">
        <w:rPr>
          <w:b/>
          <w:bCs/>
        </w:rPr>
        <w:t xml:space="preserve">ces in the pre-school provision, particularly if this allows children from </w:t>
      </w:r>
      <w:r w:rsidR="002351CE" w:rsidRPr="002351CE">
        <w:rPr>
          <w:b/>
          <w:bCs/>
        </w:rPr>
        <w:t xml:space="preserve">socially disadvantaged households to access longer hours and a meal. </w:t>
      </w:r>
      <w:r w:rsidR="00730A85">
        <w:rPr>
          <w:b/>
          <w:bCs/>
        </w:rPr>
        <w:t xml:space="preserve"> </w:t>
      </w:r>
      <w:proofErr w:type="gramStart"/>
      <w:r w:rsidR="00730A85">
        <w:rPr>
          <w:b/>
          <w:bCs/>
        </w:rPr>
        <w:t>Therefore</w:t>
      </w:r>
      <w:proofErr w:type="gramEnd"/>
      <w:r w:rsidR="00730A85">
        <w:rPr>
          <w:b/>
          <w:bCs/>
        </w:rPr>
        <w:t xml:space="preserve"> NICCY recommends </w:t>
      </w:r>
      <w:r w:rsidR="00B16448">
        <w:rPr>
          <w:b/>
          <w:bCs/>
        </w:rPr>
        <w:t>that, if</w:t>
      </w:r>
      <w:r w:rsidR="00A92A49" w:rsidRPr="002351CE">
        <w:rPr>
          <w:b/>
          <w:bCs/>
        </w:rPr>
        <w:t xml:space="preserve"> standardisation of </w:t>
      </w:r>
      <w:r w:rsidR="00F5622F" w:rsidRPr="002351CE">
        <w:rPr>
          <w:b/>
          <w:bCs/>
        </w:rPr>
        <w:t xml:space="preserve">pre-school </w:t>
      </w:r>
      <w:r w:rsidR="00A92A49" w:rsidRPr="002351CE">
        <w:rPr>
          <w:b/>
          <w:bCs/>
        </w:rPr>
        <w:t>provision is to be achieved</w:t>
      </w:r>
      <w:r w:rsidR="00C07428" w:rsidRPr="002351CE">
        <w:rPr>
          <w:b/>
          <w:bCs/>
        </w:rPr>
        <w:t>, this should</w:t>
      </w:r>
      <w:r w:rsidR="002351CE" w:rsidRPr="002351CE">
        <w:rPr>
          <w:b/>
          <w:bCs/>
        </w:rPr>
        <w:t xml:space="preserve"> not</w:t>
      </w:r>
      <w:r w:rsidR="00F5622F" w:rsidRPr="002351CE">
        <w:rPr>
          <w:b/>
          <w:bCs/>
        </w:rPr>
        <w:t xml:space="preserve"> be a </w:t>
      </w:r>
      <w:r w:rsidR="00C07428" w:rsidRPr="002351CE">
        <w:rPr>
          <w:b/>
          <w:bCs/>
        </w:rPr>
        <w:t>‘standardis</w:t>
      </w:r>
      <w:r w:rsidR="00F5622F" w:rsidRPr="002351CE">
        <w:rPr>
          <w:b/>
          <w:bCs/>
        </w:rPr>
        <w:t>ing</w:t>
      </w:r>
      <w:r w:rsidR="00C07428" w:rsidRPr="002351CE">
        <w:rPr>
          <w:b/>
          <w:bCs/>
        </w:rPr>
        <w:t xml:space="preserve"> down’ to part-time hours</w:t>
      </w:r>
      <w:r w:rsidR="00A92A49" w:rsidRPr="002351CE">
        <w:rPr>
          <w:b/>
          <w:bCs/>
        </w:rPr>
        <w:t>,</w:t>
      </w:r>
      <w:r w:rsidR="00F5622F" w:rsidRPr="002351CE">
        <w:rPr>
          <w:b/>
          <w:bCs/>
        </w:rPr>
        <w:t xml:space="preserve"> but a ‘standardis</w:t>
      </w:r>
      <w:r w:rsidRPr="002351CE">
        <w:rPr>
          <w:b/>
          <w:bCs/>
        </w:rPr>
        <w:t>ing</w:t>
      </w:r>
      <w:r w:rsidR="00F5622F" w:rsidRPr="002351CE">
        <w:rPr>
          <w:b/>
          <w:bCs/>
        </w:rPr>
        <w:t xml:space="preserve"> up’ to full time hours, along with a meal</w:t>
      </w:r>
      <w:r w:rsidRPr="002351CE">
        <w:rPr>
          <w:b/>
          <w:bCs/>
        </w:rPr>
        <w:t>.</w:t>
      </w:r>
    </w:p>
    <w:p w14:paraId="6ACD7401" w14:textId="77777777" w:rsidR="00A92A49" w:rsidRDefault="00A92A49" w:rsidP="00936BB8">
      <w:pPr>
        <w:pStyle w:val="NICCYBodyTest"/>
        <w:rPr>
          <w:b/>
          <w:bCs/>
        </w:rPr>
      </w:pPr>
    </w:p>
    <w:p w14:paraId="746D6218" w14:textId="7D8039D6" w:rsidR="00936BB8" w:rsidRPr="00936BB8" w:rsidRDefault="00936BB8" w:rsidP="00936BB8">
      <w:pPr>
        <w:pStyle w:val="NICCYBodyTest"/>
        <w:rPr>
          <w:b/>
          <w:bCs/>
        </w:rPr>
      </w:pPr>
      <w:r w:rsidRPr="00936BB8">
        <w:rPr>
          <w:b/>
          <w:bCs/>
        </w:rPr>
        <w:t xml:space="preserve">NICCY agrees that, in the short term, the most suitable options </w:t>
      </w:r>
      <w:proofErr w:type="gramStart"/>
      <w:r w:rsidRPr="00936BB8">
        <w:rPr>
          <w:b/>
          <w:bCs/>
        </w:rPr>
        <w:t>is</w:t>
      </w:r>
      <w:proofErr w:type="gramEnd"/>
      <w:r w:rsidRPr="00936BB8">
        <w:rPr>
          <w:b/>
          <w:bCs/>
        </w:rPr>
        <w:t xml:space="preserve"> </w:t>
      </w:r>
      <w:r w:rsidRPr="00936BB8">
        <w:rPr>
          <w:b/>
          <w:bCs/>
          <w:i/>
          <w:iCs/>
        </w:rPr>
        <w:t>Option 3: Retain the statutory criterion and amend the current definition of ‘socially disadvantaged circumstances to include universal credit and all its legacy benefits.</w:t>
      </w:r>
      <w:r w:rsidRPr="00936BB8">
        <w:rPr>
          <w:b/>
          <w:bCs/>
        </w:rPr>
        <w:t xml:space="preserve"> </w:t>
      </w:r>
      <w:r w:rsidR="00D91925">
        <w:rPr>
          <w:b/>
          <w:bCs/>
        </w:rPr>
        <w:t xml:space="preserve">However, </w:t>
      </w:r>
      <w:r w:rsidR="00730A85">
        <w:rPr>
          <w:b/>
          <w:bCs/>
        </w:rPr>
        <w:t>NICCY does not</w:t>
      </w:r>
      <w:r w:rsidR="00D91925">
        <w:rPr>
          <w:b/>
          <w:bCs/>
        </w:rPr>
        <w:t xml:space="preserve"> agree</w:t>
      </w:r>
      <w:r w:rsidR="005C2D2D">
        <w:rPr>
          <w:b/>
          <w:bCs/>
        </w:rPr>
        <w:t xml:space="preserve"> to the subsequent removal of the SDC criteria.</w:t>
      </w:r>
    </w:p>
    <w:p w14:paraId="05930682" w14:textId="2F3D027B" w:rsidR="00936BB8" w:rsidRPr="00936BB8" w:rsidRDefault="00936BB8" w:rsidP="000B0320">
      <w:pPr>
        <w:pStyle w:val="NICCYBodyTest"/>
        <w:rPr>
          <w:b/>
          <w:bCs/>
        </w:rPr>
      </w:pPr>
    </w:p>
    <w:p w14:paraId="5294F975" w14:textId="661703A2" w:rsidR="00936BB8" w:rsidRDefault="00936BB8" w:rsidP="000B0320">
      <w:pPr>
        <w:pStyle w:val="NICCYBodyTest"/>
        <w:rPr>
          <w:b/>
          <w:bCs/>
        </w:rPr>
      </w:pPr>
      <w:r w:rsidRPr="00936BB8">
        <w:rPr>
          <w:b/>
          <w:bCs/>
        </w:rPr>
        <w:t xml:space="preserve">NICCY </w:t>
      </w:r>
      <w:r w:rsidR="00730A85">
        <w:rPr>
          <w:b/>
          <w:bCs/>
        </w:rPr>
        <w:t>recommends</w:t>
      </w:r>
      <w:r w:rsidRPr="00936BB8">
        <w:rPr>
          <w:b/>
          <w:bCs/>
        </w:rPr>
        <w:t xml:space="preserve"> that DE conducts a review of the Free School Meal eligibility criteria, and amends this to ensure that it more accurately reflects the government measure for relative poverty. Once this has been done, and all children in poverty are eligible for Free School Meals, at that point the SDC criteria should be changed to match this.</w:t>
      </w:r>
    </w:p>
    <w:p w14:paraId="0B9C0C59" w14:textId="7C926FEB" w:rsidR="003F2FC3" w:rsidRDefault="003F2FC3" w:rsidP="000B0320">
      <w:pPr>
        <w:pStyle w:val="NICCYBodyTest"/>
        <w:rPr>
          <w:b/>
          <w:bCs/>
        </w:rPr>
      </w:pPr>
    </w:p>
    <w:p w14:paraId="18DC966A" w14:textId="3AA5C873" w:rsidR="003F2FC3" w:rsidRPr="003F2FC3" w:rsidRDefault="004B1ED4" w:rsidP="000B0320">
      <w:pPr>
        <w:pStyle w:val="NICCYBodyTest"/>
      </w:pPr>
      <w:r>
        <w:t xml:space="preserve">In conclusion, we welcome the opportunity to advise on the </w:t>
      </w:r>
      <w:r w:rsidR="00AB5F38">
        <w:t xml:space="preserve">review of the Pre-school statutory admissions criteria. Please </w:t>
      </w:r>
      <w:r w:rsidR="002B30A6">
        <w:t xml:space="preserve">get in touch if anything is not clear or if you would like to discuss this further. </w:t>
      </w:r>
    </w:p>
    <w:sectPr w:rsidR="003F2FC3" w:rsidRPr="003F2FC3" w:rsidSect="00791E93">
      <w:headerReference w:type="default" r:id="rId8"/>
      <w:footerReference w:type="even" r:id="rId9"/>
      <w:footerReference w:type="default" r:id="rId10"/>
      <w:pgSz w:w="11900" w:h="16840"/>
      <w:pgMar w:top="2835" w:right="1134" w:bottom="1985" w:left="1134" w:header="39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41769" w14:textId="77777777" w:rsidR="00A237EE" w:rsidRDefault="00A237EE" w:rsidP="00280C3B">
      <w:r>
        <w:separator/>
      </w:r>
    </w:p>
  </w:endnote>
  <w:endnote w:type="continuationSeparator" w:id="0">
    <w:p w14:paraId="14061202" w14:textId="77777777" w:rsidR="00A237EE" w:rsidRDefault="00A237EE" w:rsidP="0028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ook">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39B38" w14:textId="77777777" w:rsidR="007B2087" w:rsidRDefault="00A66FEF" w:rsidP="006013F5">
    <w:pPr>
      <w:pStyle w:val="Footer"/>
      <w:framePr w:wrap="around" w:vAnchor="text" w:hAnchor="margin" w:xAlign="right" w:y="1"/>
      <w:rPr>
        <w:rStyle w:val="PageNumber"/>
      </w:rPr>
    </w:pPr>
    <w:r>
      <w:rPr>
        <w:rStyle w:val="PageNumber"/>
      </w:rPr>
      <w:fldChar w:fldCharType="begin"/>
    </w:r>
    <w:r w:rsidR="007B2087">
      <w:rPr>
        <w:rStyle w:val="PageNumber"/>
      </w:rPr>
      <w:instrText xml:space="preserve">PAGE  </w:instrText>
    </w:r>
    <w:r>
      <w:rPr>
        <w:rStyle w:val="PageNumber"/>
      </w:rPr>
      <w:fldChar w:fldCharType="end"/>
    </w:r>
  </w:p>
  <w:p w14:paraId="3BD39B39" w14:textId="77777777" w:rsidR="007B2087" w:rsidRDefault="007B2087" w:rsidP="00D81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39B3A" w14:textId="77777777" w:rsidR="007B2087" w:rsidRPr="008C32B9" w:rsidRDefault="00A66FEF"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007B2087"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D8200B">
      <w:rPr>
        <w:rStyle w:val="PageNumber"/>
        <w:rFonts w:ascii="Arial" w:hAnsi="Arial" w:cs="Arial"/>
        <w:noProof/>
        <w:color w:val="414042"/>
        <w:sz w:val="16"/>
        <w:szCs w:val="16"/>
      </w:rPr>
      <w:t>1</w:t>
    </w:r>
    <w:r w:rsidRPr="008C32B9">
      <w:rPr>
        <w:rStyle w:val="PageNumber"/>
        <w:rFonts w:ascii="Arial" w:hAnsi="Arial" w:cs="Arial"/>
        <w:color w:val="414042"/>
        <w:sz w:val="16"/>
        <w:szCs w:val="16"/>
      </w:rPr>
      <w:fldChar w:fldCharType="end"/>
    </w:r>
  </w:p>
  <w:p w14:paraId="3BD39B3B" w14:textId="032119C0" w:rsidR="007B2087" w:rsidRPr="008C32B9" w:rsidRDefault="007B2087"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sidR="009541D4">
      <w:rPr>
        <w:rFonts w:ascii="Arial" w:hAnsi="Arial" w:cs="Arial"/>
        <w:noProof/>
        <w:color w:val="414042"/>
        <w:sz w:val="16"/>
        <w:szCs w:val="16"/>
      </w:rPr>
      <mc:AlternateContent>
        <mc:Choice Requires="wpg">
          <w:drawing>
            <wp:anchor distT="0" distB="0" distL="114300" distR="114300" simplePos="0" relativeHeight="251663360" behindDoc="0" locked="0" layoutInCell="1" allowOverlap="1" wp14:anchorId="3BD39B3E" wp14:editId="08D233FD">
              <wp:simplePos x="0" y="0"/>
              <wp:positionH relativeFrom="column">
                <wp:posOffset>-913765</wp:posOffset>
              </wp:positionH>
              <wp:positionV relativeFrom="paragraph">
                <wp:posOffset>-341630</wp:posOffset>
              </wp:positionV>
              <wp:extent cx="7559675" cy="69215"/>
              <wp:effectExtent l="0" t="0" r="0" b="0"/>
              <wp:wrapTight wrapText="bothSides">
                <wp:wrapPolygon edited="0">
                  <wp:start x="0" y="0"/>
                  <wp:lineTo x="0" y="17835"/>
                  <wp:lineTo x="21555" y="17835"/>
                  <wp:lineTo x="21555" y="0"/>
                  <wp:lineTo x="0" y="0"/>
                </wp:wrapPolygon>
              </wp:wrapTight>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9675" cy="69215"/>
                        <a:chOff x="0" y="0"/>
                        <a:chExt cx="8548079" cy="136769"/>
                      </a:xfrm>
                    </wpg:grpSpPr>
                    <wps:wsp>
                      <wps:cNvPr id="11" name="Rectangle 11"/>
                      <wps:cNvSpPr/>
                      <wps:spPr>
                        <a:xfrm>
                          <a:off x="0" y="0"/>
                          <a:ext cx="1709616" cy="136769"/>
                        </a:xfrm>
                        <a:prstGeom prst="rect">
                          <a:avLst/>
                        </a:prstGeom>
                        <a:solidFill>
                          <a:srgbClr val="23A4DE"/>
                        </a:solidFill>
                        <a:ln>
                          <a:noFill/>
                        </a:ln>
                        <a:effectLst/>
                      </wps:spPr>
                      <wps:style>
                        <a:lnRef idx="1">
                          <a:schemeClr val="accent1"/>
                        </a:lnRef>
                        <a:fillRef idx="3">
                          <a:schemeClr val="accent1"/>
                        </a:fillRef>
                        <a:effectRef idx="2">
                          <a:schemeClr val="accent1"/>
                        </a:effectRef>
                        <a:fontRef idx="minor">
                          <a:schemeClr val="lt1"/>
                        </a:fontRef>
                      </wps:style>
                      <wps:txbx>
                        <w:txbxContent>
                          <w:p w14:paraId="3BD39B3F" w14:textId="77777777" w:rsidR="007B2087" w:rsidRDefault="007B2087"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709616" y="0"/>
                          <a:ext cx="1709616" cy="136769"/>
                        </a:xfrm>
                        <a:prstGeom prst="rect">
                          <a:avLst/>
                        </a:prstGeom>
                        <a:solidFill>
                          <a:srgbClr val="EC008C"/>
                        </a:solidFill>
                        <a:ln>
                          <a:noFill/>
                        </a:ln>
                        <a:effectLst/>
                      </wps:spPr>
                      <wps:style>
                        <a:lnRef idx="1">
                          <a:schemeClr val="accent1"/>
                        </a:lnRef>
                        <a:fillRef idx="3">
                          <a:schemeClr val="accent1"/>
                        </a:fillRef>
                        <a:effectRef idx="2">
                          <a:schemeClr val="accent1"/>
                        </a:effectRef>
                        <a:fontRef idx="minor">
                          <a:schemeClr val="lt1"/>
                        </a:fontRef>
                      </wps:style>
                      <wps:txbx>
                        <w:txbxContent>
                          <w:p w14:paraId="3BD39B40" w14:textId="77777777" w:rsidR="007B2087" w:rsidRDefault="007B2087"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3419231" y="0"/>
                          <a:ext cx="1709616" cy="136769"/>
                        </a:xfrm>
                        <a:prstGeom prst="rect">
                          <a:avLst/>
                        </a:prstGeom>
                        <a:solidFill>
                          <a:srgbClr val="F57E20"/>
                        </a:solidFill>
                        <a:ln>
                          <a:noFill/>
                        </a:ln>
                        <a:effectLst/>
                      </wps:spPr>
                      <wps:style>
                        <a:lnRef idx="1">
                          <a:schemeClr val="accent1"/>
                        </a:lnRef>
                        <a:fillRef idx="3">
                          <a:schemeClr val="accent1"/>
                        </a:fillRef>
                        <a:effectRef idx="2">
                          <a:schemeClr val="accent1"/>
                        </a:effectRef>
                        <a:fontRef idx="minor">
                          <a:schemeClr val="lt1"/>
                        </a:fontRef>
                      </wps:style>
                      <wps:txbx>
                        <w:txbxContent>
                          <w:p w14:paraId="3BD39B41" w14:textId="77777777" w:rsidR="007B2087" w:rsidRDefault="007B2087"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5128847" y="0"/>
                          <a:ext cx="1709616" cy="136769"/>
                        </a:xfrm>
                        <a:prstGeom prst="rect">
                          <a:avLst/>
                        </a:prstGeom>
                        <a:solidFill>
                          <a:srgbClr val="72BF44"/>
                        </a:solidFill>
                        <a:ln>
                          <a:noFill/>
                        </a:ln>
                        <a:effectLst/>
                      </wps:spPr>
                      <wps:style>
                        <a:lnRef idx="1">
                          <a:schemeClr val="accent1"/>
                        </a:lnRef>
                        <a:fillRef idx="3">
                          <a:schemeClr val="accent1"/>
                        </a:fillRef>
                        <a:effectRef idx="2">
                          <a:schemeClr val="accent1"/>
                        </a:effectRef>
                        <a:fontRef idx="minor">
                          <a:schemeClr val="lt1"/>
                        </a:fontRef>
                      </wps:style>
                      <wps:txbx>
                        <w:txbxContent>
                          <w:p w14:paraId="3BD39B42" w14:textId="77777777" w:rsidR="007B2087" w:rsidRDefault="007B2087"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6838463" y="0"/>
                          <a:ext cx="1709616" cy="136769"/>
                        </a:xfrm>
                        <a:prstGeom prst="rect">
                          <a:avLst/>
                        </a:prstGeom>
                        <a:solidFill>
                          <a:srgbClr val="ED1C24"/>
                        </a:solidFill>
                        <a:ln>
                          <a:noFill/>
                        </a:ln>
                        <a:effectLst/>
                      </wps:spPr>
                      <wps:style>
                        <a:lnRef idx="1">
                          <a:schemeClr val="accent1"/>
                        </a:lnRef>
                        <a:fillRef idx="3">
                          <a:schemeClr val="accent1"/>
                        </a:fillRef>
                        <a:effectRef idx="2">
                          <a:schemeClr val="accent1"/>
                        </a:effectRef>
                        <a:fontRef idx="minor">
                          <a:schemeClr val="lt1"/>
                        </a:fontRef>
                      </wps:style>
                      <wps:txbx>
                        <w:txbxContent>
                          <w:p w14:paraId="3BD39B43" w14:textId="77777777" w:rsidR="007B2087" w:rsidRDefault="007B2087"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BD39B3E" id="Group 10" o:spid="_x0000_s1026" style="position:absolute;margin-left:-71.95pt;margin-top:-26.9pt;width:595.25pt;height:5.45pt;z-index:251663360" coordsize="85480,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">
              <v:rect id="Rectangle 11" o:spid="_x0000_s1027" style="position:absolute;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" fillcolor="#23a4de" stroked="f">
                <v:textbox>
                  <w:txbxContent>
                    <w:p w14:paraId="3BD39B3F" w14:textId="77777777" w:rsidR="007B2087" w:rsidRDefault="007B2087" w:rsidP="00C749C1"/>
                  </w:txbxContent>
                </v:textbox>
              </v:rect>
              <v:rect id="Rectangle 12" o:spid="_x0000_s1028" style="position:absolute;left:17096;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" fillcolor="#ec008c" stroked="f">
                <v:textbox>
                  <w:txbxContent>
                    <w:p w14:paraId="3BD39B40" w14:textId="77777777" w:rsidR="007B2087" w:rsidRDefault="007B2087" w:rsidP="00C749C1"/>
                  </w:txbxContent>
                </v:textbox>
              </v:rect>
              <v:rect id="Rectangle 13" o:spid="_x0000_s1029" style="position:absolute;left:34192;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" fillcolor="#f57e20" stroked="f">
                <v:textbox>
                  <w:txbxContent>
                    <w:p w14:paraId="3BD39B41" w14:textId="77777777" w:rsidR="007B2087" w:rsidRDefault="007B2087" w:rsidP="00C749C1"/>
                  </w:txbxContent>
                </v:textbox>
              </v:rect>
              <v:rect id="Rectangle 14" o:spid="_x0000_s1030" style="position:absolute;left:51288;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" fillcolor="#72bf44" stroked="f">
                <v:textbox>
                  <w:txbxContent>
                    <w:p w14:paraId="3BD39B42" w14:textId="77777777" w:rsidR="007B2087" w:rsidRDefault="007B2087" w:rsidP="00C749C1"/>
                  </w:txbxContent>
                </v:textbox>
              </v:rect>
              <v:rect id="Rectangle 15" o:spid="_x0000_s1031" style="position:absolute;left:68384;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" fillcolor="#ed1c24" stroked="f">
                <v:textbox>
                  <w:txbxContent>
                    <w:p w14:paraId="3BD39B43" w14:textId="77777777" w:rsidR="007B2087" w:rsidRDefault="007B2087" w:rsidP="00C749C1"/>
                  </w:txbxContent>
                </v:textbox>
              </v:rect>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4D1E0" w14:textId="77777777" w:rsidR="00A237EE" w:rsidRDefault="00A237EE" w:rsidP="00280C3B">
      <w:r>
        <w:separator/>
      </w:r>
    </w:p>
  </w:footnote>
  <w:footnote w:type="continuationSeparator" w:id="0">
    <w:p w14:paraId="47AAB2C7" w14:textId="77777777" w:rsidR="00A237EE" w:rsidRDefault="00A237EE" w:rsidP="00280C3B">
      <w:r>
        <w:continuationSeparator/>
      </w:r>
    </w:p>
  </w:footnote>
  <w:footnote w:id="1">
    <w:p w14:paraId="18D0077F" w14:textId="0CE43845" w:rsidR="00CA60CB" w:rsidRPr="000B0320" w:rsidRDefault="00CA60CB" w:rsidP="000B0320">
      <w:pPr>
        <w:pStyle w:val="NICCYBodyTest"/>
        <w:rPr>
          <w:sz w:val="20"/>
          <w:szCs w:val="20"/>
        </w:rPr>
      </w:pPr>
      <w:r w:rsidRPr="000B0320">
        <w:rPr>
          <w:rStyle w:val="FootnoteReference"/>
          <w:sz w:val="20"/>
          <w:szCs w:val="20"/>
        </w:rPr>
        <w:footnoteRef/>
      </w:r>
      <w:r w:rsidRPr="000B0320">
        <w:rPr>
          <w:sz w:val="20"/>
          <w:szCs w:val="20"/>
        </w:rPr>
        <w:t xml:space="preserve"> </w:t>
      </w:r>
      <w:r w:rsidR="002B30A6">
        <w:rPr>
          <w:sz w:val="20"/>
          <w:szCs w:val="20"/>
        </w:rPr>
        <w:t>DE, (</w:t>
      </w:r>
      <w:r w:rsidR="00CE1075">
        <w:rPr>
          <w:sz w:val="20"/>
          <w:szCs w:val="20"/>
        </w:rPr>
        <w:t xml:space="preserve">2021), </w:t>
      </w:r>
      <w:r w:rsidRPr="000B0320">
        <w:rPr>
          <w:sz w:val="20"/>
          <w:szCs w:val="20"/>
        </w:rPr>
        <w:t>Consultation document</w:t>
      </w:r>
      <w:r w:rsidR="00CE1075">
        <w:rPr>
          <w:sz w:val="20"/>
          <w:szCs w:val="20"/>
        </w:rPr>
        <w:t xml:space="preserve">, </w:t>
      </w:r>
      <w:r w:rsidR="00CE1075" w:rsidRPr="00CE1075">
        <w:rPr>
          <w:i/>
          <w:iCs/>
          <w:sz w:val="20"/>
          <w:szCs w:val="20"/>
        </w:rPr>
        <w:t>Pre-school Education: Review of the Statutory Admissions Criteria</w:t>
      </w:r>
      <w:r w:rsidR="00CE1075">
        <w:rPr>
          <w:sz w:val="20"/>
          <w:szCs w:val="20"/>
        </w:rPr>
        <w:t>.</w:t>
      </w:r>
    </w:p>
  </w:footnote>
  <w:footnote w:id="2">
    <w:p w14:paraId="3406C8D6" w14:textId="08E8D3A1" w:rsidR="00BE3C38" w:rsidRPr="00BE3C38" w:rsidRDefault="00BE3C38" w:rsidP="000B0320">
      <w:pPr>
        <w:pStyle w:val="NICCYBodyTest"/>
      </w:pPr>
      <w:r w:rsidRPr="000B0320">
        <w:rPr>
          <w:rStyle w:val="FootnoteReference"/>
          <w:sz w:val="20"/>
          <w:szCs w:val="20"/>
        </w:rPr>
        <w:footnoteRef/>
      </w:r>
      <w:r w:rsidRPr="000B0320">
        <w:rPr>
          <w:sz w:val="20"/>
          <w:szCs w:val="20"/>
        </w:rPr>
        <w:t xml:space="preserve"> Ibid</w:t>
      </w:r>
    </w:p>
  </w:footnote>
  <w:footnote w:id="3">
    <w:p w14:paraId="0D282FC0" w14:textId="19E5C652" w:rsidR="00FD3728" w:rsidRPr="00FD3728" w:rsidRDefault="00FD3728" w:rsidP="00FD3728">
      <w:pPr>
        <w:pStyle w:val="NICCYBodyTest"/>
      </w:pPr>
      <w:r w:rsidRPr="00FD3728">
        <w:rPr>
          <w:rStyle w:val="FootnoteReference"/>
          <w:sz w:val="20"/>
          <w:szCs w:val="20"/>
        </w:rPr>
        <w:footnoteRef/>
      </w:r>
      <w:r w:rsidRPr="00FD3728">
        <w:rPr>
          <w:sz w:val="20"/>
          <w:szCs w:val="20"/>
        </w:rPr>
        <w:t xml:space="preserve"> DfC, </w:t>
      </w:r>
      <w:hyperlink r:id="rId1" w:history="1">
        <w:r w:rsidRPr="00FD3728">
          <w:rPr>
            <w:rStyle w:val="Hyperlink"/>
            <w:sz w:val="20"/>
            <w:szCs w:val="20"/>
          </w:rPr>
          <w:t>Northern Ireland Poverty Bulletin 2019-20</w:t>
        </w:r>
      </w:hyperlink>
      <w:r w:rsidRPr="00FD3728">
        <w:rPr>
          <w:sz w:val="20"/>
          <w:szCs w:val="20"/>
        </w:rPr>
        <w:t>.</w:t>
      </w:r>
    </w:p>
  </w:footnote>
  <w:footnote w:id="4">
    <w:p w14:paraId="437BBAF9" w14:textId="6F3686FE" w:rsidR="001A1F37" w:rsidRPr="001A1F37" w:rsidRDefault="001A1F37" w:rsidP="001A1F37">
      <w:pPr>
        <w:pStyle w:val="NICCYBodyTest"/>
        <w:rPr>
          <w:sz w:val="20"/>
          <w:szCs w:val="20"/>
        </w:rPr>
      </w:pPr>
      <w:r w:rsidRPr="001A1F37">
        <w:rPr>
          <w:rStyle w:val="FootnoteReference"/>
          <w:sz w:val="20"/>
          <w:szCs w:val="20"/>
        </w:rPr>
        <w:footnoteRef/>
      </w:r>
      <w:r w:rsidRPr="001A1F37">
        <w:rPr>
          <w:sz w:val="20"/>
          <w:szCs w:val="20"/>
        </w:rPr>
        <w:t xml:space="preserve"> DE/NISRA, (April 2020), </w:t>
      </w:r>
      <w:hyperlink r:id="rId2" w:history="1">
        <w:r w:rsidRPr="001A1F37">
          <w:rPr>
            <w:rStyle w:val="Hyperlink"/>
            <w:sz w:val="20"/>
            <w:szCs w:val="20"/>
          </w:rPr>
          <w:t>School Meals in Northern Ireland 2019-2020.</w:t>
        </w:r>
      </w:hyperlink>
    </w:p>
  </w:footnote>
  <w:footnote w:id="5">
    <w:p w14:paraId="698C4573" w14:textId="4E57A9F6" w:rsidR="004A4720" w:rsidRPr="003B630B" w:rsidRDefault="004A4720" w:rsidP="003B630B">
      <w:pPr>
        <w:pStyle w:val="NICCYBodyTest"/>
        <w:rPr>
          <w:sz w:val="20"/>
          <w:szCs w:val="20"/>
        </w:rPr>
      </w:pPr>
      <w:r w:rsidRPr="003B630B">
        <w:rPr>
          <w:rStyle w:val="FootnoteReference"/>
          <w:sz w:val="20"/>
          <w:szCs w:val="20"/>
        </w:rPr>
        <w:footnoteRef/>
      </w:r>
      <w:r w:rsidRPr="003B630B">
        <w:rPr>
          <w:sz w:val="20"/>
          <w:szCs w:val="20"/>
        </w:rPr>
        <w:t xml:space="preserve"> </w:t>
      </w:r>
      <w:r w:rsidR="003B630B" w:rsidRPr="003B630B">
        <w:rPr>
          <w:sz w:val="20"/>
          <w:szCs w:val="20"/>
        </w:rPr>
        <w:t xml:space="preserve">DfC, </w:t>
      </w:r>
      <w:r w:rsidRPr="003B630B">
        <w:rPr>
          <w:sz w:val="20"/>
          <w:szCs w:val="20"/>
        </w:rPr>
        <w:t>Note of Meeting - Anti-Poverty Strategy Co-</w:t>
      </w:r>
      <w:proofErr w:type="gramStart"/>
      <w:r w:rsidRPr="003B630B">
        <w:rPr>
          <w:sz w:val="20"/>
          <w:szCs w:val="20"/>
        </w:rPr>
        <w:t>design</w:t>
      </w:r>
      <w:proofErr w:type="gramEnd"/>
      <w:r w:rsidRPr="003B630B">
        <w:rPr>
          <w:sz w:val="20"/>
          <w:szCs w:val="20"/>
        </w:rPr>
        <w:t xml:space="preserve"> Group 23 February</w:t>
      </w:r>
      <w:r w:rsidR="003B630B" w:rsidRPr="003B630B">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972"/>
      <w:gridCol w:w="4802"/>
    </w:tblGrid>
    <w:tr w:rsidR="007B2087" w14:paraId="3BD39B36" w14:textId="77777777" w:rsidTr="000D52AB">
      <w:tc>
        <w:tcPr>
          <w:tcW w:w="5027" w:type="dxa"/>
          <w:shd w:val="clear" w:color="auto" w:fill="auto"/>
        </w:tcPr>
        <w:p w14:paraId="3BD39B34" w14:textId="77777777" w:rsidR="007B2087" w:rsidRDefault="007B2087" w:rsidP="000D52AB">
          <w:pPr>
            <w:pStyle w:val="CompanyName"/>
            <w:rPr>
              <w:rFonts w:ascii="Futura Book" w:hAnsi="Futura Book" w:cs="Arial"/>
              <w:lang w:val="en-GB"/>
            </w:rPr>
          </w:pPr>
        </w:p>
      </w:tc>
      <w:tc>
        <w:tcPr>
          <w:tcW w:w="4855" w:type="dxa"/>
          <w:shd w:val="clear" w:color="auto" w:fill="auto"/>
        </w:tcPr>
        <w:p w14:paraId="3BD39B35" w14:textId="77777777" w:rsidR="007B2087" w:rsidRDefault="007B2087" w:rsidP="000D52AB">
          <w:pPr>
            <w:pStyle w:val="CompanyName"/>
            <w:rPr>
              <w:rFonts w:ascii="Futura Book" w:hAnsi="Futura Book" w:cs="Arial"/>
              <w:lang w:val="en-GB"/>
            </w:rPr>
          </w:pPr>
        </w:p>
      </w:tc>
    </w:tr>
  </w:tbl>
  <w:p w14:paraId="3BD39B37" w14:textId="77777777" w:rsidR="007B2087" w:rsidRDefault="007B2087">
    <w:pPr>
      <w:pStyle w:val="Header"/>
    </w:pPr>
    <w:r>
      <w:rPr>
        <w:rFonts w:ascii="Futura Book" w:hAnsi="Futura Book" w:cs="Arial"/>
        <w:noProof/>
        <w:lang w:val="en-GB" w:eastAsia="en-GB"/>
      </w:rPr>
      <w:drawing>
        <wp:anchor distT="0" distB="0" distL="114300" distR="114300" simplePos="0" relativeHeight="251661312" behindDoc="0" locked="0" layoutInCell="1" allowOverlap="1" wp14:anchorId="3BD39B3C" wp14:editId="3BD39B3D">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B4AC2"/>
    <w:multiLevelType w:val="hybridMultilevel"/>
    <w:tmpl w:val="64629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E0450"/>
    <w:multiLevelType w:val="hybridMultilevel"/>
    <w:tmpl w:val="4F48015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0A5D14"/>
    <w:multiLevelType w:val="hybridMultilevel"/>
    <w:tmpl w:val="2FD436F0"/>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5" w15:restartNumberingAfterBreak="0">
    <w:nsid w:val="336E3E80"/>
    <w:multiLevelType w:val="hybridMultilevel"/>
    <w:tmpl w:val="ECC85EC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6E2B23"/>
    <w:multiLevelType w:val="hybridMultilevel"/>
    <w:tmpl w:val="3E26A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B93797"/>
    <w:multiLevelType w:val="hybridMultilevel"/>
    <w:tmpl w:val="906E4C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C2B5FFE"/>
    <w:multiLevelType w:val="hybridMultilevel"/>
    <w:tmpl w:val="5A1EC0F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0117B0"/>
    <w:multiLevelType w:val="hybridMultilevel"/>
    <w:tmpl w:val="9B8CF3D4"/>
    <w:lvl w:ilvl="0" w:tplc="605E622C">
      <w:numFmt w:val="bullet"/>
      <w:lvlText w:val="-"/>
      <w:lvlJc w:val="left"/>
      <w:pPr>
        <w:ind w:left="720" w:hanging="360"/>
      </w:pPr>
      <w:rPr>
        <w:rFonts w:ascii="Futura Book" w:eastAsia="Times New Roman" w:hAnsi="Futura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9E201A"/>
    <w:multiLevelType w:val="hybridMultilevel"/>
    <w:tmpl w:val="66345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CEF12F8"/>
    <w:multiLevelType w:val="hybridMultilevel"/>
    <w:tmpl w:val="05607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5050FD"/>
    <w:multiLevelType w:val="hybridMultilevel"/>
    <w:tmpl w:val="7988E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39F1513"/>
    <w:multiLevelType w:val="hybridMultilevel"/>
    <w:tmpl w:val="4294BD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6650AE5"/>
    <w:multiLevelType w:val="hybridMultilevel"/>
    <w:tmpl w:val="3DBCC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C138BB"/>
    <w:multiLevelType w:val="hybridMultilevel"/>
    <w:tmpl w:val="3A16B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2"/>
  </w:num>
  <w:num w:numId="4">
    <w:abstractNumId w:val="11"/>
  </w:num>
  <w:num w:numId="5">
    <w:abstractNumId w:val="6"/>
  </w:num>
  <w:num w:numId="6">
    <w:abstractNumId w:val="14"/>
  </w:num>
  <w:num w:numId="7">
    <w:abstractNumId w:val="17"/>
  </w:num>
  <w:num w:numId="8">
    <w:abstractNumId w:val="15"/>
  </w:num>
  <w:num w:numId="9">
    <w:abstractNumId w:val="10"/>
  </w:num>
  <w:num w:numId="10">
    <w:abstractNumId w:val="12"/>
  </w:num>
  <w:num w:numId="11">
    <w:abstractNumId w:val="1"/>
  </w:num>
  <w:num w:numId="12">
    <w:abstractNumId w:val="3"/>
  </w:num>
  <w:num w:numId="13">
    <w:abstractNumId w:val="8"/>
  </w:num>
  <w:num w:numId="14">
    <w:abstractNumId w:val="16"/>
  </w:num>
  <w:num w:numId="15">
    <w:abstractNumId w:val="4"/>
  </w:num>
  <w:num w:numId="16">
    <w:abstractNumId w:val="7"/>
  </w:num>
  <w:num w:numId="17">
    <w:abstractNumId w:val="9"/>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397"/>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30"/>
    <w:rsid w:val="00010305"/>
    <w:rsid w:val="00010677"/>
    <w:rsid w:val="00016061"/>
    <w:rsid w:val="00026AEF"/>
    <w:rsid w:val="00076B94"/>
    <w:rsid w:val="000B0320"/>
    <w:rsid w:val="000B6F33"/>
    <w:rsid w:val="000C1B06"/>
    <w:rsid w:val="000C3AD9"/>
    <w:rsid w:val="000D52AB"/>
    <w:rsid w:val="000E4F52"/>
    <w:rsid w:val="0014703B"/>
    <w:rsid w:val="00150FC5"/>
    <w:rsid w:val="001905DC"/>
    <w:rsid w:val="001936E2"/>
    <w:rsid w:val="001A1F37"/>
    <w:rsid w:val="001A5717"/>
    <w:rsid w:val="001B3C8E"/>
    <w:rsid w:val="002211F9"/>
    <w:rsid w:val="00231CBE"/>
    <w:rsid w:val="00234551"/>
    <w:rsid w:val="002351CE"/>
    <w:rsid w:val="00277DFC"/>
    <w:rsid w:val="00280C3B"/>
    <w:rsid w:val="002A5F60"/>
    <w:rsid w:val="002B30A6"/>
    <w:rsid w:val="002B5A6E"/>
    <w:rsid w:val="002C00D6"/>
    <w:rsid w:val="002C0CC8"/>
    <w:rsid w:val="002C2721"/>
    <w:rsid w:val="002D2DE6"/>
    <w:rsid w:val="00317CDF"/>
    <w:rsid w:val="003217F7"/>
    <w:rsid w:val="00354F89"/>
    <w:rsid w:val="00367413"/>
    <w:rsid w:val="003B630B"/>
    <w:rsid w:val="003C5E1F"/>
    <w:rsid w:val="003F2FC3"/>
    <w:rsid w:val="003F5501"/>
    <w:rsid w:val="00432B30"/>
    <w:rsid w:val="00451456"/>
    <w:rsid w:val="004662DB"/>
    <w:rsid w:val="0047398A"/>
    <w:rsid w:val="004A4720"/>
    <w:rsid w:val="004B0FB0"/>
    <w:rsid w:val="004B1ED4"/>
    <w:rsid w:val="004C026E"/>
    <w:rsid w:val="004C4489"/>
    <w:rsid w:val="004C45FC"/>
    <w:rsid w:val="004D6647"/>
    <w:rsid w:val="004E6B82"/>
    <w:rsid w:val="0050043B"/>
    <w:rsid w:val="00507B51"/>
    <w:rsid w:val="00512770"/>
    <w:rsid w:val="005220A3"/>
    <w:rsid w:val="0052219D"/>
    <w:rsid w:val="00524C18"/>
    <w:rsid w:val="00524C6F"/>
    <w:rsid w:val="005330FE"/>
    <w:rsid w:val="005820FF"/>
    <w:rsid w:val="00586057"/>
    <w:rsid w:val="005B5177"/>
    <w:rsid w:val="005C2D2D"/>
    <w:rsid w:val="005C425F"/>
    <w:rsid w:val="005D1150"/>
    <w:rsid w:val="005D1ACE"/>
    <w:rsid w:val="006013F5"/>
    <w:rsid w:val="00627AEF"/>
    <w:rsid w:val="00627D03"/>
    <w:rsid w:val="00644D8D"/>
    <w:rsid w:val="00690060"/>
    <w:rsid w:val="006968E0"/>
    <w:rsid w:val="006A26DA"/>
    <w:rsid w:val="006B5AA7"/>
    <w:rsid w:val="006B600E"/>
    <w:rsid w:val="006C2566"/>
    <w:rsid w:val="006E55BB"/>
    <w:rsid w:val="00707C36"/>
    <w:rsid w:val="00716869"/>
    <w:rsid w:val="0072507D"/>
    <w:rsid w:val="00727D62"/>
    <w:rsid w:val="00730A85"/>
    <w:rsid w:val="007560BF"/>
    <w:rsid w:val="00791E93"/>
    <w:rsid w:val="00795FEB"/>
    <w:rsid w:val="007A5132"/>
    <w:rsid w:val="007A5E2D"/>
    <w:rsid w:val="007B03A0"/>
    <w:rsid w:val="007B2087"/>
    <w:rsid w:val="007D494C"/>
    <w:rsid w:val="00824E39"/>
    <w:rsid w:val="008264D4"/>
    <w:rsid w:val="00831BDB"/>
    <w:rsid w:val="00870392"/>
    <w:rsid w:val="00873EBD"/>
    <w:rsid w:val="00887DAD"/>
    <w:rsid w:val="008A31A5"/>
    <w:rsid w:val="008A32FE"/>
    <w:rsid w:val="008C17A4"/>
    <w:rsid w:val="008C32B9"/>
    <w:rsid w:val="008E3945"/>
    <w:rsid w:val="0090198D"/>
    <w:rsid w:val="009108C4"/>
    <w:rsid w:val="00936BB8"/>
    <w:rsid w:val="009405BC"/>
    <w:rsid w:val="009439D6"/>
    <w:rsid w:val="009541D4"/>
    <w:rsid w:val="009675A2"/>
    <w:rsid w:val="00982039"/>
    <w:rsid w:val="00987187"/>
    <w:rsid w:val="00987E04"/>
    <w:rsid w:val="009A5DED"/>
    <w:rsid w:val="009B62D9"/>
    <w:rsid w:val="009C394B"/>
    <w:rsid w:val="009C3C49"/>
    <w:rsid w:val="009D1EC1"/>
    <w:rsid w:val="009E6D40"/>
    <w:rsid w:val="009F2391"/>
    <w:rsid w:val="009F26AE"/>
    <w:rsid w:val="00A0365E"/>
    <w:rsid w:val="00A03AF5"/>
    <w:rsid w:val="00A237EE"/>
    <w:rsid w:val="00A40DB2"/>
    <w:rsid w:val="00A51451"/>
    <w:rsid w:val="00A53D00"/>
    <w:rsid w:val="00A62250"/>
    <w:rsid w:val="00A66FEF"/>
    <w:rsid w:val="00A92A49"/>
    <w:rsid w:val="00AB5F38"/>
    <w:rsid w:val="00AC20ED"/>
    <w:rsid w:val="00AC3B8D"/>
    <w:rsid w:val="00AC6036"/>
    <w:rsid w:val="00AF7F87"/>
    <w:rsid w:val="00B00C90"/>
    <w:rsid w:val="00B05BF8"/>
    <w:rsid w:val="00B16448"/>
    <w:rsid w:val="00B4531D"/>
    <w:rsid w:val="00B55320"/>
    <w:rsid w:val="00B569CD"/>
    <w:rsid w:val="00B61DE2"/>
    <w:rsid w:val="00B732E3"/>
    <w:rsid w:val="00BA44A0"/>
    <w:rsid w:val="00BA73F3"/>
    <w:rsid w:val="00BB603F"/>
    <w:rsid w:val="00BC060D"/>
    <w:rsid w:val="00BD09EC"/>
    <w:rsid w:val="00BE072E"/>
    <w:rsid w:val="00BE3C38"/>
    <w:rsid w:val="00BE3CB1"/>
    <w:rsid w:val="00C06BD6"/>
    <w:rsid w:val="00C07428"/>
    <w:rsid w:val="00C14516"/>
    <w:rsid w:val="00C54EC9"/>
    <w:rsid w:val="00C70433"/>
    <w:rsid w:val="00C715B8"/>
    <w:rsid w:val="00C749C1"/>
    <w:rsid w:val="00CA15B5"/>
    <w:rsid w:val="00CA2079"/>
    <w:rsid w:val="00CA60CB"/>
    <w:rsid w:val="00CB2C20"/>
    <w:rsid w:val="00CC10EB"/>
    <w:rsid w:val="00CD72AA"/>
    <w:rsid w:val="00CE1075"/>
    <w:rsid w:val="00D01067"/>
    <w:rsid w:val="00D36ADC"/>
    <w:rsid w:val="00D45AAE"/>
    <w:rsid w:val="00D57E25"/>
    <w:rsid w:val="00D60DE1"/>
    <w:rsid w:val="00D72773"/>
    <w:rsid w:val="00D81956"/>
    <w:rsid w:val="00D8200B"/>
    <w:rsid w:val="00D91925"/>
    <w:rsid w:val="00D94E0A"/>
    <w:rsid w:val="00DB0534"/>
    <w:rsid w:val="00DB7E5C"/>
    <w:rsid w:val="00DC2397"/>
    <w:rsid w:val="00DC25A7"/>
    <w:rsid w:val="00DC26EC"/>
    <w:rsid w:val="00DF20BC"/>
    <w:rsid w:val="00E03CDC"/>
    <w:rsid w:val="00E22BD6"/>
    <w:rsid w:val="00E23131"/>
    <w:rsid w:val="00E52A06"/>
    <w:rsid w:val="00E850A7"/>
    <w:rsid w:val="00EA55B7"/>
    <w:rsid w:val="00EC2DB4"/>
    <w:rsid w:val="00ED49C4"/>
    <w:rsid w:val="00EE2D09"/>
    <w:rsid w:val="00EE7908"/>
    <w:rsid w:val="00EF62E7"/>
    <w:rsid w:val="00F03FA5"/>
    <w:rsid w:val="00F11868"/>
    <w:rsid w:val="00F16DE2"/>
    <w:rsid w:val="00F32634"/>
    <w:rsid w:val="00F5622F"/>
    <w:rsid w:val="00F75DA2"/>
    <w:rsid w:val="00FA59D0"/>
    <w:rsid w:val="00FD3728"/>
    <w:rsid w:val="00FD77F2"/>
    <w:rsid w:val="00FE1B62"/>
    <w:rsid w:val="00FE3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BD39B2A"/>
  <w15:docId w15:val="{36B64BBD-4242-4F2C-969E-700002CBB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2">
    <w:name w:val="heading 2"/>
    <w:basedOn w:val="Normal"/>
    <w:next w:val="Normal"/>
    <w:link w:val="Heading2Char"/>
    <w:uiPriority w:val="9"/>
    <w:semiHidden/>
    <w:unhideWhenUsed/>
    <w:rsid w:val="00644D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aliases w:val="Char,5_G,Footnote Text Char Char,Footnote Text Char1 Char Char,Footnote Text Char Char Char Char,Footnote Text Char1 Char Char1 Char Char,Footnote Text Char Char Char Char1 Char Char,ft Char Char Char Char Char Char,Footnote Text Cha"/>
    <w:basedOn w:val="Normal"/>
    <w:link w:val="FootnoteTextChar"/>
    <w:uiPriority w:val="99"/>
    <w:unhideWhenUsed/>
    <w:qFormat/>
    <w:rsid w:val="00280C3B"/>
    <w:rPr>
      <w:rFonts w:asciiTheme="minorHAnsi" w:eastAsiaTheme="minorEastAsia" w:hAnsiTheme="minorHAnsi" w:cstheme="minorBidi"/>
      <w:sz w:val="24"/>
      <w:szCs w:val="24"/>
      <w:lang w:val="en-US"/>
    </w:rPr>
  </w:style>
  <w:style w:type="character" w:customStyle="1" w:styleId="FootnoteTextChar">
    <w:name w:val="Footnote Text Char"/>
    <w:aliases w:val="Char Char,5_G Char,Footnote Text Char Char Char,Footnote Text Char1 Char Char Char,Footnote Text Char Char Char Char Char,Footnote Text Char1 Char Char1 Char Char Char,Footnote Text Char Char Char Char1 Char Char Char"/>
    <w:basedOn w:val="DefaultParagraphFont"/>
    <w:link w:val="FootnoteText"/>
    <w:uiPriority w:val="99"/>
    <w:rsid w:val="00280C3B"/>
  </w:style>
  <w:style w:type="character" w:styleId="FootnoteReference">
    <w:name w:val="footnote reference"/>
    <w:aliases w:val="4_G,Footnotes refss,ftref,BVI fnr,BVI fnr Car Car,BVI fnr Car,BVI fnr Car Car Car Car,BVI fnr Char Car Car Car,BVI fnr Char Car Car Car Char,BVI fnr Car Car Car Car Char Char,BVI fnr Car Car Car Car Char Char Char Char Char,4_G Char"/>
    <w:basedOn w:val="DefaultParagraphFont"/>
    <w:link w:val="Char2"/>
    <w:uiPriority w:val="99"/>
    <w:unhideWhenUsed/>
    <w:qFormat/>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qFormat/>
    <w:rsid w:val="004C4489"/>
    <w:rPr>
      <w:rFonts w:ascii="Arial" w:hAnsi="Arial" w:cs="Arial"/>
      <w:color w:val="414042"/>
    </w:rPr>
  </w:style>
  <w:style w:type="paragraph" w:customStyle="1" w:styleId="NICCYSubtitle">
    <w:name w:val="NICCY Subtitle"/>
    <w:basedOn w:val="BasicParagraph"/>
    <w:link w:val="NICCYSubtitleChar"/>
    <w:qFormat/>
    <w:rsid w:val="004C4489"/>
    <w:rPr>
      <w:rFonts w:ascii="Arial" w:hAnsi="Arial" w:cs="Arial"/>
      <w:b/>
      <w:color w:val="ED1C24"/>
    </w:rPr>
  </w:style>
  <w:style w:type="character" w:customStyle="1" w:styleId="BasicParagraphChar">
    <w:name w:val="[Basic Paragraph] Char"/>
    <w:basedOn w:val="DefaultParagraphFont"/>
    <w:link w:val="BasicParagraph"/>
    <w:uiPriority w:val="99"/>
    <w:rsid w:val="004C4489"/>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4C4489"/>
    <w:rPr>
      <w:rFonts w:ascii="MinionPro-Regular" w:hAnsi="MinionPro-Regular" w:cs="MinionPro-Regular"/>
      <w:color w:val="000000"/>
      <w:lang w:val="en-GB"/>
    </w:rPr>
  </w:style>
  <w:style w:type="paragraph" w:customStyle="1" w:styleId="NICCYSubline">
    <w:name w:val="NICCY Subline"/>
    <w:basedOn w:val="BasicParagraph"/>
    <w:link w:val="NICCYSublineChar"/>
    <w:qFormat/>
    <w:rsid w:val="004C4489"/>
    <w:rPr>
      <w:rFonts w:ascii="Arial" w:hAnsi="Arial" w:cs="Arial"/>
      <w:b/>
      <w:color w:val="ED1C24"/>
    </w:rPr>
  </w:style>
  <w:style w:type="character" w:customStyle="1" w:styleId="NICCYSubtitleChar">
    <w:name w:val="NICCY Subtitle Char"/>
    <w:basedOn w:val="BasicParagraphChar"/>
    <w:link w:val="NICCYSubtitle"/>
    <w:rsid w:val="004C4489"/>
    <w:rPr>
      <w:rFonts w:ascii="Arial" w:hAnsi="Arial" w:cs="Arial"/>
      <w:b/>
      <w:color w:val="ED1C24"/>
      <w:lang w:val="en-GB"/>
    </w:rPr>
  </w:style>
  <w:style w:type="paragraph" w:customStyle="1" w:styleId="NICCYHeading">
    <w:name w:val="NICCY Heading"/>
    <w:basedOn w:val="BasicParagraph"/>
    <w:link w:val="NICCYHeadingChar"/>
    <w:qFormat/>
    <w:rsid w:val="004C4489"/>
    <w:rPr>
      <w:rFonts w:ascii="Arial" w:hAnsi="Arial" w:cs="Arial"/>
      <w:b/>
      <w:color w:val="ED1C24"/>
      <w:sz w:val="36"/>
      <w:szCs w:val="36"/>
    </w:rPr>
  </w:style>
  <w:style w:type="character" w:customStyle="1" w:styleId="NICCYSublineChar">
    <w:name w:val="NICCY Subline Char"/>
    <w:basedOn w:val="BasicParagraphChar"/>
    <w:link w:val="NICCYSubline"/>
    <w:rsid w:val="004C4489"/>
    <w:rPr>
      <w:rFonts w:ascii="Arial" w:hAnsi="Arial" w:cs="Arial"/>
      <w:b/>
      <w:color w:val="ED1C24"/>
      <w:lang w:val="en-GB"/>
    </w:rPr>
  </w:style>
  <w:style w:type="paragraph" w:styleId="NoSpacing">
    <w:name w:val="No Spacing"/>
    <w:uiPriority w:val="1"/>
    <w:rsid w:val="004C4489"/>
    <w:rPr>
      <w:rFonts w:ascii="Times New Roman" w:eastAsia="Times New Roman" w:hAnsi="Times New Roman" w:cs="Times New Roman"/>
      <w:sz w:val="20"/>
      <w:szCs w:val="20"/>
      <w:lang w:val="en-GB"/>
    </w:rPr>
  </w:style>
  <w:style w:type="character" w:customStyle="1" w:styleId="NICCYHeadingChar">
    <w:name w:val="NICCY Heading Char"/>
    <w:basedOn w:val="BasicParagraphChar"/>
    <w:link w:val="NICCYHeading"/>
    <w:rsid w:val="004C4489"/>
    <w:rPr>
      <w:rFonts w:ascii="Arial" w:hAnsi="Arial" w:cs="Arial"/>
      <w:b/>
      <w:color w:val="ED1C24"/>
      <w:sz w:val="36"/>
      <w:szCs w:val="36"/>
      <w:lang w:val="en-GB"/>
    </w:rPr>
  </w:style>
  <w:style w:type="paragraph" w:customStyle="1" w:styleId="NICCYSubtitle0">
    <w:name w:val="NICCY Sub title"/>
    <w:basedOn w:val="BasicParagraph"/>
    <w:link w:val="NICCYSubtitleChar0"/>
    <w:rsid w:val="009C3C49"/>
    <w:rPr>
      <w:rFonts w:ascii="Arial" w:hAnsi="Arial" w:cs="Arial"/>
      <w:b/>
      <w:color w:val="F57E20"/>
    </w:rPr>
  </w:style>
  <w:style w:type="character" w:customStyle="1" w:styleId="NICCYSubtitleChar0">
    <w:name w:val="NICCY Sub title Char"/>
    <w:basedOn w:val="BasicParagraphChar"/>
    <w:link w:val="NICCYSubtitle0"/>
    <w:rsid w:val="009C3C49"/>
    <w:rPr>
      <w:rFonts w:ascii="Arial" w:hAnsi="Arial" w:cs="Arial"/>
      <w:b/>
      <w:color w:val="F57E20"/>
      <w:lang w:val="en-GB"/>
    </w:rPr>
  </w:style>
  <w:style w:type="character" w:customStyle="1" w:styleId="Heading2Char">
    <w:name w:val="Heading 2 Char"/>
    <w:basedOn w:val="DefaultParagraphFont"/>
    <w:link w:val="Heading2"/>
    <w:uiPriority w:val="9"/>
    <w:semiHidden/>
    <w:rsid w:val="00644D8D"/>
    <w:rPr>
      <w:rFonts w:asciiTheme="majorHAnsi" w:eastAsiaTheme="majorEastAsia" w:hAnsiTheme="majorHAnsi" w:cstheme="majorBidi"/>
      <w:b/>
      <w:bCs/>
      <w:color w:val="4F81BD" w:themeColor="accent1"/>
      <w:sz w:val="26"/>
      <w:szCs w:val="26"/>
      <w:lang w:val="en-GB"/>
    </w:rPr>
  </w:style>
  <w:style w:type="paragraph" w:customStyle="1" w:styleId="Default">
    <w:name w:val="Default"/>
    <w:basedOn w:val="Normal"/>
    <w:rsid w:val="00026AEF"/>
    <w:pPr>
      <w:autoSpaceDE w:val="0"/>
      <w:autoSpaceDN w:val="0"/>
    </w:pPr>
    <w:rPr>
      <w:rFonts w:ascii="Arial" w:eastAsiaTheme="minorHAnsi" w:hAnsi="Arial" w:cs="Arial"/>
      <w:color w:val="000000"/>
      <w:sz w:val="24"/>
      <w:szCs w:val="24"/>
      <w:lang w:val="en-US"/>
    </w:rPr>
  </w:style>
  <w:style w:type="paragraph" w:customStyle="1" w:styleId="NICCYSubTitle1">
    <w:name w:val="NICCY Sub Title"/>
    <w:basedOn w:val="Normal"/>
    <w:link w:val="NICCYSubTitleChar1"/>
    <w:rsid w:val="00987E04"/>
    <w:pPr>
      <w:widowControl w:val="0"/>
      <w:autoSpaceDE w:val="0"/>
      <w:autoSpaceDN w:val="0"/>
      <w:adjustRightInd w:val="0"/>
      <w:spacing w:line="288" w:lineRule="auto"/>
      <w:textAlignment w:val="center"/>
    </w:pPr>
    <w:rPr>
      <w:rFonts w:ascii="Arial" w:eastAsiaTheme="minorEastAsia" w:hAnsi="Arial" w:cs="Arial"/>
      <w:b/>
      <w:color w:val="23A4DE"/>
      <w:sz w:val="24"/>
      <w:szCs w:val="24"/>
    </w:rPr>
  </w:style>
  <w:style w:type="character" w:customStyle="1" w:styleId="NICCYSubTitleChar1">
    <w:name w:val="NICCY Sub Title Char"/>
    <w:basedOn w:val="DefaultParagraphFont"/>
    <w:link w:val="NICCYSubTitle1"/>
    <w:rsid w:val="00987E04"/>
    <w:rPr>
      <w:rFonts w:ascii="Arial" w:hAnsi="Arial" w:cs="Arial"/>
      <w:b/>
      <w:color w:val="23A4DE"/>
      <w:lang w:val="en-GB"/>
    </w:rPr>
  </w:style>
  <w:style w:type="paragraph" w:customStyle="1" w:styleId="NICCYBodyTest">
    <w:name w:val="NICCY Body Test"/>
    <w:basedOn w:val="Normal"/>
    <w:link w:val="NICCYBodyTestChar"/>
    <w:qFormat/>
    <w:rsid w:val="00987E04"/>
    <w:pPr>
      <w:widowControl w:val="0"/>
      <w:autoSpaceDE w:val="0"/>
      <w:autoSpaceDN w:val="0"/>
      <w:adjustRightInd w:val="0"/>
      <w:spacing w:line="288" w:lineRule="auto"/>
      <w:textAlignment w:val="center"/>
    </w:pPr>
    <w:rPr>
      <w:rFonts w:ascii="Arial" w:eastAsiaTheme="minorEastAsia" w:hAnsi="Arial" w:cs="Arial"/>
      <w:color w:val="414042"/>
      <w:sz w:val="24"/>
      <w:szCs w:val="24"/>
    </w:rPr>
  </w:style>
  <w:style w:type="character" w:customStyle="1" w:styleId="NICCYBodyTestChar">
    <w:name w:val="NICCY Body Test Char"/>
    <w:basedOn w:val="DefaultParagraphFont"/>
    <w:link w:val="NICCYBodyTest"/>
    <w:rsid w:val="00987E04"/>
    <w:rPr>
      <w:rFonts w:ascii="Arial" w:hAnsi="Arial" w:cs="Arial"/>
      <w:color w:val="414042"/>
      <w:lang w:val="en-GB"/>
    </w:rPr>
  </w:style>
  <w:style w:type="paragraph" w:customStyle="1" w:styleId="SingleTxtG">
    <w:name w:val="_ Single Txt_G"/>
    <w:basedOn w:val="Normal"/>
    <w:link w:val="SingleTxtGChar"/>
    <w:qFormat/>
    <w:rsid w:val="00987E04"/>
    <w:pPr>
      <w:suppressAutoHyphens/>
      <w:spacing w:after="120" w:line="240" w:lineRule="atLeast"/>
      <w:ind w:left="1134" w:right="1134"/>
      <w:jc w:val="both"/>
    </w:pPr>
  </w:style>
  <w:style w:type="character" w:customStyle="1" w:styleId="SingleTxtGChar">
    <w:name w:val="_ Single Txt_G Char"/>
    <w:link w:val="SingleTxtG"/>
    <w:locked/>
    <w:rsid w:val="00987E04"/>
    <w:rPr>
      <w:rFonts w:ascii="Times New Roman" w:eastAsia="Times New Roman" w:hAnsi="Times New Roman" w:cs="Times New Roman"/>
      <w:sz w:val="20"/>
      <w:szCs w:val="20"/>
      <w:lang w:val="en-GB"/>
    </w:rPr>
  </w:style>
  <w:style w:type="character" w:customStyle="1" w:styleId="legds">
    <w:name w:val="legds"/>
    <w:basedOn w:val="DefaultParagraphFont"/>
    <w:rsid w:val="00FD77F2"/>
  </w:style>
  <w:style w:type="character" w:customStyle="1" w:styleId="A1">
    <w:name w:val="A1"/>
    <w:uiPriority w:val="99"/>
    <w:rsid w:val="00FD77F2"/>
    <w:rPr>
      <w:b/>
      <w:bCs/>
      <w:color w:val="000000"/>
      <w:sz w:val="42"/>
      <w:szCs w:val="42"/>
    </w:rPr>
  </w:style>
  <w:style w:type="character" w:customStyle="1" w:styleId="A2">
    <w:name w:val="A2"/>
    <w:uiPriority w:val="99"/>
    <w:rsid w:val="00FD77F2"/>
    <w:rPr>
      <w:color w:val="000000"/>
      <w:sz w:val="52"/>
      <w:szCs w:val="52"/>
    </w:rPr>
  </w:style>
  <w:style w:type="paragraph" w:customStyle="1" w:styleId="Char2">
    <w:name w:val="Char2"/>
    <w:basedOn w:val="Normal"/>
    <w:link w:val="FootnoteReference"/>
    <w:uiPriority w:val="99"/>
    <w:rsid w:val="00FD77F2"/>
    <w:pPr>
      <w:spacing w:after="160" w:line="240" w:lineRule="exact"/>
      <w:jc w:val="both"/>
    </w:pPr>
    <w:rPr>
      <w:rFonts w:asciiTheme="minorHAnsi" w:eastAsiaTheme="minorEastAsia" w:hAnsiTheme="minorHAnsi" w:cstheme="minorBidi"/>
      <w:sz w:val="24"/>
      <w:szCs w:val="24"/>
      <w:vertAlign w:val="superscript"/>
      <w:lang w:val="en-US"/>
    </w:rPr>
  </w:style>
  <w:style w:type="character" w:styleId="Strong">
    <w:name w:val="Strong"/>
    <w:basedOn w:val="DefaultParagraphFont"/>
    <w:uiPriority w:val="22"/>
    <w:qFormat/>
    <w:rsid w:val="00FD77F2"/>
    <w:rPr>
      <w:b/>
      <w:bCs/>
    </w:rPr>
  </w:style>
  <w:style w:type="character" w:styleId="Hyperlink">
    <w:name w:val="Hyperlink"/>
    <w:basedOn w:val="DefaultParagraphFont"/>
    <w:uiPriority w:val="99"/>
    <w:unhideWhenUsed/>
    <w:rsid w:val="00FD3728"/>
    <w:rPr>
      <w:color w:val="0000FF" w:themeColor="hyperlink"/>
      <w:u w:val="single"/>
    </w:rPr>
  </w:style>
  <w:style w:type="character" w:styleId="UnresolvedMention">
    <w:name w:val="Unresolved Mention"/>
    <w:basedOn w:val="DefaultParagraphFont"/>
    <w:uiPriority w:val="99"/>
    <w:semiHidden/>
    <w:unhideWhenUsed/>
    <w:rsid w:val="001A1F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3798">
      <w:bodyDiv w:val="1"/>
      <w:marLeft w:val="0"/>
      <w:marRight w:val="0"/>
      <w:marTop w:val="0"/>
      <w:marBottom w:val="0"/>
      <w:divBdr>
        <w:top w:val="none" w:sz="0" w:space="0" w:color="auto"/>
        <w:left w:val="none" w:sz="0" w:space="0" w:color="auto"/>
        <w:bottom w:val="none" w:sz="0" w:space="0" w:color="auto"/>
        <w:right w:val="none" w:sz="0" w:space="0" w:color="auto"/>
      </w:divBdr>
    </w:div>
    <w:div w:id="182742276">
      <w:bodyDiv w:val="1"/>
      <w:marLeft w:val="0"/>
      <w:marRight w:val="0"/>
      <w:marTop w:val="0"/>
      <w:marBottom w:val="0"/>
      <w:divBdr>
        <w:top w:val="none" w:sz="0" w:space="0" w:color="auto"/>
        <w:left w:val="none" w:sz="0" w:space="0" w:color="auto"/>
        <w:bottom w:val="none" w:sz="0" w:space="0" w:color="auto"/>
        <w:right w:val="none" w:sz="0" w:space="0" w:color="auto"/>
      </w:divBdr>
    </w:div>
    <w:div w:id="370958040">
      <w:bodyDiv w:val="1"/>
      <w:marLeft w:val="0"/>
      <w:marRight w:val="0"/>
      <w:marTop w:val="0"/>
      <w:marBottom w:val="0"/>
      <w:divBdr>
        <w:top w:val="none" w:sz="0" w:space="0" w:color="auto"/>
        <w:left w:val="none" w:sz="0" w:space="0" w:color="auto"/>
        <w:bottom w:val="none" w:sz="0" w:space="0" w:color="auto"/>
        <w:right w:val="none" w:sz="0" w:space="0" w:color="auto"/>
      </w:divBdr>
    </w:div>
    <w:div w:id="1219364420">
      <w:bodyDiv w:val="1"/>
      <w:marLeft w:val="0"/>
      <w:marRight w:val="0"/>
      <w:marTop w:val="0"/>
      <w:marBottom w:val="0"/>
      <w:divBdr>
        <w:top w:val="none" w:sz="0" w:space="0" w:color="auto"/>
        <w:left w:val="none" w:sz="0" w:space="0" w:color="auto"/>
        <w:bottom w:val="none" w:sz="0" w:space="0" w:color="auto"/>
        <w:right w:val="none" w:sz="0" w:space="0" w:color="auto"/>
      </w:divBdr>
    </w:div>
    <w:div w:id="1372877148">
      <w:bodyDiv w:val="1"/>
      <w:marLeft w:val="0"/>
      <w:marRight w:val="0"/>
      <w:marTop w:val="0"/>
      <w:marBottom w:val="0"/>
      <w:divBdr>
        <w:top w:val="none" w:sz="0" w:space="0" w:color="auto"/>
        <w:left w:val="none" w:sz="0" w:space="0" w:color="auto"/>
        <w:bottom w:val="none" w:sz="0" w:space="0" w:color="auto"/>
        <w:right w:val="none" w:sz="0" w:space="0" w:color="auto"/>
      </w:divBdr>
    </w:div>
    <w:div w:id="21123170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education-ni.gov.uk/sites/default/files/publications/education/School%20meals%20statistical%20bulletin%20-%20Apr%202020.PDF" TargetMode="External"/><Relationship Id="rId1" Type="http://schemas.openxmlformats.org/officeDocument/2006/relationships/hyperlink" Target="https://www.communities-ni.gov.uk/system/files/publications/communities/ni-poverty-bulletin-2019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7DB86-C627-49C7-9255-F97781DE4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1882</Words>
  <Characters>10728</Characters>
  <Application>Microsoft Office Word</Application>
  <DocSecurity>6</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12585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 Scott</dc:creator>
  <cp:lastModifiedBy>Alex Tennant</cp:lastModifiedBy>
  <cp:revision>2</cp:revision>
  <cp:lastPrinted>2013-07-24T10:39:00Z</cp:lastPrinted>
  <dcterms:created xsi:type="dcterms:W3CDTF">2021-07-26T10:48:00Z</dcterms:created>
  <dcterms:modified xsi:type="dcterms:W3CDTF">2021-07-26T10:48:00Z</dcterms:modified>
</cp:coreProperties>
</file>