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8E7E" w14:textId="5EF8E3A9" w:rsidR="00B310A0" w:rsidRDefault="00B358B9" w:rsidP="003E4EDC">
      <w:pPr>
        <w:rPr>
          <w:rFonts w:ascii="Arial" w:hAnsi="Arial" w:cs="Arial"/>
          <w:b/>
          <w:bCs/>
          <w:sz w:val="24"/>
          <w:szCs w:val="24"/>
        </w:rPr>
      </w:pPr>
      <w:r>
        <w:rPr>
          <w:rFonts w:ascii="Arial" w:hAnsi="Arial" w:cs="Arial"/>
          <w:b/>
          <w:bCs/>
          <w:noProof/>
        </w:rPr>
        <w:drawing>
          <wp:anchor distT="0" distB="0" distL="114300" distR="114300" simplePos="0" relativeHeight="251646976" behindDoc="0" locked="0" layoutInCell="1" allowOverlap="1" wp14:anchorId="6A22F12C" wp14:editId="5C26BA20">
            <wp:simplePos x="0" y="0"/>
            <wp:positionH relativeFrom="margin">
              <wp:posOffset>2364285</wp:posOffset>
            </wp:positionH>
            <wp:positionV relativeFrom="paragraph">
              <wp:posOffset>84934</wp:posOffset>
            </wp:positionV>
            <wp:extent cx="1379855" cy="1399540"/>
            <wp:effectExtent l="0" t="0" r="0" b="0"/>
            <wp:wrapNone/>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9855" cy="1399540"/>
                    </a:xfrm>
                    <a:prstGeom prst="rect">
                      <a:avLst/>
                    </a:prstGeom>
                    <a:noFill/>
                    <a:ln>
                      <a:noFill/>
                    </a:ln>
                  </pic:spPr>
                </pic:pic>
              </a:graphicData>
            </a:graphic>
          </wp:anchor>
        </w:drawing>
      </w:r>
    </w:p>
    <w:p w14:paraId="193EFC60" w14:textId="4EEA132D" w:rsidR="00D255A1" w:rsidRDefault="00B358B9" w:rsidP="00D255A1">
      <w:pPr>
        <w:pStyle w:val="paragraph"/>
        <w:spacing w:before="0" w:beforeAutospacing="0" w:after="0" w:afterAutospacing="0"/>
        <w:textAlignment w:val="baseline"/>
        <w:rPr>
          <w:rFonts w:ascii="Segoe UI" w:hAnsi="Segoe UI" w:cs="Segoe UI"/>
          <w:sz w:val="18"/>
          <w:szCs w:val="18"/>
        </w:rPr>
      </w:pPr>
      <w:r>
        <w:rPr>
          <w:rFonts w:ascii="Arial" w:eastAsiaTheme="minorHAnsi" w:hAnsi="Arial" w:cs="Arial"/>
          <w:b/>
          <w:bCs/>
          <w:noProof/>
          <w:lang w:eastAsia="en-US"/>
        </w:rPr>
        <w:drawing>
          <wp:anchor distT="0" distB="0" distL="114300" distR="114300" simplePos="0" relativeHeight="251679744" behindDoc="0" locked="0" layoutInCell="1" allowOverlap="1" wp14:anchorId="715BCF0C" wp14:editId="08BBD0A9">
            <wp:simplePos x="0" y="0"/>
            <wp:positionH relativeFrom="margin">
              <wp:align>left</wp:align>
            </wp:positionH>
            <wp:positionV relativeFrom="paragraph">
              <wp:posOffset>165942</wp:posOffset>
            </wp:positionV>
            <wp:extent cx="1871932" cy="706859"/>
            <wp:effectExtent l="0" t="0" r="0" b="0"/>
            <wp:wrapNone/>
            <wp:docPr id="5" name="Picture 5"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1932" cy="70685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heme="minorHAnsi" w:hAnsi="Arial" w:cs="Arial"/>
          <w:b/>
          <w:bCs/>
          <w:noProof/>
          <w:lang w:eastAsia="en-US"/>
        </w:rPr>
        <w:drawing>
          <wp:anchor distT="0" distB="0" distL="114300" distR="114300" simplePos="0" relativeHeight="251661312" behindDoc="0" locked="0" layoutInCell="1" allowOverlap="1" wp14:anchorId="47950E93" wp14:editId="2C82E967">
            <wp:simplePos x="0" y="0"/>
            <wp:positionH relativeFrom="margin">
              <wp:align>right</wp:align>
            </wp:positionH>
            <wp:positionV relativeFrom="paragraph">
              <wp:posOffset>96100</wp:posOffset>
            </wp:positionV>
            <wp:extent cx="1535430" cy="845185"/>
            <wp:effectExtent l="0" t="0" r="762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5430" cy="845185"/>
                    </a:xfrm>
                    <a:prstGeom prst="rect">
                      <a:avLst/>
                    </a:prstGeom>
                    <a:noFill/>
                    <a:ln>
                      <a:noFill/>
                    </a:ln>
                  </pic:spPr>
                </pic:pic>
              </a:graphicData>
            </a:graphic>
          </wp:anchor>
        </w:drawing>
      </w:r>
      <w:r w:rsidR="00D255A1">
        <w:rPr>
          <w:rStyle w:val="eop"/>
          <w:rFonts w:ascii="Arial" w:hAnsi="Arial" w:cs="Arial"/>
        </w:rPr>
        <w:t> </w:t>
      </w:r>
    </w:p>
    <w:p w14:paraId="2064AC9E" w14:textId="51BCFD88" w:rsidR="00D255A1" w:rsidRDefault="00D255A1" w:rsidP="00D255A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A7EEAE2" w14:textId="2317BCE9" w:rsidR="00B310A0" w:rsidRDefault="00B310A0" w:rsidP="003E4EDC">
      <w:pPr>
        <w:rPr>
          <w:rFonts w:ascii="Arial" w:hAnsi="Arial" w:cs="Arial"/>
          <w:b/>
          <w:bCs/>
          <w:sz w:val="24"/>
          <w:szCs w:val="24"/>
        </w:rPr>
      </w:pPr>
    </w:p>
    <w:p w14:paraId="15A9E4B7" w14:textId="77777777" w:rsidR="00D255A1" w:rsidRDefault="00D255A1" w:rsidP="003E4EDC">
      <w:pPr>
        <w:rPr>
          <w:rFonts w:ascii="Arial" w:hAnsi="Arial" w:cs="Arial"/>
          <w:b/>
          <w:bCs/>
          <w:sz w:val="24"/>
          <w:szCs w:val="24"/>
        </w:rPr>
      </w:pPr>
    </w:p>
    <w:p w14:paraId="5C01699E" w14:textId="77777777" w:rsidR="00D255A1" w:rsidRDefault="00D255A1" w:rsidP="003E4EDC">
      <w:pPr>
        <w:rPr>
          <w:rFonts w:ascii="Arial" w:hAnsi="Arial" w:cs="Arial"/>
          <w:b/>
          <w:bCs/>
          <w:sz w:val="24"/>
          <w:szCs w:val="24"/>
        </w:rPr>
      </w:pPr>
    </w:p>
    <w:p w14:paraId="7150EF4B" w14:textId="77777777" w:rsidR="00B358B9" w:rsidRDefault="00B358B9" w:rsidP="003E4EDC">
      <w:pPr>
        <w:rPr>
          <w:rFonts w:ascii="Arial" w:hAnsi="Arial" w:cs="Arial"/>
          <w:b/>
          <w:bCs/>
          <w:sz w:val="24"/>
          <w:szCs w:val="24"/>
        </w:rPr>
      </w:pPr>
    </w:p>
    <w:p w14:paraId="6000A74B" w14:textId="554FCBF9" w:rsidR="00AA40B6" w:rsidRPr="007D2C70" w:rsidRDefault="00AA40B6" w:rsidP="00AA40B6">
      <w:pPr>
        <w:jc w:val="center"/>
        <w:rPr>
          <w:rFonts w:ascii="Arial" w:hAnsi="Arial" w:cs="Arial"/>
          <w:b/>
          <w:bCs/>
          <w:sz w:val="32"/>
          <w:szCs w:val="32"/>
        </w:rPr>
      </w:pPr>
      <w:r w:rsidRPr="007D2C70">
        <w:rPr>
          <w:rFonts w:ascii="Arial" w:hAnsi="Arial" w:cs="Arial"/>
          <w:b/>
          <w:bCs/>
          <w:sz w:val="32"/>
          <w:szCs w:val="32"/>
        </w:rPr>
        <w:t>Consultation Response/ Ymateb i Ymgynghoriad</w:t>
      </w:r>
    </w:p>
    <w:p w14:paraId="644901AD" w14:textId="77777777" w:rsidR="00AA40B6" w:rsidRDefault="00AA40B6" w:rsidP="00AA40B6">
      <w:pPr>
        <w:rPr>
          <w:rFonts w:ascii="Arial" w:hAnsi="Arial" w:cs="Arial"/>
          <w:b/>
          <w:bCs/>
          <w:sz w:val="24"/>
          <w:szCs w:val="24"/>
        </w:rPr>
      </w:pPr>
    </w:p>
    <w:p w14:paraId="7B3F3534" w14:textId="34773257" w:rsidR="00AA40B6" w:rsidRPr="00AA40B6" w:rsidRDefault="00AA40B6" w:rsidP="00AA40B6">
      <w:pPr>
        <w:rPr>
          <w:rFonts w:ascii="Arial" w:hAnsi="Arial" w:cs="Arial"/>
          <w:b/>
          <w:bCs/>
          <w:sz w:val="24"/>
          <w:szCs w:val="24"/>
        </w:rPr>
      </w:pPr>
      <w:r w:rsidRPr="00AA40B6">
        <w:rPr>
          <w:rFonts w:ascii="Arial" w:hAnsi="Arial" w:cs="Arial"/>
          <w:b/>
          <w:bCs/>
          <w:sz w:val="24"/>
          <w:szCs w:val="24"/>
        </w:rPr>
        <w:t xml:space="preserve">Date / Dyddiad: </w:t>
      </w:r>
      <w:r>
        <w:rPr>
          <w:rFonts w:ascii="Arial" w:hAnsi="Arial" w:cs="Arial"/>
          <w:b/>
          <w:bCs/>
          <w:sz w:val="24"/>
          <w:szCs w:val="24"/>
        </w:rPr>
        <w:t>8 March</w:t>
      </w:r>
      <w:r w:rsidRPr="00AA40B6">
        <w:rPr>
          <w:rFonts w:ascii="Arial" w:hAnsi="Arial" w:cs="Arial"/>
          <w:b/>
          <w:bCs/>
          <w:sz w:val="24"/>
          <w:szCs w:val="24"/>
        </w:rPr>
        <w:t xml:space="preserve"> 202</w:t>
      </w:r>
      <w:r>
        <w:rPr>
          <w:rFonts w:ascii="Arial" w:hAnsi="Arial" w:cs="Arial"/>
          <w:b/>
          <w:bCs/>
          <w:sz w:val="24"/>
          <w:szCs w:val="24"/>
        </w:rPr>
        <w:t>2</w:t>
      </w:r>
    </w:p>
    <w:p w14:paraId="76C2281C" w14:textId="3216A45E" w:rsidR="00B358B9" w:rsidRDefault="00AA40B6" w:rsidP="00AA40B6">
      <w:pPr>
        <w:rPr>
          <w:rFonts w:ascii="Arial" w:hAnsi="Arial" w:cs="Arial"/>
          <w:b/>
          <w:bCs/>
          <w:sz w:val="24"/>
          <w:szCs w:val="24"/>
        </w:rPr>
      </w:pPr>
      <w:r w:rsidRPr="00AA40B6">
        <w:rPr>
          <w:rFonts w:ascii="Arial" w:hAnsi="Arial" w:cs="Arial"/>
          <w:b/>
          <w:bCs/>
          <w:sz w:val="24"/>
          <w:szCs w:val="24"/>
        </w:rPr>
        <w:t xml:space="preserve">Subject / Pwnc: </w:t>
      </w:r>
      <w:r w:rsidR="00150DFF" w:rsidRPr="00150DFF">
        <w:rPr>
          <w:rFonts w:ascii="Arial" w:hAnsi="Arial" w:cs="Arial"/>
          <w:b/>
          <w:bCs/>
          <w:sz w:val="24"/>
          <w:szCs w:val="24"/>
        </w:rPr>
        <w:t>Human Rights Act Reform: A Modern Bill of Rights</w:t>
      </w:r>
      <w:r w:rsidRPr="00AA40B6">
        <w:rPr>
          <w:rFonts w:ascii="Arial" w:hAnsi="Arial" w:cs="Arial"/>
          <w:b/>
          <w:bCs/>
          <w:sz w:val="24"/>
          <w:szCs w:val="24"/>
        </w:rPr>
        <w:cr/>
      </w:r>
    </w:p>
    <w:p w14:paraId="086D3046" w14:textId="3B1244D4" w:rsidR="00276800" w:rsidRPr="00C853E5" w:rsidRDefault="00470118" w:rsidP="003E4EDC">
      <w:pPr>
        <w:rPr>
          <w:rFonts w:ascii="Arial" w:hAnsi="Arial" w:cs="Arial"/>
          <w:sz w:val="24"/>
          <w:szCs w:val="24"/>
        </w:rPr>
      </w:pPr>
      <w:r w:rsidRPr="00C853E5">
        <w:rPr>
          <w:rFonts w:ascii="Arial" w:hAnsi="Arial" w:cs="Arial"/>
          <w:sz w:val="24"/>
          <w:szCs w:val="24"/>
        </w:rPr>
        <w:t xml:space="preserve">As the Children’s Commissioners for Northern Ireland, Scotland and Wales, we </w:t>
      </w:r>
      <w:r w:rsidR="00DF12F8" w:rsidRPr="00C853E5">
        <w:rPr>
          <w:rFonts w:ascii="Arial" w:hAnsi="Arial" w:cs="Arial"/>
          <w:sz w:val="24"/>
          <w:szCs w:val="24"/>
        </w:rPr>
        <w:t>will focus on</w:t>
      </w:r>
      <w:r w:rsidRPr="00C853E5">
        <w:rPr>
          <w:rFonts w:ascii="Arial" w:hAnsi="Arial" w:cs="Arial"/>
          <w:sz w:val="24"/>
          <w:szCs w:val="24"/>
        </w:rPr>
        <w:t xml:space="preserve"> issues affecting children and their families in the devolved nations.</w:t>
      </w:r>
      <w:r w:rsidR="003C3B92" w:rsidRPr="00AE3C32">
        <w:rPr>
          <w:rFonts w:ascii="Arial" w:hAnsi="Arial" w:cs="Arial"/>
          <w:sz w:val="24"/>
          <w:szCs w:val="24"/>
        </w:rPr>
        <w:t xml:space="preserve"> While our </w:t>
      </w:r>
      <w:r w:rsidR="003C3B92" w:rsidRPr="00C853E5">
        <w:rPr>
          <w:rFonts w:ascii="Arial" w:hAnsi="Arial" w:cs="Arial"/>
          <w:sz w:val="24"/>
          <w:szCs w:val="24"/>
        </w:rPr>
        <w:t>statutory functions differ</w:t>
      </w:r>
      <w:r w:rsidR="004D708B">
        <w:rPr>
          <w:rStyle w:val="FootnoteReference"/>
          <w:rFonts w:ascii="Arial" w:hAnsi="Arial" w:cs="Arial"/>
          <w:sz w:val="24"/>
          <w:szCs w:val="24"/>
        </w:rPr>
        <w:footnoteReference w:id="2"/>
      </w:r>
      <w:r w:rsidR="00AF1D18" w:rsidRPr="00C853E5">
        <w:rPr>
          <w:rFonts w:ascii="Arial" w:hAnsi="Arial" w:cs="Arial"/>
          <w:sz w:val="24"/>
          <w:szCs w:val="24"/>
        </w:rPr>
        <w:t xml:space="preserve">, </w:t>
      </w:r>
      <w:r w:rsidR="00513694">
        <w:rPr>
          <w:rFonts w:ascii="Arial" w:hAnsi="Arial" w:cs="Arial"/>
          <w:sz w:val="24"/>
          <w:szCs w:val="24"/>
        </w:rPr>
        <w:t>we are all</w:t>
      </w:r>
      <w:r w:rsidR="00944BE6">
        <w:rPr>
          <w:rFonts w:ascii="Arial" w:hAnsi="Arial" w:cs="Arial"/>
          <w:sz w:val="24"/>
          <w:szCs w:val="24"/>
        </w:rPr>
        <w:t xml:space="preserve"> Independent </w:t>
      </w:r>
      <w:r w:rsidR="00151C68">
        <w:rPr>
          <w:rFonts w:ascii="Arial" w:hAnsi="Arial" w:cs="Arial"/>
          <w:sz w:val="24"/>
          <w:szCs w:val="24"/>
        </w:rPr>
        <w:t xml:space="preserve">Children’s Rights Institutions </w:t>
      </w:r>
      <w:r w:rsidR="00513694">
        <w:rPr>
          <w:rFonts w:ascii="Arial" w:hAnsi="Arial" w:cs="Arial"/>
          <w:sz w:val="24"/>
          <w:szCs w:val="24"/>
        </w:rPr>
        <w:t xml:space="preserve">established in accordance with UN </w:t>
      </w:r>
      <w:r w:rsidR="00F17A06">
        <w:rPr>
          <w:rFonts w:ascii="Arial" w:hAnsi="Arial" w:cs="Arial"/>
          <w:sz w:val="24"/>
          <w:szCs w:val="24"/>
        </w:rPr>
        <w:t>principles.</w:t>
      </w:r>
      <w:r w:rsidR="00F17A06">
        <w:rPr>
          <w:rStyle w:val="FootnoteReference"/>
          <w:rFonts w:ascii="Arial" w:hAnsi="Arial" w:cs="Arial"/>
          <w:sz w:val="24"/>
          <w:szCs w:val="24"/>
        </w:rPr>
        <w:footnoteReference w:id="3"/>
      </w:r>
      <w:r w:rsidR="00F17A06">
        <w:rPr>
          <w:rFonts w:ascii="Arial" w:hAnsi="Arial" w:cs="Arial"/>
          <w:sz w:val="24"/>
          <w:szCs w:val="24"/>
        </w:rPr>
        <w:t xml:space="preserve"> O</w:t>
      </w:r>
      <w:r w:rsidR="00513694" w:rsidRPr="00C853E5">
        <w:rPr>
          <w:rFonts w:ascii="Arial" w:hAnsi="Arial" w:cs="Arial"/>
          <w:sz w:val="24"/>
          <w:szCs w:val="24"/>
        </w:rPr>
        <w:t>ur remits centre upon</w:t>
      </w:r>
      <w:r w:rsidR="00513694">
        <w:rPr>
          <w:rFonts w:ascii="Arial" w:hAnsi="Arial" w:cs="Arial"/>
          <w:sz w:val="24"/>
          <w:szCs w:val="24"/>
        </w:rPr>
        <w:t xml:space="preserve"> </w:t>
      </w:r>
      <w:r w:rsidR="003C3B92" w:rsidRPr="00C853E5">
        <w:rPr>
          <w:rFonts w:ascii="Arial" w:hAnsi="Arial" w:cs="Arial"/>
          <w:sz w:val="24"/>
          <w:szCs w:val="24"/>
        </w:rPr>
        <w:t xml:space="preserve">the promotion and protection of children’s rights, particularly under the </w:t>
      </w:r>
      <w:r w:rsidR="00971352">
        <w:rPr>
          <w:rFonts w:ascii="Arial" w:hAnsi="Arial" w:cs="Arial"/>
          <w:sz w:val="24"/>
          <w:szCs w:val="24"/>
        </w:rPr>
        <w:t>UN Convention on the Rights of the Child (UNCRC)</w:t>
      </w:r>
      <w:r w:rsidR="003C3B92" w:rsidRPr="00C853E5">
        <w:rPr>
          <w:rFonts w:ascii="Arial" w:hAnsi="Arial" w:cs="Arial"/>
          <w:sz w:val="24"/>
          <w:szCs w:val="24"/>
        </w:rPr>
        <w:t>, informed by children’s views and experiences.</w:t>
      </w:r>
    </w:p>
    <w:p w14:paraId="468B150B" w14:textId="35AED48E" w:rsidR="00661272" w:rsidRDefault="004A1D46" w:rsidP="00781316">
      <w:pPr>
        <w:rPr>
          <w:rFonts w:ascii="Arial" w:hAnsi="Arial" w:cs="Arial"/>
          <w:sz w:val="24"/>
          <w:szCs w:val="24"/>
        </w:rPr>
      </w:pPr>
      <w:r w:rsidRPr="00BD0CDC">
        <w:rPr>
          <w:rFonts w:ascii="Arial" w:hAnsi="Arial" w:cs="Arial"/>
          <w:sz w:val="24"/>
          <w:szCs w:val="24"/>
        </w:rPr>
        <w:t>By incorporating the European Convention on Human Rights (ECHR)</w:t>
      </w:r>
      <w:r w:rsidR="008E4DA5" w:rsidRPr="00BD0CDC">
        <w:rPr>
          <w:rFonts w:ascii="Arial" w:hAnsi="Arial" w:cs="Arial"/>
          <w:sz w:val="24"/>
          <w:szCs w:val="24"/>
        </w:rPr>
        <w:t xml:space="preserve"> i</w:t>
      </w:r>
      <w:r w:rsidRPr="00BD0CDC">
        <w:rPr>
          <w:rFonts w:ascii="Arial" w:hAnsi="Arial" w:cs="Arial"/>
          <w:sz w:val="24"/>
          <w:szCs w:val="24"/>
        </w:rPr>
        <w:t xml:space="preserve">nto </w:t>
      </w:r>
      <w:r w:rsidR="00D61CC4" w:rsidRPr="00BD0CDC">
        <w:rPr>
          <w:rFonts w:ascii="Arial" w:hAnsi="Arial" w:cs="Arial"/>
          <w:sz w:val="24"/>
          <w:szCs w:val="24"/>
        </w:rPr>
        <w:t>domestic law</w:t>
      </w:r>
      <w:r w:rsidR="008E4DA5" w:rsidRPr="00BD0CDC">
        <w:rPr>
          <w:rFonts w:ascii="Arial" w:hAnsi="Arial" w:cs="Arial"/>
          <w:sz w:val="24"/>
          <w:szCs w:val="24"/>
        </w:rPr>
        <w:t xml:space="preserve">, the Human Rights Act has </w:t>
      </w:r>
      <w:r w:rsidR="00F504DB" w:rsidRPr="00BD0CDC">
        <w:rPr>
          <w:rFonts w:ascii="Arial" w:hAnsi="Arial" w:cs="Arial"/>
          <w:sz w:val="24"/>
          <w:szCs w:val="24"/>
        </w:rPr>
        <w:t xml:space="preserve">been critical to advancing </w:t>
      </w:r>
      <w:r w:rsidR="00BD2C15" w:rsidRPr="00BD0CDC">
        <w:rPr>
          <w:rFonts w:ascii="Arial" w:hAnsi="Arial" w:cs="Arial"/>
          <w:sz w:val="24"/>
          <w:szCs w:val="24"/>
        </w:rPr>
        <w:t>children’s</w:t>
      </w:r>
      <w:r w:rsidR="00DF284B" w:rsidRPr="00BD0CDC">
        <w:rPr>
          <w:rFonts w:ascii="Arial" w:hAnsi="Arial" w:cs="Arial"/>
          <w:sz w:val="24"/>
          <w:szCs w:val="24"/>
        </w:rPr>
        <w:t xml:space="preserve"> rights in the UK. </w:t>
      </w:r>
      <w:r w:rsidR="00EA6923" w:rsidRPr="00BD0CDC">
        <w:rPr>
          <w:rFonts w:ascii="Arial" w:hAnsi="Arial" w:cs="Arial"/>
          <w:sz w:val="24"/>
          <w:szCs w:val="24"/>
        </w:rPr>
        <w:t xml:space="preserve">Under the </w:t>
      </w:r>
      <w:r w:rsidR="0021518E" w:rsidRPr="00BD0CDC">
        <w:rPr>
          <w:rFonts w:ascii="Arial" w:hAnsi="Arial" w:cs="Arial"/>
          <w:sz w:val="24"/>
          <w:szCs w:val="24"/>
        </w:rPr>
        <w:t>promise</w:t>
      </w:r>
      <w:r w:rsidR="00EA6923" w:rsidRPr="00BD0CDC">
        <w:rPr>
          <w:rFonts w:ascii="Arial" w:hAnsi="Arial" w:cs="Arial"/>
          <w:sz w:val="24"/>
          <w:szCs w:val="24"/>
        </w:rPr>
        <w:t xml:space="preserve"> of </w:t>
      </w:r>
      <w:r w:rsidR="00DF284B" w:rsidRPr="00BD0CDC">
        <w:rPr>
          <w:rFonts w:ascii="Arial" w:hAnsi="Arial" w:cs="Arial"/>
          <w:sz w:val="24"/>
          <w:szCs w:val="24"/>
        </w:rPr>
        <w:t>‘bringing rights home</w:t>
      </w:r>
      <w:r w:rsidR="00C841AF" w:rsidRPr="00BD0CDC">
        <w:rPr>
          <w:rFonts w:ascii="Arial" w:hAnsi="Arial" w:cs="Arial"/>
          <w:sz w:val="24"/>
          <w:szCs w:val="24"/>
        </w:rPr>
        <w:t>’</w:t>
      </w:r>
      <w:r w:rsidR="00C841AF">
        <w:rPr>
          <w:rFonts w:ascii="Arial" w:hAnsi="Arial" w:cs="Arial"/>
          <w:sz w:val="24"/>
          <w:szCs w:val="24"/>
        </w:rPr>
        <w:t>,</w:t>
      </w:r>
      <w:r w:rsidR="00DF284B" w:rsidRPr="00BD0CDC">
        <w:rPr>
          <w:rFonts w:ascii="Arial" w:hAnsi="Arial" w:cs="Arial"/>
          <w:sz w:val="24"/>
          <w:szCs w:val="24"/>
        </w:rPr>
        <w:t xml:space="preserve"> the </w:t>
      </w:r>
      <w:r w:rsidR="00D912F7" w:rsidRPr="00BD0CDC">
        <w:rPr>
          <w:rFonts w:ascii="Arial" w:hAnsi="Arial" w:cs="Arial"/>
          <w:sz w:val="24"/>
          <w:szCs w:val="24"/>
        </w:rPr>
        <w:t xml:space="preserve">Act has </w:t>
      </w:r>
      <w:r w:rsidR="00E7478C" w:rsidRPr="00BD0CDC">
        <w:rPr>
          <w:rFonts w:ascii="Arial" w:hAnsi="Arial" w:cs="Arial"/>
          <w:sz w:val="24"/>
          <w:szCs w:val="24"/>
        </w:rPr>
        <w:t>empowered children</w:t>
      </w:r>
      <w:r w:rsidR="00900BA9" w:rsidRPr="00BD0CDC">
        <w:rPr>
          <w:rFonts w:ascii="Arial" w:hAnsi="Arial" w:cs="Arial"/>
          <w:sz w:val="24"/>
          <w:szCs w:val="24"/>
        </w:rPr>
        <w:t xml:space="preserve"> whose rights have been violated</w:t>
      </w:r>
      <w:r w:rsidR="000D1BC7" w:rsidRPr="00BD0CDC">
        <w:rPr>
          <w:rFonts w:ascii="Arial" w:hAnsi="Arial" w:cs="Arial"/>
          <w:sz w:val="24"/>
          <w:szCs w:val="24"/>
        </w:rPr>
        <w:t xml:space="preserve"> </w:t>
      </w:r>
      <w:r w:rsidR="00BD2C15" w:rsidRPr="00BD0CDC">
        <w:rPr>
          <w:rFonts w:ascii="Arial" w:hAnsi="Arial" w:cs="Arial"/>
          <w:sz w:val="24"/>
          <w:szCs w:val="24"/>
        </w:rPr>
        <w:t>to</w:t>
      </w:r>
      <w:r w:rsidR="00E7478C" w:rsidRPr="00BD0CDC">
        <w:rPr>
          <w:rFonts w:ascii="Arial" w:hAnsi="Arial" w:cs="Arial"/>
          <w:sz w:val="24"/>
          <w:szCs w:val="24"/>
        </w:rPr>
        <w:t xml:space="preserve"> </w:t>
      </w:r>
      <w:r w:rsidR="0024641B" w:rsidRPr="00BD0CDC">
        <w:rPr>
          <w:rFonts w:ascii="Arial" w:hAnsi="Arial" w:cs="Arial"/>
          <w:sz w:val="24"/>
          <w:szCs w:val="24"/>
        </w:rPr>
        <w:t>obtain a remedy in national</w:t>
      </w:r>
      <w:r w:rsidR="00E7478C" w:rsidRPr="00BD0CDC">
        <w:rPr>
          <w:rFonts w:ascii="Arial" w:hAnsi="Arial" w:cs="Arial"/>
          <w:sz w:val="24"/>
          <w:szCs w:val="24"/>
        </w:rPr>
        <w:t xml:space="preserve"> courts, rather than having to go to </w:t>
      </w:r>
      <w:r w:rsidR="009D28D4">
        <w:rPr>
          <w:rFonts w:ascii="Arial" w:hAnsi="Arial" w:cs="Arial"/>
          <w:sz w:val="24"/>
          <w:szCs w:val="24"/>
        </w:rPr>
        <w:t xml:space="preserve">the European Court of Human Rights in </w:t>
      </w:r>
      <w:r w:rsidR="00E7478C" w:rsidRPr="00BD0CDC">
        <w:rPr>
          <w:rFonts w:ascii="Arial" w:hAnsi="Arial" w:cs="Arial"/>
          <w:sz w:val="24"/>
          <w:szCs w:val="24"/>
        </w:rPr>
        <w:t>Strasbourg</w:t>
      </w:r>
      <w:r w:rsidR="0024641B" w:rsidRPr="00BD0CDC">
        <w:rPr>
          <w:rFonts w:ascii="Arial" w:hAnsi="Arial" w:cs="Arial"/>
          <w:sz w:val="24"/>
          <w:szCs w:val="24"/>
        </w:rPr>
        <w:t>.</w:t>
      </w:r>
      <w:r w:rsidR="0095745B" w:rsidRPr="00BD0CDC">
        <w:rPr>
          <w:rFonts w:ascii="Arial" w:hAnsi="Arial" w:cs="Arial"/>
          <w:sz w:val="24"/>
          <w:szCs w:val="24"/>
        </w:rPr>
        <w:t xml:space="preserve"> </w:t>
      </w:r>
      <w:r w:rsidR="00781316" w:rsidRPr="00BD0CDC">
        <w:rPr>
          <w:rFonts w:ascii="Arial" w:hAnsi="Arial" w:cs="Arial"/>
          <w:sz w:val="24"/>
          <w:szCs w:val="24"/>
        </w:rPr>
        <w:t>The requirement for public authorities to act compatibly with</w:t>
      </w:r>
      <w:r w:rsidR="000D1BC7" w:rsidRPr="00BD0CDC">
        <w:rPr>
          <w:rFonts w:ascii="Arial" w:hAnsi="Arial" w:cs="Arial"/>
          <w:sz w:val="24"/>
          <w:szCs w:val="24"/>
        </w:rPr>
        <w:t xml:space="preserve"> </w:t>
      </w:r>
      <w:r w:rsidR="00781316" w:rsidRPr="00BD0CDC">
        <w:rPr>
          <w:rFonts w:ascii="Arial" w:hAnsi="Arial" w:cs="Arial"/>
          <w:sz w:val="24"/>
          <w:szCs w:val="24"/>
        </w:rPr>
        <w:t>ECHR rights</w:t>
      </w:r>
      <w:r w:rsidR="00F15288" w:rsidRPr="00BD0CDC">
        <w:rPr>
          <w:rFonts w:ascii="Arial" w:hAnsi="Arial" w:cs="Arial"/>
          <w:sz w:val="24"/>
          <w:szCs w:val="24"/>
        </w:rPr>
        <w:t xml:space="preserve"> under Section 6</w:t>
      </w:r>
      <w:r w:rsidR="00781316" w:rsidRPr="00BD0CDC">
        <w:rPr>
          <w:rFonts w:ascii="Arial" w:hAnsi="Arial" w:cs="Arial"/>
          <w:sz w:val="24"/>
          <w:szCs w:val="24"/>
        </w:rPr>
        <w:t xml:space="preserve"> has embedded human rights in</w:t>
      </w:r>
      <w:r w:rsidR="00F15288" w:rsidRPr="00BD0CDC">
        <w:rPr>
          <w:rFonts w:ascii="Arial" w:hAnsi="Arial" w:cs="Arial"/>
          <w:sz w:val="24"/>
          <w:szCs w:val="24"/>
        </w:rPr>
        <w:t>to</w:t>
      </w:r>
      <w:r w:rsidR="00781316" w:rsidRPr="00BD0CDC">
        <w:rPr>
          <w:rFonts w:ascii="Arial" w:hAnsi="Arial" w:cs="Arial"/>
          <w:sz w:val="24"/>
          <w:szCs w:val="24"/>
        </w:rPr>
        <w:t xml:space="preserve"> the delivery of public services</w:t>
      </w:r>
      <w:r w:rsidR="001C443C" w:rsidRPr="00BD0CDC">
        <w:rPr>
          <w:rFonts w:ascii="Arial" w:hAnsi="Arial" w:cs="Arial"/>
          <w:sz w:val="24"/>
          <w:szCs w:val="24"/>
        </w:rPr>
        <w:t xml:space="preserve">, thereby reducing the need </w:t>
      </w:r>
      <w:r w:rsidR="00AC4E80" w:rsidRPr="00BD0CDC">
        <w:rPr>
          <w:rFonts w:ascii="Arial" w:hAnsi="Arial" w:cs="Arial"/>
          <w:sz w:val="24"/>
          <w:szCs w:val="24"/>
        </w:rPr>
        <w:t>for children and those representing their interests</w:t>
      </w:r>
      <w:r w:rsidR="00F15288" w:rsidRPr="00BD0CDC">
        <w:rPr>
          <w:rFonts w:ascii="Arial" w:hAnsi="Arial" w:cs="Arial"/>
          <w:sz w:val="24"/>
          <w:szCs w:val="24"/>
        </w:rPr>
        <w:t xml:space="preserve"> </w:t>
      </w:r>
      <w:r w:rsidR="00AC4E80" w:rsidRPr="00BD0CDC">
        <w:rPr>
          <w:rFonts w:ascii="Arial" w:hAnsi="Arial" w:cs="Arial"/>
          <w:sz w:val="24"/>
          <w:szCs w:val="24"/>
        </w:rPr>
        <w:t xml:space="preserve">to </w:t>
      </w:r>
      <w:r w:rsidR="00F15288" w:rsidRPr="00BD0CDC">
        <w:rPr>
          <w:rFonts w:ascii="Arial" w:hAnsi="Arial" w:cs="Arial"/>
          <w:sz w:val="24"/>
          <w:szCs w:val="24"/>
        </w:rPr>
        <w:t>resort to litigation</w:t>
      </w:r>
      <w:r w:rsidR="00B05BF7" w:rsidRPr="00BD0CDC">
        <w:rPr>
          <w:rFonts w:ascii="Arial" w:hAnsi="Arial" w:cs="Arial"/>
          <w:sz w:val="24"/>
          <w:szCs w:val="24"/>
        </w:rPr>
        <w:t xml:space="preserve"> to enforce rights. </w:t>
      </w:r>
    </w:p>
    <w:p w14:paraId="387C1B7E" w14:textId="1CF98E1E" w:rsidR="008C41D8" w:rsidRPr="00BD0CDC" w:rsidRDefault="008C41D8" w:rsidP="008C41D8">
      <w:pPr>
        <w:rPr>
          <w:rFonts w:ascii="Arial" w:hAnsi="Arial" w:cs="Arial"/>
          <w:sz w:val="24"/>
          <w:szCs w:val="24"/>
        </w:rPr>
      </w:pPr>
      <w:r w:rsidRPr="00BD0CDC">
        <w:rPr>
          <w:rFonts w:ascii="Arial" w:hAnsi="Arial" w:cs="Arial"/>
          <w:sz w:val="24"/>
          <w:szCs w:val="24"/>
        </w:rPr>
        <w:t xml:space="preserve">The ECHR has been a force for positive change in our society, impacting not just development of our laws but also our attitudes. Its impact cannot be overstated. In this regard, we would highlight the jurisprudence of the European Court of Human Rights on corporal punishment. In 1982, the court considered the cases of Mrs Campbell and Mrs Cosans, two Scottish mothers who objected to the use of corporal </w:t>
      </w:r>
      <w:r w:rsidRPr="00BD0CDC">
        <w:rPr>
          <w:rFonts w:ascii="Arial" w:hAnsi="Arial" w:cs="Arial"/>
          <w:sz w:val="24"/>
          <w:szCs w:val="24"/>
        </w:rPr>
        <w:lastRenderedPageBreak/>
        <w:t xml:space="preserve">punishment at the state schools their sons attended. </w:t>
      </w:r>
      <w:r w:rsidR="001B7DDC">
        <w:rPr>
          <w:rFonts w:ascii="Arial" w:hAnsi="Arial" w:cs="Arial"/>
          <w:sz w:val="24"/>
          <w:szCs w:val="24"/>
        </w:rPr>
        <w:t>The court fo</w:t>
      </w:r>
      <w:r w:rsidR="0060230D">
        <w:rPr>
          <w:rFonts w:ascii="Arial" w:hAnsi="Arial" w:cs="Arial"/>
          <w:sz w:val="24"/>
          <w:szCs w:val="24"/>
        </w:rPr>
        <w:t>und</w:t>
      </w:r>
      <w:r w:rsidRPr="00BD0CDC">
        <w:rPr>
          <w:rFonts w:ascii="Arial" w:hAnsi="Arial" w:cs="Arial"/>
          <w:sz w:val="24"/>
          <w:szCs w:val="24"/>
        </w:rPr>
        <w:t xml:space="preserve"> that Article 2 of Protocol 1, and specifically the parents’ right to ensure the education of their children in conformity with their philosophical convictions, had been violated. </w:t>
      </w:r>
      <w:r w:rsidR="0060230D">
        <w:rPr>
          <w:rFonts w:ascii="Arial" w:hAnsi="Arial" w:cs="Arial"/>
          <w:sz w:val="24"/>
          <w:szCs w:val="24"/>
        </w:rPr>
        <w:t xml:space="preserve">Legislation was subsequently introduced </w:t>
      </w:r>
      <w:r w:rsidRPr="00BD0CDC">
        <w:rPr>
          <w:rFonts w:ascii="Arial" w:hAnsi="Arial" w:cs="Arial"/>
          <w:sz w:val="24"/>
          <w:szCs w:val="24"/>
        </w:rPr>
        <w:t>which banned corporal punishment in state schools. In addition, a landmark Strasbourg judgment in 1998 on corporal punishment in the home found that English law "did not provide adequate protection" for children against treatment or punishment contrary to Article 3.</w:t>
      </w:r>
      <w:r w:rsidRPr="00BD0CDC">
        <w:rPr>
          <w:rStyle w:val="FootnoteReference"/>
          <w:rFonts w:ascii="Arial" w:hAnsi="Arial" w:cs="Arial"/>
          <w:sz w:val="24"/>
          <w:szCs w:val="24"/>
        </w:rPr>
        <w:footnoteReference w:id="4"/>
      </w:r>
      <w:r w:rsidRPr="00BD0CDC">
        <w:rPr>
          <w:rFonts w:ascii="Arial" w:hAnsi="Arial" w:cs="Arial"/>
          <w:sz w:val="24"/>
          <w:szCs w:val="24"/>
        </w:rPr>
        <w:t xml:space="preserve"> Law reform on this issue has culminated in the Scottish Parliament in 2019 removing the defence of justifiable assault from Scots law.</w:t>
      </w:r>
      <w:r w:rsidRPr="00BD0CDC">
        <w:rPr>
          <w:rStyle w:val="FootnoteReference"/>
          <w:rFonts w:ascii="Arial" w:hAnsi="Arial" w:cs="Arial"/>
          <w:sz w:val="24"/>
          <w:szCs w:val="24"/>
        </w:rPr>
        <w:footnoteReference w:id="5"/>
      </w:r>
      <w:r w:rsidRPr="00BD0CDC">
        <w:rPr>
          <w:rFonts w:ascii="Arial" w:hAnsi="Arial" w:cs="Arial"/>
          <w:sz w:val="24"/>
          <w:szCs w:val="24"/>
        </w:rPr>
        <w:t xml:space="preserve"> The Welsh Parliament/Senedd Cymru followed suit a year later with the removal of the defence of reasonable </w:t>
      </w:r>
      <w:r w:rsidRPr="65D473DC">
        <w:rPr>
          <w:rFonts w:ascii="Arial" w:hAnsi="Arial" w:cs="Arial"/>
          <w:sz w:val="24"/>
          <w:szCs w:val="24"/>
        </w:rPr>
        <w:t>punishment</w:t>
      </w:r>
      <w:r w:rsidRPr="00BD0CDC">
        <w:rPr>
          <w:rFonts w:ascii="Arial" w:hAnsi="Arial" w:cs="Arial"/>
          <w:sz w:val="24"/>
          <w:szCs w:val="24"/>
        </w:rPr>
        <w:t>.</w:t>
      </w:r>
      <w:r w:rsidRPr="00BD0CDC">
        <w:rPr>
          <w:rStyle w:val="FootnoteReference"/>
          <w:rFonts w:ascii="Arial" w:hAnsi="Arial" w:cs="Arial"/>
          <w:sz w:val="24"/>
          <w:szCs w:val="24"/>
        </w:rPr>
        <w:footnoteReference w:id="6"/>
      </w:r>
    </w:p>
    <w:p w14:paraId="38F996FE" w14:textId="77777777" w:rsidR="009E6D61" w:rsidRDefault="00E1125E" w:rsidP="008F0906">
      <w:pPr>
        <w:rPr>
          <w:rFonts w:ascii="Arial" w:hAnsi="Arial" w:cs="Arial"/>
          <w:sz w:val="24"/>
          <w:szCs w:val="24"/>
        </w:rPr>
      </w:pPr>
      <w:r w:rsidRPr="00BD0CDC">
        <w:rPr>
          <w:rFonts w:ascii="Arial" w:hAnsi="Arial" w:cs="Arial"/>
          <w:sz w:val="24"/>
          <w:szCs w:val="24"/>
        </w:rPr>
        <w:t xml:space="preserve">The </w:t>
      </w:r>
      <w:r w:rsidR="007A2899" w:rsidRPr="00BD0CDC">
        <w:rPr>
          <w:rFonts w:ascii="Arial" w:hAnsi="Arial" w:cs="Arial"/>
          <w:sz w:val="24"/>
          <w:szCs w:val="24"/>
        </w:rPr>
        <w:t xml:space="preserve">Human Rights </w:t>
      </w:r>
      <w:r w:rsidRPr="00BD0CDC">
        <w:rPr>
          <w:rFonts w:ascii="Arial" w:hAnsi="Arial" w:cs="Arial"/>
          <w:sz w:val="24"/>
          <w:szCs w:val="24"/>
        </w:rPr>
        <w:t>Act</w:t>
      </w:r>
      <w:r w:rsidR="007A2899" w:rsidRPr="00BD0CDC">
        <w:rPr>
          <w:rFonts w:ascii="Arial" w:hAnsi="Arial" w:cs="Arial"/>
          <w:sz w:val="24"/>
          <w:szCs w:val="24"/>
        </w:rPr>
        <w:t xml:space="preserve"> also forms</w:t>
      </w:r>
      <w:r w:rsidRPr="00BD0CDC">
        <w:rPr>
          <w:rFonts w:ascii="Arial" w:hAnsi="Arial" w:cs="Arial"/>
          <w:sz w:val="24"/>
          <w:szCs w:val="24"/>
        </w:rPr>
        <w:t xml:space="preserve"> a central part of the devolution settlement in the UK. </w:t>
      </w:r>
      <w:r w:rsidR="00E34984" w:rsidRPr="00BD0CDC">
        <w:rPr>
          <w:rFonts w:ascii="Arial" w:hAnsi="Arial" w:cs="Arial"/>
          <w:sz w:val="24"/>
          <w:szCs w:val="24"/>
        </w:rPr>
        <w:t>The</w:t>
      </w:r>
      <w:r w:rsidRPr="00BD0CDC">
        <w:rPr>
          <w:rFonts w:ascii="Arial" w:hAnsi="Arial" w:cs="Arial"/>
          <w:sz w:val="24"/>
          <w:szCs w:val="24"/>
        </w:rPr>
        <w:t xml:space="preserve"> role played by the ECHR in the devolution statutes has helped to embed respect for human rights in executive and administrative action in Scotland, Northern Ireland and Wales.</w:t>
      </w:r>
      <w:r w:rsidR="009C32F1" w:rsidRPr="00BD0CDC">
        <w:rPr>
          <w:rStyle w:val="FootnoteReference"/>
          <w:rFonts w:ascii="Arial" w:hAnsi="Arial" w:cs="Arial"/>
          <w:sz w:val="24"/>
          <w:szCs w:val="24"/>
        </w:rPr>
        <w:footnoteReference w:id="7"/>
      </w:r>
      <w:r w:rsidRPr="00BD0CDC">
        <w:rPr>
          <w:rFonts w:ascii="Arial" w:hAnsi="Arial" w:cs="Arial"/>
          <w:sz w:val="24"/>
          <w:szCs w:val="24"/>
        </w:rPr>
        <w:t xml:space="preserve"> </w:t>
      </w:r>
    </w:p>
    <w:p w14:paraId="3E572B29" w14:textId="7DDA49C0" w:rsidR="008C41D8" w:rsidRDefault="00DF12F8" w:rsidP="008F0906">
      <w:pPr>
        <w:rPr>
          <w:rFonts w:ascii="Arial" w:hAnsi="Arial" w:cs="Arial"/>
          <w:sz w:val="24"/>
          <w:szCs w:val="24"/>
        </w:rPr>
      </w:pPr>
      <w:r>
        <w:rPr>
          <w:rFonts w:ascii="Arial" w:hAnsi="Arial" w:cs="Arial"/>
          <w:sz w:val="24"/>
          <w:szCs w:val="24"/>
        </w:rPr>
        <w:t>I</w:t>
      </w:r>
      <w:r w:rsidR="00EA3F74" w:rsidRPr="00BD0CDC">
        <w:rPr>
          <w:rFonts w:ascii="Arial" w:hAnsi="Arial" w:cs="Arial"/>
          <w:sz w:val="24"/>
          <w:szCs w:val="24"/>
        </w:rPr>
        <w:t xml:space="preserve">n all three nations there has been a </w:t>
      </w:r>
      <w:r w:rsidR="000D588F" w:rsidRPr="00BD0CDC">
        <w:rPr>
          <w:rFonts w:ascii="Arial" w:hAnsi="Arial" w:cs="Arial"/>
          <w:sz w:val="24"/>
          <w:szCs w:val="24"/>
        </w:rPr>
        <w:t xml:space="preserve">move to </w:t>
      </w:r>
      <w:r w:rsidR="00E71E2E" w:rsidRPr="00BD0CDC">
        <w:rPr>
          <w:rFonts w:ascii="Arial" w:hAnsi="Arial" w:cs="Arial"/>
          <w:sz w:val="24"/>
          <w:szCs w:val="24"/>
        </w:rPr>
        <w:t>enhance human rights protections for children.</w:t>
      </w:r>
      <w:r w:rsidR="00AC4E80" w:rsidRPr="00BD0CDC">
        <w:rPr>
          <w:rFonts w:ascii="Arial" w:hAnsi="Arial" w:cs="Arial"/>
          <w:sz w:val="24"/>
          <w:szCs w:val="24"/>
        </w:rPr>
        <w:t xml:space="preserve"> </w:t>
      </w:r>
      <w:r w:rsidR="002961D6" w:rsidRPr="00BD0CDC">
        <w:rPr>
          <w:rFonts w:ascii="Arial" w:hAnsi="Arial" w:cs="Arial"/>
          <w:sz w:val="24"/>
          <w:szCs w:val="24"/>
        </w:rPr>
        <w:t xml:space="preserve">For </w:t>
      </w:r>
      <w:r w:rsidR="00A64B55" w:rsidRPr="00BD0CDC">
        <w:rPr>
          <w:rFonts w:ascii="Arial" w:hAnsi="Arial" w:cs="Arial"/>
          <w:sz w:val="24"/>
          <w:szCs w:val="24"/>
        </w:rPr>
        <w:t>example,</w:t>
      </w:r>
      <w:r w:rsidR="005C71FE" w:rsidRPr="00BD0CDC">
        <w:rPr>
          <w:rFonts w:ascii="Arial" w:hAnsi="Arial" w:cs="Arial"/>
          <w:sz w:val="24"/>
          <w:szCs w:val="24"/>
        </w:rPr>
        <w:t xml:space="preserve"> in January 2011</w:t>
      </w:r>
      <w:r w:rsidR="002961D6" w:rsidRPr="00BD0CDC">
        <w:rPr>
          <w:rFonts w:ascii="Arial" w:hAnsi="Arial" w:cs="Arial"/>
          <w:sz w:val="24"/>
          <w:szCs w:val="24"/>
        </w:rPr>
        <w:t>,</w:t>
      </w:r>
      <w:r w:rsidR="005C71FE" w:rsidRPr="00BD0CDC">
        <w:rPr>
          <w:rFonts w:ascii="Arial" w:hAnsi="Arial" w:cs="Arial"/>
          <w:sz w:val="24"/>
          <w:szCs w:val="24"/>
        </w:rPr>
        <w:t xml:space="preserve"> the</w:t>
      </w:r>
      <w:r w:rsidR="002961D6" w:rsidRPr="00BD0CDC">
        <w:rPr>
          <w:rFonts w:ascii="Arial" w:hAnsi="Arial" w:cs="Arial"/>
          <w:sz w:val="24"/>
          <w:szCs w:val="24"/>
        </w:rPr>
        <w:t xml:space="preserve"> Rights of Children and Young Persons (Wales) Measure 2011 </w:t>
      </w:r>
      <w:r w:rsidR="00DF53C0" w:rsidRPr="00BD0CDC">
        <w:rPr>
          <w:rFonts w:ascii="Arial" w:hAnsi="Arial" w:cs="Arial"/>
          <w:sz w:val="24"/>
          <w:szCs w:val="24"/>
        </w:rPr>
        <w:t xml:space="preserve">was passed which placed a duty on all Welsh Ministers to have due </w:t>
      </w:r>
      <w:r w:rsidR="008F0906" w:rsidRPr="00BD0CDC">
        <w:rPr>
          <w:rFonts w:ascii="Arial" w:hAnsi="Arial" w:cs="Arial"/>
          <w:sz w:val="24"/>
          <w:szCs w:val="24"/>
        </w:rPr>
        <w:t xml:space="preserve">regard to the substantive rights and obligations within the UN Convention on the Rights of the Child (UNCRC) and its Optional Protocols. In </w:t>
      </w:r>
      <w:r w:rsidR="00B74AB3" w:rsidRPr="00BD0CDC">
        <w:rPr>
          <w:rFonts w:ascii="Arial" w:hAnsi="Arial" w:cs="Arial"/>
          <w:sz w:val="24"/>
          <w:szCs w:val="24"/>
        </w:rPr>
        <w:t>March 2021</w:t>
      </w:r>
      <w:r w:rsidR="008F0906" w:rsidRPr="00BD0CDC">
        <w:rPr>
          <w:rFonts w:ascii="Arial" w:hAnsi="Arial" w:cs="Arial"/>
          <w:sz w:val="24"/>
          <w:szCs w:val="24"/>
        </w:rPr>
        <w:t xml:space="preserve">, </w:t>
      </w:r>
      <w:r w:rsidR="0008453A" w:rsidRPr="00BD0CDC">
        <w:rPr>
          <w:rFonts w:ascii="Arial" w:hAnsi="Arial" w:cs="Arial"/>
          <w:sz w:val="24"/>
          <w:szCs w:val="24"/>
        </w:rPr>
        <w:t xml:space="preserve">after over 10 years of campaigning by children, young people and wider civil society, </w:t>
      </w:r>
      <w:r w:rsidR="008F0906" w:rsidRPr="00BD0CDC">
        <w:rPr>
          <w:rFonts w:ascii="Arial" w:hAnsi="Arial" w:cs="Arial"/>
          <w:sz w:val="24"/>
          <w:szCs w:val="24"/>
        </w:rPr>
        <w:t xml:space="preserve">the Scottish Parliament </w:t>
      </w:r>
      <w:r w:rsidR="00907478" w:rsidRPr="00BD0CDC">
        <w:rPr>
          <w:rFonts w:ascii="Arial" w:hAnsi="Arial" w:cs="Arial"/>
          <w:sz w:val="24"/>
          <w:szCs w:val="24"/>
        </w:rPr>
        <w:t xml:space="preserve">passed the </w:t>
      </w:r>
      <w:r w:rsidR="00B74AB3" w:rsidRPr="00BD0CDC">
        <w:rPr>
          <w:rFonts w:ascii="Arial" w:hAnsi="Arial" w:cs="Arial"/>
          <w:sz w:val="24"/>
          <w:szCs w:val="24"/>
        </w:rPr>
        <w:t>UNCRC (Incorporation) (Scotland) Bill</w:t>
      </w:r>
      <w:r w:rsidR="0008453A" w:rsidRPr="00BD0CDC">
        <w:rPr>
          <w:rFonts w:ascii="Arial" w:hAnsi="Arial" w:cs="Arial"/>
          <w:sz w:val="24"/>
          <w:szCs w:val="24"/>
        </w:rPr>
        <w:t>, which will</w:t>
      </w:r>
      <w:r w:rsidR="00FF58D6" w:rsidRPr="00BD0CDC">
        <w:rPr>
          <w:rFonts w:ascii="Arial" w:hAnsi="Arial" w:cs="Arial"/>
          <w:sz w:val="24"/>
          <w:szCs w:val="24"/>
        </w:rPr>
        <w:t xml:space="preserve"> fully and directly incorporate</w:t>
      </w:r>
      <w:r w:rsidR="00F956AB" w:rsidRPr="00BD0CDC">
        <w:rPr>
          <w:rFonts w:ascii="Arial" w:hAnsi="Arial" w:cs="Arial"/>
          <w:sz w:val="24"/>
          <w:szCs w:val="24"/>
        </w:rPr>
        <w:t>s</w:t>
      </w:r>
      <w:r w:rsidR="00FF58D6" w:rsidRPr="00BD0CDC">
        <w:rPr>
          <w:rFonts w:ascii="Arial" w:hAnsi="Arial" w:cs="Arial"/>
          <w:sz w:val="24"/>
          <w:szCs w:val="24"/>
        </w:rPr>
        <w:t xml:space="preserve"> the UNCRC into Scots Law. </w:t>
      </w:r>
      <w:r w:rsidR="000D2DFD" w:rsidRPr="00BD0CDC">
        <w:rPr>
          <w:rFonts w:ascii="Arial" w:hAnsi="Arial" w:cs="Arial"/>
          <w:sz w:val="24"/>
          <w:szCs w:val="24"/>
        </w:rPr>
        <w:t>The Scottish Government</w:t>
      </w:r>
      <w:r w:rsidR="000D2DFD" w:rsidRPr="00BD0CDC" w:rsidDel="00E314E4">
        <w:rPr>
          <w:rFonts w:ascii="Arial" w:hAnsi="Arial" w:cs="Arial"/>
          <w:sz w:val="24"/>
          <w:szCs w:val="24"/>
        </w:rPr>
        <w:t xml:space="preserve"> </w:t>
      </w:r>
      <w:r w:rsidR="00E314E4">
        <w:rPr>
          <w:rFonts w:ascii="Arial" w:hAnsi="Arial" w:cs="Arial"/>
          <w:sz w:val="24"/>
          <w:szCs w:val="24"/>
        </w:rPr>
        <w:t>has</w:t>
      </w:r>
      <w:r w:rsidR="00E314E4" w:rsidRPr="00BD0CDC">
        <w:rPr>
          <w:rFonts w:ascii="Arial" w:hAnsi="Arial" w:cs="Arial"/>
          <w:sz w:val="24"/>
          <w:szCs w:val="24"/>
        </w:rPr>
        <w:t xml:space="preserve"> </w:t>
      </w:r>
      <w:r w:rsidR="000D2DFD" w:rsidRPr="00BD0CDC">
        <w:rPr>
          <w:rFonts w:ascii="Arial" w:hAnsi="Arial" w:cs="Arial"/>
          <w:sz w:val="24"/>
          <w:szCs w:val="24"/>
        </w:rPr>
        <w:t xml:space="preserve">committed to take forward proposals </w:t>
      </w:r>
      <w:r w:rsidR="00CC45D5" w:rsidRPr="00BD0CDC">
        <w:rPr>
          <w:rFonts w:ascii="Arial" w:hAnsi="Arial" w:cs="Arial"/>
          <w:sz w:val="24"/>
          <w:szCs w:val="24"/>
        </w:rPr>
        <w:t>to incorporate other international human rights treaties into Scots Law.</w:t>
      </w:r>
      <w:r w:rsidR="00CC45D5" w:rsidRPr="00BD0CDC">
        <w:rPr>
          <w:rStyle w:val="FootnoteReference"/>
          <w:rFonts w:ascii="Arial" w:hAnsi="Arial" w:cs="Arial"/>
          <w:sz w:val="24"/>
          <w:szCs w:val="24"/>
        </w:rPr>
        <w:footnoteReference w:id="8"/>
      </w:r>
    </w:p>
    <w:p w14:paraId="2C34CECE" w14:textId="77777777" w:rsidR="008C390E" w:rsidRPr="00BD0CDC" w:rsidRDefault="008C390E" w:rsidP="008C390E">
      <w:pPr>
        <w:rPr>
          <w:rFonts w:ascii="Arial" w:hAnsi="Arial" w:cs="Arial"/>
          <w:sz w:val="24"/>
          <w:szCs w:val="24"/>
        </w:rPr>
      </w:pPr>
      <w:r w:rsidRPr="00BD0CDC">
        <w:rPr>
          <w:rFonts w:ascii="Arial" w:hAnsi="Arial" w:cs="Arial"/>
          <w:sz w:val="24"/>
          <w:szCs w:val="24"/>
        </w:rPr>
        <w:t xml:space="preserve">We are of the firm opinion that children in the UK need the protection of both the Human Rights Act (covering ECHR rights) </w:t>
      </w:r>
      <w:r w:rsidRPr="00BD0CDC">
        <w:rPr>
          <w:rFonts w:ascii="Arial" w:hAnsi="Arial" w:cs="Arial"/>
          <w:sz w:val="24"/>
          <w:szCs w:val="24"/>
          <w:u w:val="single"/>
        </w:rPr>
        <w:t>and</w:t>
      </w:r>
      <w:r w:rsidRPr="00BD0CDC">
        <w:rPr>
          <w:rFonts w:ascii="Arial" w:hAnsi="Arial" w:cs="Arial"/>
          <w:sz w:val="24"/>
          <w:szCs w:val="24"/>
        </w:rPr>
        <w:t xml:space="preserve"> UNCRC rights in domestic law.</w:t>
      </w:r>
      <w:r w:rsidRPr="00BD0CDC">
        <w:rPr>
          <w:rStyle w:val="FootnoteReference"/>
          <w:rFonts w:ascii="Arial" w:hAnsi="Arial" w:cs="Arial"/>
          <w:sz w:val="24"/>
          <w:szCs w:val="24"/>
        </w:rPr>
        <w:footnoteReference w:id="9"/>
      </w:r>
      <w:r w:rsidRPr="00BD0CDC">
        <w:rPr>
          <w:rFonts w:ascii="Arial" w:hAnsi="Arial" w:cs="Arial"/>
          <w:sz w:val="24"/>
          <w:szCs w:val="24"/>
        </w:rPr>
        <w:t xml:space="preserve"> </w:t>
      </w:r>
    </w:p>
    <w:p w14:paraId="46CD0C37" w14:textId="1187372A" w:rsidR="00F77BC8" w:rsidRDefault="00F77BC8" w:rsidP="00F77BC8">
      <w:pPr>
        <w:rPr>
          <w:rFonts w:ascii="Arial" w:hAnsi="Arial" w:cs="Arial"/>
          <w:sz w:val="24"/>
          <w:szCs w:val="24"/>
        </w:rPr>
      </w:pPr>
      <w:r w:rsidRPr="00BD0CDC">
        <w:rPr>
          <w:rFonts w:ascii="Arial" w:hAnsi="Arial" w:cs="Arial"/>
          <w:sz w:val="24"/>
          <w:szCs w:val="24"/>
        </w:rPr>
        <w:t>The proposals set out in the Government’s consultation paper</w:t>
      </w:r>
      <w:r w:rsidRPr="00BD0CDC">
        <w:rPr>
          <w:rStyle w:val="FootnoteReference"/>
          <w:rFonts w:ascii="Arial" w:hAnsi="Arial" w:cs="Arial"/>
          <w:sz w:val="24"/>
          <w:szCs w:val="24"/>
        </w:rPr>
        <w:footnoteReference w:id="10"/>
      </w:r>
      <w:r w:rsidRPr="00BD0CDC">
        <w:rPr>
          <w:rFonts w:ascii="Arial" w:hAnsi="Arial" w:cs="Arial"/>
          <w:sz w:val="24"/>
          <w:szCs w:val="24"/>
        </w:rPr>
        <w:t xml:space="preserve"> will significantly weaken the protection of children’s rights in the UK. We are not convinced that the rationale</w:t>
      </w:r>
      <w:r w:rsidRPr="5A56DB65">
        <w:rPr>
          <w:rFonts w:ascii="Arial" w:hAnsi="Arial" w:cs="Arial"/>
          <w:sz w:val="24"/>
          <w:szCs w:val="24"/>
        </w:rPr>
        <w:t xml:space="preserve"> to</w:t>
      </w:r>
      <w:r w:rsidRPr="00BD0CDC">
        <w:rPr>
          <w:rFonts w:ascii="Arial" w:hAnsi="Arial" w:cs="Arial"/>
          <w:sz w:val="24"/>
          <w:szCs w:val="24"/>
        </w:rPr>
        <w:t xml:space="preserve"> “prevent the incremental expansion of rights without proper democratic oversight” has been borne out in case-law and in practice. We are concerned that the proposals will negatively impact on the ability of children and their representatives to enforce their rights. We are also concerned that the proposals will impair the interpretation of certain rights, particularly Article 8. We do not consider that the consultation paper has fully considered the impact that the proposals will </w:t>
      </w:r>
      <w:r w:rsidRPr="00BD0CDC">
        <w:rPr>
          <w:rFonts w:ascii="Arial" w:hAnsi="Arial" w:cs="Arial"/>
          <w:sz w:val="24"/>
          <w:szCs w:val="24"/>
        </w:rPr>
        <w:lastRenderedPageBreak/>
        <w:t xml:space="preserve">have on the devolution framework. Finally, the proposals will weaken the UK’s commitment to the ECHR, and will risk damaging relations between the UK and the Council of Europe (particularly the </w:t>
      </w:r>
      <w:r w:rsidR="00E25BE3">
        <w:rPr>
          <w:rFonts w:ascii="Arial" w:hAnsi="Arial" w:cs="Arial"/>
          <w:sz w:val="24"/>
          <w:szCs w:val="24"/>
        </w:rPr>
        <w:t>European Court of Human Rights</w:t>
      </w:r>
      <w:r w:rsidRPr="00BD0CDC">
        <w:rPr>
          <w:rFonts w:ascii="Arial" w:hAnsi="Arial" w:cs="Arial"/>
          <w:sz w:val="24"/>
          <w:szCs w:val="24"/>
        </w:rPr>
        <w:t>).</w:t>
      </w:r>
    </w:p>
    <w:p w14:paraId="04C30881" w14:textId="1B48E96A" w:rsidR="00C926E1" w:rsidRPr="00BD0CDC" w:rsidRDefault="00C926E1" w:rsidP="00F77BC8">
      <w:pPr>
        <w:rPr>
          <w:rFonts w:ascii="Arial" w:hAnsi="Arial" w:cs="Arial"/>
          <w:sz w:val="24"/>
          <w:szCs w:val="24"/>
        </w:rPr>
      </w:pPr>
      <w:r>
        <w:rPr>
          <w:rFonts w:ascii="Arial" w:hAnsi="Arial" w:cs="Arial"/>
          <w:sz w:val="24"/>
          <w:szCs w:val="24"/>
        </w:rPr>
        <w:t>Under</w:t>
      </w:r>
      <w:r w:rsidRPr="0C788A5D">
        <w:rPr>
          <w:rFonts w:ascii="Arial" w:hAnsi="Arial" w:cs="Arial"/>
          <w:sz w:val="24"/>
          <w:szCs w:val="24"/>
        </w:rPr>
        <w:t xml:space="preserve"> Chapter 3 of these proposals, the cited criticisms of the </w:t>
      </w:r>
      <w:r>
        <w:rPr>
          <w:rFonts w:ascii="Arial" w:hAnsi="Arial" w:cs="Arial"/>
          <w:sz w:val="24"/>
          <w:szCs w:val="24"/>
        </w:rPr>
        <w:t>Human Rights Act</w:t>
      </w:r>
      <w:r w:rsidRPr="0C788A5D">
        <w:rPr>
          <w:rFonts w:ascii="Arial" w:hAnsi="Arial" w:cs="Arial"/>
          <w:sz w:val="24"/>
          <w:szCs w:val="24"/>
        </w:rPr>
        <w:t xml:space="preserve"> are that there has been a growth of rights culture, </w:t>
      </w:r>
      <w:r>
        <w:rPr>
          <w:rFonts w:ascii="Arial" w:hAnsi="Arial" w:cs="Arial"/>
          <w:sz w:val="24"/>
          <w:szCs w:val="24"/>
        </w:rPr>
        <w:t xml:space="preserve">which </w:t>
      </w:r>
      <w:r w:rsidRPr="0C788A5D">
        <w:rPr>
          <w:rFonts w:ascii="Arial" w:hAnsi="Arial" w:cs="Arial"/>
          <w:sz w:val="24"/>
          <w:szCs w:val="24"/>
        </w:rPr>
        <w:t xml:space="preserve">has created legal uncertainty and that the expansion of rights presents a risk to public protection. As Commissioners whose legislative remits are firmly and proudly grounded in children’s international human rights, we cannot disagree more </w:t>
      </w:r>
      <w:r w:rsidR="00366AF4">
        <w:rPr>
          <w:rFonts w:ascii="Arial" w:hAnsi="Arial" w:cs="Arial"/>
          <w:sz w:val="24"/>
          <w:szCs w:val="24"/>
        </w:rPr>
        <w:t>strongly</w:t>
      </w:r>
      <w:r w:rsidRPr="0C788A5D">
        <w:rPr>
          <w:rFonts w:ascii="Arial" w:hAnsi="Arial" w:cs="Arial"/>
          <w:sz w:val="24"/>
          <w:szCs w:val="24"/>
        </w:rPr>
        <w:t xml:space="preserve"> with any proposals that seek to minimise the important growth in awareness, understanding and appreciation of others’ human rights. Moreover, our statutory purposes place us in diametric opposition with the UK Government’s proposals in this regard.</w:t>
      </w:r>
    </w:p>
    <w:p w14:paraId="317B0365" w14:textId="78C9C8F8" w:rsidR="0045297A" w:rsidRPr="00BD0CDC" w:rsidRDefault="00F77BC8" w:rsidP="008F0906">
      <w:pPr>
        <w:rPr>
          <w:rFonts w:ascii="Arial" w:hAnsi="Arial" w:cs="Arial"/>
          <w:sz w:val="24"/>
          <w:szCs w:val="24"/>
        </w:rPr>
      </w:pPr>
      <w:r w:rsidRPr="00BD0CDC">
        <w:rPr>
          <w:rFonts w:ascii="Arial" w:hAnsi="Arial" w:cs="Arial"/>
          <w:sz w:val="24"/>
          <w:szCs w:val="24"/>
        </w:rPr>
        <w:t>We expand on each of these concerns below</w:t>
      </w:r>
      <w:r w:rsidRPr="0C788A5D">
        <w:rPr>
          <w:rFonts w:ascii="Arial" w:hAnsi="Arial" w:cs="Arial"/>
          <w:sz w:val="24"/>
          <w:szCs w:val="24"/>
        </w:rPr>
        <w:t>.</w:t>
      </w:r>
    </w:p>
    <w:p w14:paraId="4BA54804" w14:textId="2D1ED717" w:rsidR="00EF5E55" w:rsidRPr="00BD0CDC" w:rsidRDefault="00EF5E55" w:rsidP="00EF5E55">
      <w:pPr>
        <w:rPr>
          <w:rFonts w:ascii="Arial" w:hAnsi="Arial" w:cs="Arial"/>
          <w:b/>
          <w:bCs/>
          <w:sz w:val="24"/>
          <w:szCs w:val="24"/>
        </w:rPr>
      </w:pPr>
      <w:r w:rsidRPr="00FFAED9">
        <w:rPr>
          <w:rFonts w:ascii="Arial" w:hAnsi="Arial" w:cs="Arial"/>
          <w:b/>
          <w:bCs/>
          <w:sz w:val="24"/>
          <w:szCs w:val="24"/>
        </w:rPr>
        <w:t xml:space="preserve">Human Rights Act and Devolution </w:t>
      </w:r>
    </w:p>
    <w:p w14:paraId="05A988FE" w14:textId="5340FC9E" w:rsidR="00F10E48" w:rsidRPr="00BD0CDC" w:rsidRDefault="00CA146B" w:rsidP="00EF5E55">
      <w:pPr>
        <w:rPr>
          <w:rFonts w:ascii="Arial" w:hAnsi="Arial" w:cs="Arial"/>
          <w:sz w:val="24"/>
          <w:szCs w:val="24"/>
        </w:rPr>
      </w:pPr>
      <w:r w:rsidRPr="00BD0CDC">
        <w:rPr>
          <w:rFonts w:ascii="Arial" w:hAnsi="Arial" w:cs="Arial"/>
          <w:sz w:val="24"/>
          <w:szCs w:val="24"/>
        </w:rPr>
        <w:t xml:space="preserve">Any change to the </w:t>
      </w:r>
      <w:r w:rsidR="006B5B7D" w:rsidRPr="00BD0CDC">
        <w:rPr>
          <w:rFonts w:ascii="Arial" w:hAnsi="Arial" w:cs="Arial"/>
          <w:sz w:val="24"/>
          <w:szCs w:val="24"/>
        </w:rPr>
        <w:t>Human Rights Act</w:t>
      </w:r>
      <w:r w:rsidRPr="00BD0CDC">
        <w:rPr>
          <w:rFonts w:ascii="Arial" w:hAnsi="Arial" w:cs="Arial"/>
          <w:sz w:val="24"/>
          <w:szCs w:val="24"/>
        </w:rPr>
        <w:t xml:space="preserve"> w</w:t>
      </w:r>
      <w:r w:rsidR="006B5B7D" w:rsidRPr="00BD0CDC">
        <w:rPr>
          <w:rFonts w:ascii="Arial" w:hAnsi="Arial" w:cs="Arial"/>
          <w:sz w:val="24"/>
          <w:szCs w:val="24"/>
        </w:rPr>
        <w:t>ill</w:t>
      </w:r>
      <w:r w:rsidRPr="00BD0CDC">
        <w:rPr>
          <w:rFonts w:ascii="Arial" w:hAnsi="Arial" w:cs="Arial"/>
          <w:sz w:val="24"/>
          <w:szCs w:val="24"/>
        </w:rPr>
        <w:t xml:space="preserve"> impact on the people and governance of Wales, Scotland and Northern Ireland. </w:t>
      </w:r>
      <w:r w:rsidR="00583658" w:rsidRPr="00BC66F9">
        <w:rPr>
          <w:rFonts w:ascii="Arial" w:hAnsi="Arial" w:cs="Arial"/>
          <w:sz w:val="24"/>
          <w:szCs w:val="24"/>
        </w:rPr>
        <w:t xml:space="preserve">This is because, amongst other reasons, the </w:t>
      </w:r>
      <w:r w:rsidR="00583658" w:rsidRPr="00211707">
        <w:rPr>
          <w:rFonts w:ascii="Arial" w:hAnsi="Arial" w:cs="Arial"/>
          <w:sz w:val="24"/>
          <w:szCs w:val="24"/>
        </w:rPr>
        <w:t>devolved administrations are required to act compatibly with ECHR rights when legislating. For example, section 81 of the Government of Wales Act 2006 states that Welsh Ministers have no power to make or approve any form of legislation that is incompatible with any of the Convention rights.</w:t>
      </w:r>
    </w:p>
    <w:p w14:paraId="632E5F07" w14:textId="4D779119" w:rsidR="00765ACF" w:rsidRPr="00AE3C32" w:rsidRDefault="00765ACF" w:rsidP="00EF5E55">
      <w:pPr>
        <w:rPr>
          <w:rFonts w:ascii="Arial" w:hAnsi="Arial" w:cs="Arial"/>
          <w:sz w:val="24"/>
          <w:szCs w:val="24"/>
          <w:u w:val="single"/>
        </w:rPr>
      </w:pPr>
      <w:r w:rsidRPr="00AE3C32">
        <w:rPr>
          <w:rFonts w:ascii="Arial" w:hAnsi="Arial" w:cs="Arial"/>
          <w:sz w:val="24"/>
          <w:szCs w:val="24"/>
          <w:u w:val="single"/>
        </w:rPr>
        <w:t>Northern Ireland</w:t>
      </w:r>
    </w:p>
    <w:p w14:paraId="6BFDA34E" w14:textId="3A4C4363" w:rsidR="00C1578A" w:rsidRDefault="00765ACF" w:rsidP="00765ACF">
      <w:pPr>
        <w:spacing w:line="257" w:lineRule="auto"/>
        <w:rPr>
          <w:rFonts w:ascii="Arial" w:eastAsia="Arial" w:hAnsi="Arial" w:cs="Arial"/>
          <w:sz w:val="24"/>
          <w:szCs w:val="24"/>
        </w:rPr>
      </w:pPr>
      <w:r w:rsidRPr="00AE3C32">
        <w:rPr>
          <w:rFonts w:ascii="Arial" w:eastAsia="Arial" w:hAnsi="Arial" w:cs="Arial"/>
          <w:sz w:val="24"/>
          <w:szCs w:val="24"/>
        </w:rPr>
        <w:t xml:space="preserve">The consultation document recognises the central importance of robust mechanisms to protect human rights in the peace settlement in Northern Ireland, including the following commitment in the Belfast (Good Friday) Agreement 1998: </w:t>
      </w:r>
    </w:p>
    <w:p w14:paraId="65368C86" w14:textId="1D5B833D" w:rsidR="00C1578A" w:rsidRPr="00C1578A" w:rsidRDefault="00C1578A" w:rsidP="00C1578A">
      <w:pPr>
        <w:spacing w:line="257" w:lineRule="auto"/>
        <w:ind w:left="720"/>
        <w:rPr>
          <w:rFonts w:ascii="Arial" w:eastAsia="Arial" w:hAnsi="Arial" w:cs="Arial"/>
          <w:sz w:val="24"/>
          <w:szCs w:val="24"/>
        </w:rPr>
      </w:pPr>
      <w:r w:rsidRPr="00AE3C32">
        <w:rPr>
          <w:rFonts w:ascii="Arial" w:eastAsia="Arial" w:hAnsi="Arial" w:cs="Arial"/>
          <w:sz w:val="24"/>
          <w:szCs w:val="24"/>
        </w:rPr>
        <w:t>“</w:t>
      </w:r>
      <w:r w:rsidR="00765ACF" w:rsidRPr="00AE3C32">
        <w:rPr>
          <w:rFonts w:ascii="Arial" w:eastAsia="Arial" w:hAnsi="Arial" w:cs="Arial"/>
          <w:sz w:val="24"/>
          <w:szCs w:val="24"/>
        </w:rPr>
        <w:t>(t)he British Government will complete incorporation into Northern Ireland law of the European Convention on Human Rights (ECHR), with direct access to the courts, and remedies for breach of the Convention, including power for the courts to overrule Assembly legislation on grounds of inconsistency.</w:t>
      </w:r>
      <w:r w:rsidRPr="00C1578A">
        <w:rPr>
          <w:rFonts w:ascii="Arial" w:eastAsia="Arial" w:hAnsi="Arial" w:cs="Arial"/>
          <w:sz w:val="24"/>
          <w:szCs w:val="24"/>
        </w:rPr>
        <w:t>”</w:t>
      </w:r>
      <w:r w:rsidR="00765ACF" w:rsidRPr="00AE3C32">
        <w:rPr>
          <w:rStyle w:val="FootnoteReference"/>
          <w:rFonts w:ascii="Arial" w:eastAsia="Arial" w:hAnsi="Arial" w:cs="Arial"/>
          <w:sz w:val="24"/>
          <w:szCs w:val="24"/>
        </w:rPr>
        <w:footnoteReference w:id="11"/>
      </w:r>
    </w:p>
    <w:p w14:paraId="6EB78918" w14:textId="5AC681AB" w:rsidR="00765ACF" w:rsidRPr="00765ACF" w:rsidRDefault="00765ACF" w:rsidP="00C1578A">
      <w:pPr>
        <w:spacing w:line="257" w:lineRule="auto"/>
        <w:rPr>
          <w:rFonts w:ascii="Arial" w:hAnsi="Arial" w:cs="Arial"/>
          <w:sz w:val="24"/>
          <w:szCs w:val="24"/>
        </w:rPr>
      </w:pPr>
      <w:r w:rsidRPr="00AE3C32">
        <w:rPr>
          <w:rFonts w:ascii="Arial" w:eastAsia="Arial" w:hAnsi="Arial" w:cs="Arial"/>
          <w:sz w:val="24"/>
          <w:szCs w:val="24"/>
        </w:rPr>
        <w:t>Paragraph 9 of this section of the Agreement outlined the steps the Irish Government committed to take to ensure an equivalency of rights across the island.</w:t>
      </w:r>
    </w:p>
    <w:p w14:paraId="12135BE7" w14:textId="77777777" w:rsidR="00765ACF" w:rsidRPr="00AE3C32" w:rsidRDefault="00765ACF" w:rsidP="00765ACF">
      <w:pPr>
        <w:spacing w:line="257" w:lineRule="auto"/>
        <w:rPr>
          <w:rFonts w:ascii="Arial" w:hAnsi="Arial" w:cs="Arial"/>
          <w:sz w:val="24"/>
          <w:szCs w:val="24"/>
        </w:rPr>
      </w:pPr>
      <w:r w:rsidRPr="00AE3C32">
        <w:rPr>
          <w:rFonts w:ascii="Arial" w:eastAsia="Arial" w:hAnsi="Arial" w:cs="Arial"/>
          <w:sz w:val="24"/>
          <w:szCs w:val="24"/>
        </w:rPr>
        <w:t>Over recent years, following the referendum on the UK withdrawal from the EU, the potential impact on rights protections in Northern Ireland, and the ramifications for the peace process, have become a matter of great concern. Article 2 of the Northern Ireland protocol of the Withdrawal Agreement states that:</w:t>
      </w:r>
    </w:p>
    <w:p w14:paraId="0BB95BE7" w14:textId="3FC9D215" w:rsidR="00765ACF" w:rsidRPr="00AE3C32" w:rsidRDefault="00D3219A" w:rsidP="00AE3C32">
      <w:pPr>
        <w:spacing w:line="257" w:lineRule="auto"/>
        <w:ind w:left="720"/>
        <w:rPr>
          <w:rFonts w:ascii="Arial" w:hAnsi="Arial" w:cs="Arial"/>
          <w:sz w:val="24"/>
          <w:szCs w:val="24"/>
        </w:rPr>
      </w:pPr>
      <w:r>
        <w:rPr>
          <w:rFonts w:ascii="Arial" w:eastAsia="Arial" w:hAnsi="Arial" w:cs="Arial"/>
          <w:sz w:val="24"/>
          <w:szCs w:val="24"/>
        </w:rPr>
        <w:t>“</w:t>
      </w:r>
      <w:r w:rsidR="00765ACF" w:rsidRPr="00AE3C32">
        <w:rPr>
          <w:rFonts w:ascii="Arial" w:eastAsia="Arial" w:hAnsi="Arial" w:cs="Arial"/>
          <w:sz w:val="24"/>
          <w:szCs w:val="24"/>
        </w:rPr>
        <w:t xml:space="preserve">The United Kingdom shall ensure that no diminution of rights, safeguards or equality of opportunity, as set out in that part of the 1998 Agreement entitled Rights, Safeguards and Equality of Opportunity results from its withdrawal from the Union, including in the area of protection against discrimination, as </w:t>
      </w:r>
      <w:r w:rsidR="00765ACF" w:rsidRPr="00AE3C32">
        <w:rPr>
          <w:rFonts w:ascii="Arial" w:eastAsia="Arial" w:hAnsi="Arial" w:cs="Arial"/>
          <w:sz w:val="24"/>
          <w:szCs w:val="24"/>
        </w:rPr>
        <w:lastRenderedPageBreak/>
        <w:t>enshrined in the provisions of Union law listed in Annex 1 to this Protocol, and shall implement this paragraph through dedicated mechanisms.</w:t>
      </w:r>
      <w:r>
        <w:rPr>
          <w:rFonts w:ascii="Arial" w:eastAsia="Arial" w:hAnsi="Arial" w:cs="Arial"/>
          <w:sz w:val="24"/>
          <w:szCs w:val="24"/>
        </w:rPr>
        <w:t>”</w:t>
      </w:r>
    </w:p>
    <w:p w14:paraId="61075C1F" w14:textId="405DED65" w:rsidR="00765ACF" w:rsidRPr="00AE3C32" w:rsidRDefault="00765ACF" w:rsidP="00765ACF">
      <w:pPr>
        <w:spacing w:line="257" w:lineRule="auto"/>
        <w:rPr>
          <w:rFonts w:ascii="Arial" w:hAnsi="Arial" w:cs="Arial"/>
          <w:sz w:val="24"/>
          <w:szCs w:val="24"/>
        </w:rPr>
      </w:pPr>
      <w:r w:rsidRPr="00AE3C32">
        <w:rPr>
          <w:rFonts w:ascii="Arial" w:eastAsia="Arial" w:hAnsi="Arial" w:cs="Arial"/>
          <w:sz w:val="24"/>
          <w:szCs w:val="24"/>
        </w:rPr>
        <w:t>We are pleased that the government declares its full commitment to the Belfast (Good Friday) Agreement in the consultation document.</w:t>
      </w:r>
      <w:r w:rsidRPr="00AE3C32">
        <w:rPr>
          <w:rStyle w:val="FootnoteReference"/>
          <w:rFonts w:ascii="Arial" w:eastAsia="Arial" w:hAnsi="Arial" w:cs="Arial"/>
          <w:sz w:val="24"/>
          <w:szCs w:val="24"/>
        </w:rPr>
        <w:footnoteReference w:id="12"/>
      </w:r>
      <w:r w:rsidRPr="00AE3C32">
        <w:rPr>
          <w:rFonts w:ascii="Arial" w:eastAsia="Arial" w:hAnsi="Arial" w:cs="Arial"/>
          <w:sz w:val="24"/>
          <w:szCs w:val="24"/>
        </w:rPr>
        <w:t xml:space="preserve"> However, there is no detail as to how the government plans to continue to meet these obligations, but rather a  vague reassurance is provided: </w:t>
      </w:r>
      <w:r w:rsidR="00D3219A" w:rsidRPr="00D3219A">
        <w:rPr>
          <w:rFonts w:ascii="Arial" w:eastAsia="Arial" w:hAnsi="Arial" w:cs="Arial"/>
          <w:sz w:val="24"/>
          <w:szCs w:val="24"/>
        </w:rPr>
        <w:t>“</w:t>
      </w:r>
      <w:r w:rsidRPr="00AE3C32">
        <w:rPr>
          <w:rFonts w:ascii="Arial" w:eastAsia="Arial" w:hAnsi="Arial" w:cs="Arial"/>
          <w:sz w:val="24"/>
          <w:szCs w:val="24"/>
        </w:rPr>
        <w:t>our proposed reforms will not undermine that Agreement.</w:t>
      </w:r>
      <w:r w:rsidR="00D3219A" w:rsidRPr="00AE3C32">
        <w:rPr>
          <w:rFonts w:ascii="Arial" w:eastAsia="Arial" w:hAnsi="Arial" w:cs="Arial"/>
          <w:sz w:val="24"/>
          <w:szCs w:val="24"/>
        </w:rPr>
        <w:t>”</w:t>
      </w:r>
    </w:p>
    <w:p w14:paraId="7265FBBB" w14:textId="6D090318" w:rsidR="00765ACF" w:rsidRPr="00AE3C32" w:rsidRDefault="00765ACF" w:rsidP="00765ACF">
      <w:pPr>
        <w:spacing w:line="257" w:lineRule="auto"/>
        <w:rPr>
          <w:rFonts w:ascii="Arial" w:hAnsi="Arial" w:cs="Arial"/>
          <w:sz w:val="24"/>
          <w:szCs w:val="24"/>
        </w:rPr>
      </w:pPr>
      <w:r w:rsidRPr="00AE3C32">
        <w:rPr>
          <w:rFonts w:ascii="Arial" w:eastAsia="Arial" w:hAnsi="Arial" w:cs="Arial"/>
          <w:sz w:val="24"/>
          <w:szCs w:val="24"/>
        </w:rPr>
        <w:t xml:space="preserve">While it is correct that the Agreement </w:t>
      </w:r>
      <w:r w:rsidR="00735DBD">
        <w:rPr>
          <w:rFonts w:ascii="Arial" w:eastAsia="Arial" w:hAnsi="Arial" w:cs="Arial"/>
          <w:sz w:val="24"/>
          <w:szCs w:val="24"/>
        </w:rPr>
        <w:t>does not</w:t>
      </w:r>
      <w:r w:rsidRPr="00AE3C32">
        <w:rPr>
          <w:rFonts w:ascii="Arial" w:eastAsia="Arial" w:hAnsi="Arial" w:cs="Arial"/>
          <w:sz w:val="24"/>
          <w:szCs w:val="24"/>
        </w:rPr>
        <w:t xml:space="preserve"> specify how the ECHR would be incorporated into the law of Northern Ireland, the statement that </w:t>
      </w:r>
      <w:r w:rsidR="00D3219A" w:rsidRPr="00AE3C32">
        <w:rPr>
          <w:rFonts w:ascii="Arial" w:eastAsia="Arial" w:hAnsi="Arial" w:cs="Arial"/>
          <w:sz w:val="24"/>
          <w:szCs w:val="24"/>
        </w:rPr>
        <w:t>“</w:t>
      </w:r>
      <w:r w:rsidRPr="00AE3C32">
        <w:rPr>
          <w:rFonts w:ascii="Arial" w:eastAsia="Arial" w:hAnsi="Arial" w:cs="Arial"/>
          <w:sz w:val="24"/>
          <w:szCs w:val="24"/>
        </w:rPr>
        <w:t>any reform will keep the Convention rights incorporated into the Northern Ireland law and indeed UK law</w:t>
      </w:r>
      <w:r w:rsidR="00D3219A" w:rsidRPr="00AE3C32">
        <w:rPr>
          <w:rFonts w:ascii="Arial" w:eastAsia="Arial" w:hAnsi="Arial" w:cs="Arial"/>
          <w:sz w:val="24"/>
          <w:szCs w:val="24"/>
        </w:rPr>
        <w:t>”</w:t>
      </w:r>
      <w:r w:rsidRPr="00AE3C32">
        <w:rPr>
          <w:rFonts w:ascii="Arial" w:eastAsia="Arial" w:hAnsi="Arial" w:cs="Arial"/>
          <w:sz w:val="24"/>
          <w:szCs w:val="24"/>
        </w:rPr>
        <w:t xml:space="preserve"> appears to be out of step with the rest of the consultation document which outlines how the government proposes to replace the </w:t>
      </w:r>
      <w:r w:rsidR="00D75260">
        <w:rPr>
          <w:rFonts w:ascii="Arial" w:eastAsia="Arial" w:hAnsi="Arial" w:cs="Arial"/>
          <w:sz w:val="24"/>
          <w:szCs w:val="24"/>
        </w:rPr>
        <w:t>Human Rights Act</w:t>
      </w:r>
      <w:r w:rsidRPr="00AE3C32">
        <w:rPr>
          <w:rFonts w:ascii="Arial" w:eastAsia="Arial" w:hAnsi="Arial" w:cs="Arial"/>
          <w:sz w:val="24"/>
          <w:szCs w:val="24"/>
        </w:rPr>
        <w:t xml:space="preserve"> with a Bill of Rights with more limited provisions and applications. Any reduction in the ECHR rights, or in the remedies open to individuals for breaches of these rights will be a direct breach the Belfast (Good Friday) Agreement and the Northern Ireland Protocol. </w:t>
      </w:r>
    </w:p>
    <w:p w14:paraId="4FDBE8B7" w14:textId="57B2E10E" w:rsidR="00406131" w:rsidRPr="00AE3C32" w:rsidRDefault="00765ACF" w:rsidP="00765ACF">
      <w:pPr>
        <w:spacing w:line="257" w:lineRule="auto"/>
        <w:rPr>
          <w:rFonts w:ascii="Arial" w:hAnsi="Arial" w:cs="Arial"/>
          <w:sz w:val="24"/>
          <w:szCs w:val="24"/>
        </w:rPr>
      </w:pPr>
      <w:r w:rsidRPr="00AE3C32">
        <w:rPr>
          <w:rFonts w:ascii="Arial" w:eastAsia="Arial" w:hAnsi="Arial" w:cs="Arial"/>
          <w:sz w:val="24"/>
          <w:szCs w:val="24"/>
        </w:rPr>
        <w:t xml:space="preserve">The consultation document also recognises the commitment in the Agreement to a Bill of Rights for Northern Ireland but suggests that Bill of Rights processes for the UK and for NI could run in parallel and be mutually reinforcing. However, the Bill of Rights for Northern Ireland is explicitly to contain rights </w:t>
      </w:r>
      <w:r w:rsidRPr="00AE3C32">
        <w:rPr>
          <w:rFonts w:ascii="Arial" w:eastAsia="Arial" w:hAnsi="Arial" w:cs="Arial"/>
          <w:sz w:val="24"/>
          <w:szCs w:val="24"/>
          <w:u w:val="single"/>
        </w:rPr>
        <w:t>in addition</w:t>
      </w:r>
      <w:r w:rsidRPr="00AE3C32">
        <w:rPr>
          <w:rFonts w:ascii="Arial" w:eastAsia="Arial" w:hAnsi="Arial" w:cs="Arial"/>
          <w:sz w:val="24"/>
          <w:szCs w:val="24"/>
        </w:rPr>
        <w:t xml:space="preserve"> to the ECHR, as opposed to the British Bill of Rights which is proposed to replace the ECHR. It would appear that to date little thought has been given in these proposals on the impact of the repeal of the </w:t>
      </w:r>
      <w:r w:rsidR="008029EF">
        <w:rPr>
          <w:rFonts w:ascii="Arial" w:eastAsia="Arial" w:hAnsi="Arial" w:cs="Arial"/>
          <w:sz w:val="24"/>
          <w:szCs w:val="24"/>
        </w:rPr>
        <w:t>Human Rights Act</w:t>
      </w:r>
      <w:r w:rsidRPr="00AE3C32">
        <w:rPr>
          <w:rFonts w:ascii="Arial" w:eastAsia="Arial" w:hAnsi="Arial" w:cs="Arial"/>
          <w:sz w:val="24"/>
          <w:szCs w:val="24"/>
        </w:rPr>
        <w:t xml:space="preserve"> on the peace settlement in Northern Ireland. We advise that moving ahead with these proposals to repeal the Human Rights Act without clearer, specific proposals for actions to honour the commitments in the Belfast (Good Friday) Agreement and Northern Ireland Protocol to the Withdrawal Agreement would potentially have major repercussions for the stability of the political institutions, and the fragile peace in Northern Ireland.</w:t>
      </w:r>
    </w:p>
    <w:p w14:paraId="17278C69" w14:textId="131DEACA" w:rsidR="00F10E48" w:rsidRPr="00BD0CDC" w:rsidRDefault="00F10E48" w:rsidP="00EF5E55">
      <w:pPr>
        <w:rPr>
          <w:rFonts w:ascii="Arial" w:hAnsi="Arial" w:cs="Arial"/>
          <w:sz w:val="24"/>
          <w:szCs w:val="24"/>
          <w:u w:val="single"/>
        </w:rPr>
      </w:pPr>
      <w:r w:rsidRPr="00BD0CDC">
        <w:rPr>
          <w:rFonts w:ascii="Arial" w:hAnsi="Arial" w:cs="Arial"/>
          <w:sz w:val="24"/>
          <w:szCs w:val="24"/>
          <w:u w:val="single"/>
        </w:rPr>
        <w:t>Scotland</w:t>
      </w:r>
    </w:p>
    <w:p w14:paraId="6D33180C" w14:textId="34757254" w:rsidR="00D407E5" w:rsidRPr="000702C6" w:rsidRDefault="00767FBC" w:rsidP="00EF5E55">
      <w:pPr>
        <w:rPr>
          <w:rFonts w:ascii="Arial" w:hAnsi="Arial" w:cs="Arial"/>
          <w:sz w:val="24"/>
          <w:szCs w:val="24"/>
        </w:rPr>
      </w:pPr>
      <w:r>
        <w:rPr>
          <w:rFonts w:ascii="Arial" w:hAnsi="Arial" w:cs="Arial"/>
          <w:sz w:val="24"/>
          <w:szCs w:val="24"/>
        </w:rPr>
        <w:t xml:space="preserve">The Scotland Act 1998 puts the ECHR at the heart of </w:t>
      </w:r>
      <w:r w:rsidR="00234250">
        <w:rPr>
          <w:rFonts w:ascii="Arial" w:hAnsi="Arial" w:cs="Arial"/>
          <w:sz w:val="24"/>
          <w:szCs w:val="24"/>
        </w:rPr>
        <w:t xml:space="preserve">devolution. </w:t>
      </w:r>
      <w:r w:rsidR="00234250" w:rsidRPr="00BD0CDC">
        <w:rPr>
          <w:rFonts w:ascii="Arial" w:hAnsi="Arial" w:cs="Arial"/>
          <w:sz w:val="24"/>
          <w:szCs w:val="24"/>
        </w:rPr>
        <w:t>The</w:t>
      </w:r>
      <w:r w:rsidRPr="00BD0CDC">
        <w:rPr>
          <w:rFonts w:ascii="Arial" w:hAnsi="Arial" w:cs="Arial"/>
          <w:sz w:val="24"/>
          <w:szCs w:val="24"/>
        </w:rPr>
        <w:t xml:space="preserve"> powers of the Scottish Parliament and the Scottish Government are limited by the requirement to act compatibly with </w:t>
      </w:r>
      <w:r>
        <w:rPr>
          <w:rFonts w:ascii="Arial" w:hAnsi="Arial" w:cs="Arial"/>
          <w:sz w:val="24"/>
          <w:szCs w:val="24"/>
        </w:rPr>
        <w:t>ECHR</w:t>
      </w:r>
      <w:r w:rsidRPr="00BD0CDC">
        <w:rPr>
          <w:rFonts w:ascii="Arial" w:hAnsi="Arial" w:cs="Arial"/>
          <w:sz w:val="24"/>
          <w:szCs w:val="24"/>
        </w:rPr>
        <w:t xml:space="preserve"> obligations</w:t>
      </w:r>
      <w:r w:rsidR="006876F2" w:rsidRPr="00BD0CDC">
        <w:rPr>
          <w:rFonts w:ascii="Arial" w:hAnsi="Arial" w:cs="Arial"/>
          <w:sz w:val="24"/>
          <w:szCs w:val="24"/>
        </w:rPr>
        <w:t xml:space="preserve">. Under </w:t>
      </w:r>
      <w:r w:rsidR="00C1578A">
        <w:rPr>
          <w:rFonts w:ascii="Arial" w:hAnsi="Arial" w:cs="Arial"/>
          <w:sz w:val="24"/>
          <w:szCs w:val="24"/>
        </w:rPr>
        <w:t>S</w:t>
      </w:r>
      <w:r w:rsidR="006876F2" w:rsidRPr="00BD0CDC">
        <w:rPr>
          <w:rFonts w:ascii="Arial" w:hAnsi="Arial" w:cs="Arial"/>
          <w:sz w:val="24"/>
          <w:szCs w:val="24"/>
        </w:rPr>
        <w:t xml:space="preserve">ection 29, legislation that is incompatible with </w:t>
      </w:r>
      <w:r w:rsidR="00D3501D" w:rsidRPr="00BD0CDC">
        <w:rPr>
          <w:rFonts w:ascii="Arial" w:hAnsi="Arial" w:cs="Arial"/>
          <w:sz w:val="24"/>
          <w:szCs w:val="24"/>
        </w:rPr>
        <w:t>ECHR</w:t>
      </w:r>
      <w:r w:rsidR="006876F2" w:rsidRPr="00BD0CDC">
        <w:rPr>
          <w:rFonts w:ascii="Arial" w:hAnsi="Arial" w:cs="Arial"/>
          <w:sz w:val="24"/>
          <w:szCs w:val="24"/>
        </w:rPr>
        <w:t xml:space="preserve"> rights, defined by reference to the </w:t>
      </w:r>
      <w:r w:rsidR="00D8695F" w:rsidRPr="00BD0CDC">
        <w:rPr>
          <w:rFonts w:ascii="Arial" w:hAnsi="Arial" w:cs="Arial"/>
          <w:sz w:val="24"/>
          <w:szCs w:val="24"/>
        </w:rPr>
        <w:t>Human Rights Act</w:t>
      </w:r>
      <w:r w:rsidR="006876F2" w:rsidRPr="00BD0CDC">
        <w:rPr>
          <w:rFonts w:ascii="Arial" w:hAnsi="Arial" w:cs="Arial"/>
          <w:sz w:val="24"/>
          <w:szCs w:val="24"/>
        </w:rPr>
        <w:t xml:space="preserve">, is outside the competence of the Scottish Parliament. Section 57 provides that Scottish Ministers have no power to act incompatibly with </w:t>
      </w:r>
      <w:r w:rsidR="00D8695F" w:rsidRPr="00BD0CDC">
        <w:rPr>
          <w:rFonts w:ascii="Arial" w:hAnsi="Arial" w:cs="Arial"/>
          <w:sz w:val="24"/>
          <w:szCs w:val="24"/>
        </w:rPr>
        <w:t>ECHR</w:t>
      </w:r>
      <w:r w:rsidR="006876F2" w:rsidRPr="00BD0CDC">
        <w:rPr>
          <w:rFonts w:ascii="Arial" w:hAnsi="Arial" w:cs="Arial"/>
          <w:sz w:val="24"/>
          <w:szCs w:val="24"/>
        </w:rPr>
        <w:t xml:space="preserve"> rights.</w:t>
      </w:r>
      <w:r w:rsidR="00601967" w:rsidRPr="00BD0CDC">
        <w:rPr>
          <w:rFonts w:ascii="Arial" w:hAnsi="Arial" w:cs="Arial"/>
          <w:sz w:val="24"/>
          <w:szCs w:val="24"/>
        </w:rPr>
        <w:t xml:space="preserve"> </w:t>
      </w:r>
      <w:r w:rsidR="004031D9" w:rsidRPr="00BD0CDC">
        <w:rPr>
          <w:rFonts w:ascii="Arial" w:hAnsi="Arial" w:cs="Arial"/>
          <w:sz w:val="24"/>
          <w:szCs w:val="24"/>
        </w:rPr>
        <w:t xml:space="preserve">According to the </w:t>
      </w:r>
      <w:r w:rsidR="00D407E5" w:rsidRPr="000702C6">
        <w:rPr>
          <w:rFonts w:ascii="Arial" w:hAnsi="Arial" w:cs="Arial"/>
          <w:sz w:val="24"/>
          <w:szCs w:val="24"/>
        </w:rPr>
        <w:t xml:space="preserve">Scottish Human Rights </w:t>
      </w:r>
      <w:r w:rsidR="004A29A0" w:rsidRPr="000702C6">
        <w:rPr>
          <w:rFonts w:ascii="Arial" w:hAnsi="Arial" w:cs="Arial"/>
          <w:sz w:val="24"/>
          <w:szCs w:val="24"/>
        </w:rPr>
        <w:t>Commission, “Convention</w:t>
      </w:r>
      <w:r w:rsidR="00601967" w:rsidRPr="000702C6">
        <w:rPr>
          <w:rFonts w:ascii="Arial" w:hAnsi="Arial" w:cs="Arial"/>
          <w:sz w:val="24"/>
          <w:szCs w:val="24"/>
        </w:rPr>
        <w:t xml:space="preserve"> rights have become a very strong part of the fabric of Scotland’s laws or judicial analysis and, crucially, the legislative competence of the Scottish Parliament</w:t>
      </w:r>
      <w:r w:rsidR="004A29A0" w:rsidRPr="000702C6">
        <w:rPr>
          <w:rFonts w:ascii="Arial" w:hAnsi="Arial" w:cs="Arial"/>
          <w:sz w:val="24"/>
          <w:szCs w:val="24"/>
        </w:rPr>
        <w:t xml:space="preserve">” </w:t>
      </w:r>
      <w:r w:rsidR="002C6BE1" w:rsidRPr="000702C6">
        <w:rPr>
          <w:rFonts w:ascii="Arial" w:hAnsi="Arial" w:cs="Arial"/>
          <w:sz w:val="24"/>
          <w:szCs w:val="24"/>
        </w:rPr>
        <w:t>because of</w:t>
      </w:r>
      <w:r w:rsidR="004A29A0" w:rsidRPr="000702C6">
        <w:rPr>
          <w:rFonts w:ascii="Arial" w:hAnsi="Arial" w:cs="Arial"/>
          <w:sz w:val="24"/>
          <w:szCs w:val="24"/>
        </w:rPr>
        <w:t xml:space="preserve"> the embedding of the </w:t>
      </w:r>
      <w:r w:rsidR="002C6BE1" w:rsidRPr="000702C6">
        <w:rPr>
          <w:rFonts w:ascii="Arial" w:hAnsi="Arial" w:cs="Arial"/>
          <w:sz w:val="24"/>
          <w:szCs w:val="24"/>
        </w:rPr>
        <w:t>Human Rights Act</w:t>
      </w:r>
      <w:r w:rsidR="004A29A0" w:rsidRPr="000702C6">
        <w:rPr>
          <w:rFonts w:ascii="Arial" w:hAnsi="Arial" w:cs="Arial"/>
          <w:sz w:val="24"/>
          <w:szCs w:val="24"/>
        </w:rPr>
        <w:t xml:space="preserve"> within the S</w:t>
      </w:r>
      <w:r w:rsidR="002C6BE1" w:rsidRPr="000702C6">
        <w:rPr>
          <w:rFonts w:ascii="Arial" w:hAnsi="Arial" w:cs="Arial"/>
          <w:sz w:val="24"/>
          <w:szCs w:val="24"/>
        </w:rPr>
        <w:t>cotland Act</w:t>
      </w:r>
      <w:r w:rsidR="00601967" w:rsidRPr="000702C6">
        <w:rPr>
          <w:rFonts w:ascii="Arial" w:hAnsi="Arial" w:cs="Arial"/>
          <w:sz w:val="24"/>
          <w:szCs w:val="24"/>
        </w:rPr>
        <w:t>.</w:t>
      </w:r>
      <w:r w:rsidR="004031D9" w:rsidRPr="000702C6">
        <w:rPr>
          <w:rStyle w:val="FootnoteReference"/>
          <w:rFonts w:ascii="Arial" w:hAnsi="Arial" w:cs="Arial"/>
          <w:sz w:val="24"/>
          <w:szCs w:val="24"/>
        </w:rPr>
        <w:footnoteReference w:id="13"/>
      </w:r>
    </w:p>
    <w:p w14:paraId="35944709" w14:textId="2E725A0F" w:rsidR="004A29A0" w:rsidRPr="000702C6" w:rsidRDefault="00E35049" w:rsidP="02E0A85B">
      <w:pPr>
        <w:rPr>
          <w:rFonts w:ascii="Arial" w:hAnsi="Arial" w:cs="Arial"/>
          <w:sz w:val="24"/>
          <w:szCs w:val="24"/>
        </w:rPr>
      </w:pPr>
      <w:r w:rsidRPr="000702C6">
        <w:rPr>
          <w:rFonts w:ascii="Arial" w:hAnsi="Arial" w:cs="Arial"/>
          <w:sz w:val="24"/>
          <w:szCs w:val="24"/>
        </w:rPr>
        <w:lastRenderedPageBreak/>
        <w:t xml:space="preserve">Important aspects of Scots law have been led and influenced by </w:t>
      </w:r>
      <w:r w:rsidR="003E65C9" w:rsidRPr="000702C6">
        <w:rPr>
          <w:rFonts w:ascii="Arial" w:hAnsi="Arial" w:cs="Arial"/>
          <w:sz w:val="24"/>
          <w:szCs w:val="24"/>
        </w:rPr>
        <w:t>ECHR</w:t>
      </w:r>
      <w:r w:rsidRPr="000702C6">
        <w:rPr>
          <w:rFonts w:ascii="Arial" w:hAnsi="Arial" w:cs="Arial"/>
          <w:sz w:val="24"/>
          <w:szCs w:val="24"/>
        </w:rPr>
        <w:t xml:space="preserve"> </w:t>
      </w:r>
      <w:r w:rsidR="003E65C9" w:rsidRPr="000702C6">
        <w:rPr>
          <w:rFonts w:ascii="Arial" w:hAnsi="Arial" w:cs="Arial"/>
          <w:sz w:val="24"/>
          <w:szCs w:val="24"/>
        </w:rPr>
        <w:t>rights</w:t>
      </w:r>
      <w:r w:rsidRPr="000702C6">
        <w:rPr>
          <w:rFonts w:ascii="Arial" w:hAnsi="Arial" w:cs="Arial"/>
          <w:sz w:val="24"/>
          <w:szCs w:val="24"/>
        </w:rPr>
        <w:t xml:space="preserve">. For example, </w:t>
      </w:r>
      <w:r w:rsidR="00207123" w:rsidRPr="000702C6">
        <w:rPr>
          <w:rFonts w:ascii="Arial" w:hAnsi="Arial" w:cs="Arial"/>
          <w:sz w:val="24"/>
          <w:szCs w:val="24"/>
        </w:rPr>
        <w:t>parental involvement in the relevant processes of the Children (Scotland) Act 1995 have been given greater emphasis through the courts’ considerations of Article 8 ECHR</w:t>
      </w:r>
      <w:r w:rsidR="006501FE" w:rsidRPr="000702C6">
        <w:rPr>
          <w:rFonts w:ascii="Arial" w:hAnsi="Arial" w:cs="Arial"/>
          <w:sz w:val="24"/>
          <w:szCs w:val="24"/>
        </w:rPr>
        <w:t>.</w:t>
      </w:r>
      <w:r w:rsidR="004F2ADB" w:rsidRPr="000702C6">
        <w:rPr>
          <w:rStyle w:val="FootnoteReference"/>
          <w:rFonts w:ascii="Arial" w:hAnsi="Arial" w:cs="Arial"/>
          <w:sz w:val="24"/>
          <w:szCs w:val="24"/>
        </w:rPr>
        <w:footnoteReference w:id="14"/>
      </w:r>
      <w:r w:rsidR="006501FE" w:rsidRPr="000702C6">
        <w:rPr>
          <w:rFonts w:ascii="Arial" w:hAnsi="Arial" w:cs="Arial"/>
          <w:sz w:val="24"/>
          <w:szCs w:val="24"/>
        </w:rPr>
        <w:t xml:space="preserve"> </w:t>
      </w:r>
      <w:r w:rsidR="00BA4E19" w:rsidRPr="000702C6">
        <w:rPr>
          <w:rFonts w:ascii="Arial" w:hAnsi="Arial" w:cs="Arial"/>
          <w:sz w:val="24"/>
          <w:szCs w:val="24"/>
        </w:rPr>
        <w:t xml:space="preserve">In addition, a consequence of the legal duty on public authorities </w:t>
      </w:r>
      <w:r w:rsidR="0067582C" w:rsidRPr="000702C6">
        <w:rPr>
          <w:rFonts w:ascii="Arial" w:hAnsi="Arial" w:cs="Arial"/>
          <w:sz w:val="24"/>
          <w:szCs w:val="24"/>
        </w:rPr>
        <w:t xml:space="preserve">under Section 6 </w:t>
      </w:r>
      <w:r w:rsidR="00BA4E19" w:rsidRPr="000702C6">
        <w:rPr>
          <w:rFonts w:ascii="Arial" w:hAnsi="Arial" w:cs="Arial"/>
          <w:sz w:val="24"/>
          <w:szCs w:val="24"/>
        </w:rPr>
        <w:t xml:space="preserve">has been the incremental development of a human </w:t>
      </w:r>
      <w:r w:rsidR="00D942E8" w:rsidRPr="000702C6">
        <w:rPr>
          <w:rFonts w:ascii="Arial" w:hAnsi="Arial" w:cs="Arial"/>
          <w:sz w:val="24"/>
          <w:szCs w:val="24"/>
        </w:rPr>
        <w:t>rights-based</w:t>
      </w:r>
      <w:r w:rsidR="00BA4E19" w:rsidRPr="000702C6">
        <w:rPr>
          <w:rFonts w:ascii="Arial" w:hAnsi="Arial" w:cs="Arial"/>
          <w:sz w:val="24"/>
          <w:szCs w:val="24"/>
        </w:rPr>
        <w:t xml:space="preserve"> approach </w:t>
      </w:r>
      <w:r w:rsidR="0067582C" w:rsidRPr="000702C6">
        <w:rPr>
          <w:rFonts w:ascii="Arial" w:hAnsi="Arial" w:cs="Arial"/>
          <w:sz w:val="24"/>
          <w:szCs w:val="24"/>
        </w:rPr>
        <w:t>across Scotland.</w:t>
      </w:r>
      <w:r w:rsidR="0067582C" w:rsidRPr="000702C6">
        <w:rPr>
          <w:rStyle w:val="FootnoteReference"/>
          <w:rFonts w:ascii="Arial" w:hAnsi="Arial" w:cs="Arial"/>
          <w:sz w:val="24"/>
          <w:szCs w:val="24"/>
        </w:rPr>
        <w:footnoteReference w:id="15"/>
      </w:r>
      <w:r w:rsidR="000F4CE6" w:rsidRPr="000702C6">
        <w:rPr>
          <w:rFonts w:ascii="Arial" w:hAnsi="Arial" w:cs="Arial"/>
          <w:sz w:val="24"/>
          <w:szCs w:val="24"/>
        </w:rPr>
        <w:t xml:space="preserve"> </w:t>
      </w:r>
      <w:r w:rsidR="00F11B40" w:rsidRPr="000702C6">
        <w:rPr>
          <w:rFonts w:ascii="Arial" w:hAnsi="Arial" w:cs="Arial"/>
          <w:sz w:val="24"/>
          <w:szCs w:val="24"/>
        </w:rPr>
        <w:t>T</w:t>
      </w:r>
      <w:r w:rsidR="000F4CE6" w:rsidRPr="000702C6">
        <w:rPr>
          <w:rFonts w:ascii="Arial" w:hAnsi="Arial" w:cs="Arial"/>
          <w:sz w:val="24"/>
          <w:szCs w:val="24"/>
        </w:rPr>
        <w:t xml:space="preserve">he </w:t>
      </w:r>
      <w:r w:rsidR="00634BBA" w:rsidRPr="000702C6">
        <w:rPr>
          <w:rFonts w:ascii="Arial" w:hAnsi="Arial" w:cs="Arial"/>
          <w:sz w:val="24"/>
          <w:szCs w:val="24"/>
        </w:rPr>
        <w:t>Human Rights Act</w:t>
      </w:r>
      <w:r w:rsidR="000F4CE6" w:rsidRPr="000702C6">
        <w:rPr>
          <w:rFonts w:ascii="Arial" w:hAnsi="Arial" w:cs="Arial"/>
          <w:sz w:val="24"/>
          <w:szCs w:val="24"/>
        </w:rPr>
        <w:t xml:space="preserve"> has </w:t>
      </w:r>
      <w:r w:rsidR="00D07D6F" w:rsidRPr="000702C6">
        <w:rPr>
          <w:rFonts w:ascii="Arial" w:hAnsi="Arial" w:cs="Arial"/>
          <w:sz w:val="24"/>
          <w:szCs w:val="24"/>
        </w:rPr>
        <w:t xml:space="preserve">also </w:t>
      </w:r>
      <w:r w:rsidR="000F4CE6" w:rsidRPr="000702C6">
        <w:rPr>
          <w:rFonts w:ascii="Arial" w:hAnsi="Arial" w:cs="Arial"/>
          <w:sz w:val="24"/>
          <w:szCs w:val="24"/>
        </w:rPr>
        <w:t>had a significant</w:t>
      </w:r>
      <w:r w:rsidR="00D07D6F" w:rsidRPr="000702C6">
        <w:rPr>
          <w:rFonts w:ascii="Arial" w:hAnsi="Arial" w:cs="Arial"/>
          <w:sz w:val="24"/>
          <w:szCs w:val="24"/>
        </w:rPr>
        <w:t xml:space="preserve"> </w:t>
      </w:r>
      <w:r w:rsidR="000F4CE6" w:rsidRPr="000702C6">
        <w:rPr>
          <w:rFonts w:ascii="Arial" w:hAnsi="Arial" w:cs="Arial"/>
          <w:sz w:val="24"/>
          <w:szCs w:val="24"/>
        </w:rPr>
        <w:t xml:space="preserve">impact </w:t>
      </w:r>
      <w:r w:rsidR="00D942E8" w:rsidRPr="000702C6">
        <w:rPr>
          <w:rFonts w:ascii="Arial" w:hAnsi="Arial" w:cs="Arial"/>
          <w:sz w:val="24"/>
          <w:szCs w:val="24"/>
        </w:rPr>
        <w:t>on</w:t>
      </w:r>
      <w:r w:rsidR="000F4CE6" w:rsidRPr="000702C6">
        <w:rPr>
          <w:rFonts w:ascii="Arial" w:hAnsi="Arial" w:cs="Arial"/>
          <w:sz w:val="24"/>
          <w:szCs w:val="24"/>
        </w:rPr>
        <w:t xml:space="preserve"> the use of Strasbourg-style language and jurisprudence in Scots</w:t>
      </w:r>
      <w:r w:rsidR="00D07D6F" w:rsidRPr="000702C6">
        <w:rPr>
          <w:rFonts w:ascii="Arial" w:hAnsi="Arial" w:cs="Arial"/>
          <w:sz w:val="24"/>
          <w:szCs w:val="24"/>
        </w:rPr>
        <w:t xml:space="preserve"> </w:t>
      </w:r>
      <w:r w:rsidR="000F4CE6" w:rsidRPr="000702C6">
        <w:rPr>
          <w:rFonts w:ascii="Arial" w:hAnsi="Arial" w:cs="Arial"/>
          <w:sz w:val="24"/>
          <w:szCs w:val="24"/>
        </w:rPr>
        <w:t>law</w:t>
      </w:r>
      <w:r w:rsidR="277BB223" w:rsidRPr="000702C6">
        <w:rPr>
          <w:rFonts w:ascii="Arial" w:hAnsi="Arial" w:cs="Arial"/>
          <w:sz w:val="24"/>
          <w:szCs w:val="24"/>
        </w:rPr>
        <w:t xml:space="preserve">. </w:t>
      </w:r>
    </w:p>
    <w:p w14:paraId="177A13F3" w14:textId="73F5B69B" w:rsidR="004F6305" w:rsidRPr="000702C6" w:rsidRDefault="00016F0A" w:rsidP="000F4CE6">
      <w:pPr>
        <w:rPr>
          <w:rFonts w:ascii="Arial" w:hAnsi="Arial" w:cs="Arial"/>
          <w:sz w:val="24"/>
          <w:szCs w:val="24"/>
        </w:rPr>
      </w:pPr>
      <w:r w:rsidRPr="000702C6">
        <w:rPr>
          <w:rFonts w:ascii="Arial" w:hAnsi="Arial" w:cs="Arial"/>
          <w:sz w:val="24"/>
          <w:szCs w:val="24"/>
        </w:rPr>
        <w:t>Nowhere is this more pronounced</w:t>
      </w:r>
      <w:r w:rsidR="005A40C7" w:rsidRPr="000702C6">
        <w:rPr>
          <w:rFonts w:ascii="Arial" w:hAnsi="Arial" w:cs="Arial"/>
          <w:sz w:val="24"/>
          <w:szCs w:val="24"/>
        </w:rPr>
        <w:t xml:space="preserve"> than in the Children’s Hearing System, where t</w:t>
      </w:r>
      <w:r w:rsidR="000312AF" w:rsidRPr="000702C6">
        <w:rPr>
          <w:rFonts w:ascii="Arial" w:hAnsi="Arial" w:cs="Arial"/>
          <w:sz w:val="24"/>
          <w:szCs w:val="24"/>
        </w:rPr>
        <w:t xml:space="preserve">he </w:t>
      </w:r>
      <w:r w:rsidR="00AB461E" w:rsidRPr="000702C6">
        <w:rPr>
          <w:rFonts w:ascii="Arial" w:hAnsi="Arial" w:cs="Arial"/>
          <w:sz w:val="24"/>
          <w:szCs w:val="24"/>
        </w:rPr>
        <w:t>Human Rights Act</w:t>
      </w:r>
      <w:r w:rsidR="00ED5055" w:rsidRPr="000702C6">
        <w:rPr>
          <w:rFonts w:ascii="Arial" w:hAnsi="Arial" w:cs="Arial"/>
          <w:sz w:val="24"/>
          <w:szCs w:val="24"/>
        </w:rPr>
        <w:t xml:space="preserve"> has played a critical role in </w:t>
      </w:r>
      <w:r w:rsidR="007C1C46" w:rsidRPr="000702C6">
        <w:rPr>
          <w:rFonts w:ascii="Arial" w:hAnsi="Arial" w:cs="Arial"/>
          <w:sz w:val="24"/>
          <w:szCs w:val="24"/>
        </w:rPr>
        <w:t xml:space="preserve">helping to </w:t>
      </w:r>
      <w:r w:rsidR="004F2B6B" w:rsidRPr="000702C6">
        <w:rPr>
          <w:rFonts w:ascii="Arial" w:hAnsi="Arial" w:cs="Arial"/>
          <w:sz w:val="24"/>
          <w:szCs w:val="24"/>
        </w:rPr>
        <w:t>embed</w:t>
      </w:r>
      <w:r w:rsidR="00AB461E" w:rsidRPr="000702C6">
        <w:rPr>
          <w:rFonts w:ascii="Arial" w:hAnsi="Arial" w:cs="Arial"/>
          <w:sz w:val="24"/>
          <w:szCs w:val="24"/>
        </w:rPr>
        <w:t xml:space="preserve"> ECHR</w:t>
      </w:r>
      <w:r w:rsidR="004F2B6B" w:rsidRPr="000702C6">
        <w:rPr>
          <w:rFonts w:ascii="Arial" w:hAnsi="Arial" w:cs="Arial"/>
          <w:sz w:val="24"/>
          <w:szCs w:val="24"/>
        </w:rPr>
        <w:t xml:space="preserve"> </w:t>
      </w:r>
      <w:r w:rsidR="006D4C9B" w:rsidRPr="000702C6">
        <w:rPr>
          <w:rFonts w:ascii="Arial" w:hAnsi="Arial" w:cs="Arial"/>
          <w:sz w:val="24"/>
          <w:szCs w:val="24"/>
        </w:rPr>
        <w:t>rights protections</w:t>
      </w:r>
      <w:r w:rsidR="00B423C1" w:rsidRPr="000702C6">
        <w:rPr>
          <w:rFonts w:ascii="Arial" w:hAnsi="Arial" w:cs="Arial"/>
          <w:sz w:val="24"/>
          <w:szCs w:val="24"/>
        </w:rPr>
        <w:t>.</w:t>
      </w:r>
      <w:r w:rsidR="003072C0" w:rsidRPr="000702C6">
        <w:rPr>
          <w:rFonts w:ascii="Arial" w:hAnsi="Arial" w:cs="Arial"/>
          <w:sz w:val="24"/>
          <w:szCs w:val="24"/>
        </w:rPr>
        <w:t xml:space="preserve"> It </w:t>
      </w:r>
      <w:r w:rsidR="00585482" w:rsidRPr="000702C6">
        <w:rPr>
          <w:rFonts w:ascii="Arial" w:hAnsi="Arial" w:cs="Arial"/>
          <w:sz w:val="24"/>
          <w:szCs w:val="24"/>
        </w:rPr>
        <w:t>continues to drive the development of good practice</w:t>
      </w:r>
      <w:r w:rsidR="00563BFB" w:rsidRPr="000702C6">
        <w:rPr>
          <w:rFonts w:ascii="Arial" w:hAnsi="Arial" w:cs="Arial"/>
          <w:sz w:val="24"/>
          <w:szCs w:val="24"/>
        </w:rPr>
        <w:t>, particular</w:t>
      </w:r>
      <w:r w:rsidR="00077A30" w:rsidRPr="000702C6">
        <w:rPr>
          <w:rFonts w:ascii="Arial" w:hAnsi="Arial" w:cs="Arial"/>
          <w:sz w:val="24"/>
          <w:szCs w:val="24"/>
        </w:rPr>
        <w:t>ly</w:t>
      </w:r>
      <w:r w:rsidR="00563BFB" w:rsidRPr="000702C6">
        <w:rPr>
          <w:rFonts w:ascii="Arial" w:hAnsi="Arial" w:cs="Arial"/>
          <w:sz w:val="24"/>
          <w:szCs w:val="24"/>
        </w:rPr>
        <w:t xml:space="preserve"> in </w:t>
      </w:r>
      <w:r w:rsidR="007D019C" w:rsidRPr="000702C6">
        <w:rPr>
          <w:rFonts w:ascii="Arial" w:hAnsi="Arial" w:cs="Arial"/>
          <w:sz w:val="24"/>
          <w:szCs w:val="24"/>
        </w:rPr>
        <w:t xml:space="preserve">moving the system from a purely welfare-based model to one in which children are recognised and respected as rights holders. </w:t>
      </w:r>
    </w:p>
    <w:p w14:paraId="1E83E744" w14:textId="70E1EAA0" w:rsidR="00AB7314" w:rsidRPr="000702C6" w:rsidRDefault="004F6305" w:rsidP="000F4CE6">
      <w:pPr>
        <w:rPr>
          <w:rFonts w:ascii="Arial" w:hAnsi="Arial" w:cs="Arial"/>
          <w:sz w:val="24"/>
          <w:szCs w:val="24"/>
        </w:rPr>
      </w:pPr>
      <w:r w:rsidRPr="000702C6">
        <w:rPr>
          <w:rFonts w:ascii="Arial" w:hAnsi="Arial" w:cs="Arial"/>
          <w:sz w:val="24"/>
          <w:szCs w:val="24"/>
        </w:rPr>
        <w:t xml:space="preserve">For example, </w:t>
      </w:r>
      <w:r w:rsidR="005A40C7" w:rsidRPr="000702C6">
        <w:rPr>
          <w:rFonts w:ascii="Arial" w:hAnsi="Arial" w:cs="Arial"/>
          <w:sz w:val="24"/>
          <w:szCs w:val="24"/>
        </w:rPr>
        <w:t xml:space="preserve">in </w:t>
      </w:r>
      <w:r w:rsidR="0022546E" w:rsidRPr="000702C6">
        <w:rPr>
          <w:rFonts w:ascii="Arial" w:hAnsi="Arial" w:cs="Arial"/>
          <w:sz w:val="24"/>
          <w:szCs w:val="24"/>
        </w:rPr>
        <w:t>2001</w:t>
      </w:r>
      <w:r w:rsidR="009D3E42" w:rsidRPr="000702C6">
        <w:rPr>
          <w:rStyle w:val="FootnoteReference"/>
          <w:rFonts w:ascii="Arial" w:hAnsi="Arial" w:cs="Arial"/>
          <w:sz w:val="24"/>
          <w:szCs w:val="24"/>
        </w:rPr>
        <w:footnoteReference w:id="16"/>
      </w:r>
      <w:r w:rsidR="0022546E" w:rsidRPr="000702C6">
        <w:rPr>
          <w:rFonts w:ascii="Arial" w:hAnsi="Arial" w:cs="Arial"/>
          <w:sz w:val="24"/>
          <w:szCs w:val="24"/>
        </w:rPr>
        <w:t xml:space="preserve"> the Inner House of the Court of Session found that the </w:t>
      </w:r>
      <w:r w:rsidR="00712122" w:rsidRPr="000702C6">
        <w:rPr>
          <w:rFonts w:ascii="Arial" w:hAnsi="Arial" w:cs="Arial"/>
          <w:sz w:val="24"/>
          <w:szCs w:val="24"/>
        </w:rPr>
        <w:t xml:space="preserve">Children’s Hearings </w:t>
      </w:r>
      <w:r w:rsidR="00DA3430" w:rsidRPr="000702C6">
        <w:rPr>
          <w:rFonts w:ascii="Arial" w:hAnsi="Arial" w:cs="Arial"/>
          <w:sz w:val="24"/>
          <w:szCs w:val="24"/>
        </w:rPr>
        <w:t>Rules (as they were then)</w:t>
      </w:r>
      <w:r w:rsidR="00213ABF" w:rsidRPr="000702C6">
        <w:rPr>
          <w:rFonts w:ascii="Arial" w:hAnsi="Arial" w:cs="Arial"/>
          <w:sz w:val="24"/>
          <w:szCs w:val="24"/>
        </w:rPr>
        <w:t xml:space="preserve"> breached </w:t>
      </w:r>
      <w:r w:rsidR="00DE0CF3" w:rsidRPr="000702C6">
        <w:rPr>
          <w:rFonts w:ascii="Arial" w:hAnsi="Arial" w:cs="Arial"/>
          <w:sz w:val="24"/>
          <w:szCs w:val="24"/>
        </w:rPr>
        <w:t>children’s</w:t>
      </w:r>
      <w:r w:rsidR="00EC0568" w:rsidRPr="000702C6">
        <w:rPr>
          <w:rFonts w:ascii="Arial" w:hAnsi="Arial" w:cs="Arial"/>
          <w:sz w:val="24"/>
          <w:szCs w:val="24"/>
        </w:rPr>
        <w:t xml:space="preserve"> right to a fair hearing, as protected by Article 6 ECHR. This </w:t>
      </w:r>
      <w:r w:rsidR="00814636" w:rsidRPr="000702C6">
        <w:rPr>
          <w:rFonts w:ascii="Arial" w:hAnsi="Arial" w:cs="Arial"/>
          <w:sz w:val="24"/>
          <w:szCs w:val="24"/>
        </w:rPr>
        <w:t>was because at the time</w:t>
      </w:r>
      <w:r w:rsidR="00CA6579" w:rsidRPr="000702C6">
        <w:rPr>
          <w:rFonts w:ascii="Arial" w:hAnsi="Arial" w:cs="Arial"/>
          <w:sz w:val="24"/>
          <w:szCs w:val="24"/>
        </w:rPr>
        <w:t xml:space="preserve"> funded legal representation was not available </w:t>
      </w:r>
      <w:r w:rsidR="00E0383F" w:rsidRPr="000702C6">
        <w:rPr>
          <w:rFonts w:ascii="Arial" w:hAnsi="Arial" w:cs="Arial"/>
          <w:sz w:val="24"/>
          <w:szCs w:val="24"/>
        </w:rPr>
        <w:t xml:space="preserve">in two situations: </w:t>
      </w:r>
      <w:r w:rsidR="007E305C" w:rsidRPr="000702C6">
        <w:rPr>
          <w:rFonts w:ascii="Arial" w:hAnsi="Arial" w:cs="Arial"/>
          <w:sz w:val="24"/>
          <w:szCs w:val="24"/>
        </w:rPr>
        <w:t xml:space="preserve">where sending </w:t>
      </w:r>
      <w:r w:rsidR="002D17E0" w:rsidRPr="000702C6">
        <w:rPr>
          <w:rFonts w:ascii="Arial" w:hAnsi="Arial" w:cs="Arial"/>
          <w:sz w:val="24"/>
          <w:szCs w:val="24"/>
        </w:rPr>
        <w:t>a</w:t>
      </w:r>
      <w:r w:rsidR="007E305C" w:rsidRPr="000702C6">
        <w:rPr>
          <w:rFonts w:ascii="Arial" w:hAnsi="Arial" w:cs="Arial"/>
          <w:sz w:val="24"/>
          <w:szCs w:val="24"/>
        </w:rPr>
        <w:t xml:space="preserve"> child to secure accommodation is under active consideration, and where </w:t>
      </w:r>
      <w:r w:rsidR="002D17E0" w:rsidRPr="000702C6">
        <w:rPr>
          <w:rFonts w:ascii="Arial" w:hAnsi="Arial" w:cs="Arial"/>
          <w:sz w:val="24"/>
          <w:szCs w:val="24"/>
        </w:rPr>
        <w:t>a</w:t>
      </w:r>
      <w:r w:rsidR="007E305C" w:rsidRPr="000702C6">
        <w:rPr>
          <w:rFonts w:ascii="Arial" w:hAnsi="Arial" w:cs="Arial"/>
          <w:sz w:val="24"/>
          <w:szCs w:val="24"/>
        </w:rPr>
        <w:t xml:space="preserve"> child would not, without legal representation, be able effectively to participate at the hearing</w:t>
      </w:r>
      <w:r w:rsidR="0004629E" w:rsidRPr="000702C6">
        <w:rPr>
          <w:rFonts w:ascii="Arial" w:hAnsi="Arial" w:cs="Arial"/>
          <w:sz w:val="24"/>
          <w:szCs w:val="24"/>
        </w:rPr>
        <w:t>.</w:t>
      </w:r>
      <w:r w:rsidR="004F5ACB" w:rsidRPr="000702C6">
        <w:rPr>
          <w:rFonts w:ascii="Arial" w:hAnsi="Arial" w:cs="Arial"/>
          <w:sz w:val="24"/>
          <w:szCs w:val="24"/>
        </w:rPr>
        <w:t xml:space="preserve"> In </w:t>
      </w:r>
      <w:r w:rsidR="004E44BA" w:rsidRPr="000702C6">
        <w:rPr>
          <w:rFonts w:ascii="Arial" w:hAnsi="Arial" w:cs="Arial"/>
          <w:sz w:val="24"/>
          <w:szCs w:val="24"/>
        </w:rPr>
        <w:t xml:space="preserve">2009, the Inner House </w:t>
      </w:r>
      <w:r w:rsidR="004654DD" w:rsidRPr="000702C6">
        <w:rPr>
          <w:rFonts w:ascii="Arial" w:hAnsi="Arial" w:cs="Arial"/>
          <w:sz w:val="24"/>
          <w:szCs w:val="24"/>
        </w:rPr>
        <w:t xml:space="preserve">also found that the failure to provide state-funded legal representation </w:t>
      </w:r>
      <w:r w:rsidR="009B3111" w:rsidRPr="000702C6">
        <w:rPr>
          <w:rFonts w:ascii="Arial" w:hAnsi="Arial" w:cs="Arial"/>
          <w:sz w:val="24"/>
          <w:szCs w:val="24"/>
        </w:rPr>
        <w:t>for</w:t>
      </w:r>
      <w:r w:rsidR="004654DD" w:rsidRPr="000702C6">
        <w:rPr>
          <w:rFonts w:ascii="Arial" w:hAnsi="Arial" w:cs="Arial"/>
          <w:sz w:val="24"/>
          <w:szCs w:val="24"/>
        </w:rPr>
        <w:t xml:space="preserve"> </w:t>
      </w:r>
      <w:r w:rsidR="00F86168" w:rsidRPr="000702C6">
        <w:rPr>
          <w:rFonts w:ascii="Arial" w:hAnsi="Arial" w:cs="Arial"/>
          <w:sz w:val="24"/>
          <w:szCs w:val="24"/>
        </w:rPr>
        <w:t>‘</w:t>
      </w:r>
      <w:r w:rsidR="004654DD" w:rsidRPr="000702C6">
        <w:rPr>
          <w:rFonts w:ascii="Arial" w:hAnsi="Arial" w:cs="Arial"/>
          <w:sz w:val="24"/>
          <w:szCs w:val="24"/>
        </w:rPr>
        <w:t>relevant persons</w:t>
      </w:r>
      <w:r w:rsidR="00F86168" w:rsidRPr="000702C6">
        <w:rPr>
          <w:rFonts w:ascii="Arial" w:hAnsi="Arial" w:cs="Arial"/>
          <w:sz w:val="24"/>
          <w:szCs w:val="24"/>
        </w:rPr>
        <w:t>’</w:t>
      </w:r>
      <w:r w:rsidR="0055034F" w:rsidRPr="000702C6">
        <w:rPr>
          <w:rFonts w:ascii="Arial" w:hAnsi="Arial" w:cs="Arial"/>
          <w:sz w:val="24"/>
          <w:szCs w:val="24"/>
        </w:rPr>
        <w:t>, in this case an unmarried father,</w:t>
      </w:r>
      <w:r w:rsidR="004654DD" w:rsidRPr="000702C6">
        <w:rPr>
          <w:rFonts w:ascii="Arial" w:hAnsi="Arial" w:cs="Arial"/>
          <w:sz w:val="24"/>
          <w:szCs w:val="24"/>
        </w:rPr>
        <w:t xml:space="preserve"> amounted to an “in-built systemic flaw in the legal aid scheme as it applied to the children’s hearing system”.</w:t>
      </w:r>
      <w:r w:rsidR="00B409B3" w:rsidRPr="000702C6">
        <w:rPr>
          <w:rStyle w:val="FootnoteReference"/>
          <w:rFonts w:ascii="Arial" w:hAnsi="Arial" w:cs="Arial"/>
          <w:sz w:val="24"/>
          <w:szCs w:val="24"/>
        </w:rPr>
        <w:footnoteReference w:id="17"/>
      </w:r>
      <w:r w:rsidR="004654DD" w:rsidRPr="000702C6">
        <w:rPr>
          <w:rFonts w:ascii="Arial" w:hAnsi="Arial" w:cs="Arial"/>
          <w:sz w:val="24"/>
          <w:szCs w:val="24"/>
        </w:rPr>
        <w:t xml:space="preserve"> </w:t>
      </w:r>
      <w:r w:rsidR="009B3111" w:rsidRPr="000702C6">
        <w:rPr>
          <w:rFonts w:ascii="Arial" w:hAnsi="Arial" w:cs="Arial"/>
          <w:sz w:val="24"/>
          <w:szCs w:val="24"/>
        </w:rPr>
        <w:t>Partly as a</w:t>
      </w:r>
      <w:r w:rsidR="00F12412" w:rsidRPr="000702C6">
        <w:rPr>
          <w:rFonts w:ascii="Arial" w:hAnsi="Arial" w:cs="Arial"/>
          <w:sz w:val="24"/>
          <w:szCs w:val="24"/>
        </w:rPr>
        <w:t xml:space="preserve"> result of this series of cases, the Scottish Parliament </w:t>
      </w:r>
      <w:r w:rsidR="000F591F" w:rsidRPr="000702C6">
        <w:rPr>
          <w:rFonts w:ascii="Arial" w:hAnsi="Arial" w:cs="Arial"/>
          <w:sz w:val="24"/>
          <w:szCs w:val="24"/>
        </w:rPr>
        <w:t>passed</w:t>
      </w:r>
      <w:r w:rsidR="00F12412" w:rsidRPr="000702C6">
        <w:rPr>
          <w:rFonts w:ascii="Arial" w:hAnsi="Arial" w:cs="Arial"/>
          <w:sz w:val="24"/>
          <w:szCs w:val="24"/>
        </w:rPr>
        <w:t xml:space="preserve"> the </w:t>
      </w:r>
      <w:r w:rsidR="0025157E" w:rsidRPr="000702C6">
        <w:rPr>
          <w:rFonts w:ascii="Arial" w:hAnsi="Arial" w:cs="Arial"/>
          <w:sz w:val="24"/>
          <w:szCs w:val="24"/>
        </w:rPr>
        <w:t xml:space="preserve">Children’s Hearings (Scotland) Act 2011, which among other reforms </w:t>
      </w:r>
      <w:r w:rsidR="009A7EDB" w:rsidRPr="000702C6">
        <w:rPr>
          <w:rFonts w:ascii="Arial" w:hAnsi="Arial" w:cs="Arial"/>
          <w:sz w:val="24"/>
          <w:szCs w:val="24"/>
        </w:rPr>
        <w:t>set</w:t>
      </w:r>
      <w:r w:rsidR="00B50446" w:rsidRPr="000702C6">
        <w:rPr>
          <w:rFonts w:ascii="Arial" w:hAnsi="Arial" w:cs="Arial"/>
          <w:sz w:val="24"/>
          <w:szCs w:val="24"/>
        </w:rPr>
        <w:t>s</w:t>
      </w:r>
      <w:r w:rsidR="009A7EDB" w:rsidRPr="000702C6">
        <w:rPr>
          <w:rFonts w:ascii="Arial" w:hAnsi="Arial" w:cs="Arial"/>
          <w:sz w:val="24"/>
          <w:szCs w:val="24"/>
        </w:rPr>
        <w:t xml:space="preserve"> out circumstances where legal aid for children</w:t>
      </w:r>
      <w:r w:rsidR="00AB7314" w:rsidRPr="000702C6">
        <w:rPr>
          <w:rFonts w:ascii="Arial" w:hAnsi="Arial" w:cs="Arial"/>
          <w:sz w:val="24"/>
          <w:szCs w:val="24"/>
        </w:rPr>
        <w:t xml:space="preserve"> is made automatically available. </w:t>
      </w:r>
    </w:p>
    <w:p w14:paraId="237EB1B0" w14:textId="5EB991CF" w:rsidR="008A1E7B" w:rsidRPr="000702C6" w:rsidRDefault="00AB7314" w:rsidP="000F4CE6">
      <w:pPr>
        <w:rPr>
          <w:rFonts w:ascii="Arial" w:hAnsi="Arial" w:cs="Arial"/>
          <w:sz w:val="24"/>
          <w:szCs w:val="24"/>
        </w:rPr>
      </w:pPr>
      <w:r w:rsidRPr="000702C6">
        <w:rPr>
          <w:rFonts w:ascii="Arial" w:hAnsi="Arial" w:cs="Arial"/>
          <w:sz w:val="24"/>
          <w:szCs w:val="24"/>
        </w:rPr>
        <w:t>More recently</w:t>
      </w:r>
      <w:r w:rsidR="00902282" w:rsidRPr="000702C6">
        <w:rPr>
          <w:rFonts w:ascii="Arial" w:hAnsi="Arial" w:cs="Arial"/>
          <w:sz w:val="24"/>
          <w:szCs w:val="24"/>
        </w:rPr>
        <w:t xml:space="preserve"> in 2020</w:t>
      </w:r>
      <w:r w:rsidR="00CE14F4" w:rsidRPr="000702C6">
        <w:rPr>
          <w:rFonts w:ascii="Arial" w:hAnsi="Arial" w:cs="Arial"/>
          <w:sz w:val="24"/>
          <w:szCs w:val="24"/>
        </w:rPr>
        <w:t>,</w:t>
      </w:r>
      <w:r w:rsidR="0064316D" w:rsidRPr="000702C6">
        <w:rPr>
          <w:rStyle w:val="FootnoteReference"/>
          <w:rFonts w:ascii="Arial" w:hAnsi="Arial" w:cs="Arial"/>
          <w:sz w:val="24"/>
          <w:szCs w:val="24"/>
        </w:rPr>
        <w:footnoteReference w:id="18"/>
      </w:r>
      <w:r w:rsidRPr="000702C6">
        <w:rPr>
          <w:rFonts w:ascii="Arial" w:hAnsi="Arial" w:cs="Arial"/>
          <w:sz w:val="24"/>
          <w:szCs w:val="24"/>
        </w:rPr>
        <w:t xml:space="preserve"> </w:t>
      </w:r>
      <w:r w:rsidR="00031CB6" w:rsidRPr="000702C6">
        <w:rPr>
          <w:rFonts w:ascii="Arial" w:hAnsi="Arial" w:cs="Arial"/>
          <w:sz w:val="24"/>
          <w:szCs w:val="24"/>
        </w:rPr>
        <w:t xml:space="preserve">the UK Supreme Court </w:t>
      </w:r>
      <w:r w:rsidR="00AD2056" w:rsidRPr="000702C6">
        <w:rPr>
          <w:rFonts w:ascii="Arial" w:hAnsi="Arial" w:cs="Arial"/>
          <w:sz w:val="24"/>
          <w:szCs w:val="24"/>
        </w:rPr>
        <w:t xml:space="preserve">dealt with a challenge </w:t>
      </w:r>
      <w:r w:rsidR="00FF458F" w:rsidRPr="000702C6">
        <w:rPr>
          <w:rFonts w:ascii="Arial" w:hAnsi="Arial" w:cs="Arial"/>
          <w:sz w:val="24"/>
          <w:szCs w:val="24"/>
        </w:rPr>
        <w:t xml:space="preserve">against the compatibility of the Children’s Hearing system with the rights of siblings in terms of Article 8 ECHR. </w:t>
      </w:r>
      <w:r w:rsidR="00902282" w:rsidRPr="000702C6">
        <w:rPr>
          <w:rFonts w:ascii="Arial" w:hAnsi="Arial" w:cs="Arial"/>
          <w:sz w:val="24"/>
          <w:szCs w:val="24"/>
        </w:rPr>
        <w:t>The Supreme</w:t>
      </w:r>
      <w:r w:rsidR="00AC69C2" w:rsidRPr="000702C6">
        <w:rPr>
          <w:rFonts w:ascii="Arial" w:hAnsi="Arial" w:cs="Arial"/>
          <w:sz w:val="24"/>
          <w:szCs w:val="24"/>
        </w:rPr>
        <w:t xml:space="preserve"> Court ruled that, following changes made to Children’s Hearing</w:t>
      </w:r>
      <w:r w:rsidR="00A2519E" w:rsidRPr="000702C6">
        <w:rPr>
          <w:rFonts w:ascii="Arial" w:hAnsi="Arial" w:cs="Arial"/>
          <w:sz w:val="24"/>
          <w:szCs w:val="24"/>
        </w:rPr>
        <w:t xml:space="preserve"> system</w:t>
      </w:r>
      <w:r w:rsidR="00AC69C2" w:rsidRPr="000702C6">
        <w:rPr>
          <w:rFonts w:ascii="Arial" w:hAnsi="Arial" w:cs="Arial"/>
          <w:sz w:val="24"/>
          <w:szCs w:val="24"/>
        </w:rPr>
        <w:t xml:space="preserve"> since </w:t>
      </w:r>
      <w:r w:rsidR="00902282" w:rsidRPr="000702C6">
        <w:rPr>
          <w:rFonts w:ascii="Arial" w:hAnsi="Arial" w:cs="Arial"/>
          <w:sz w:val="24"/>
          <w:szCs w:val="24"/>
        </w:rPr>
        <w:t xml:space="preserve">the </w:t>
      </w:r>
      <w:r w:rsidR="00AC69C2" w:rsidRPr="000702C6">
        <w:rPr>
          <w:rFonts w:ascii="Arial" w:hAnsi="Arial" w:cs="Arial"/>
          <w:sz w:val="24"/>
          <w:szCs w:val="24"/>
        </w:rPr>
        <w:t xml:space="preserve">case started, </w:t>
      </w:r>
      <w:r w:rsidR="00385DD2" w:rsidRPr="000702C6">
        <w:rPr>
          <w:rFonts w:ascii="Arial" w:hAnsi="Arial" w:cs="Arial"/>
          <w:sz w:val="24"/>
          <w:szCs w:val="24"/>
        </w:rPr>
        <w:t>it</w:t>
      </w:r>
      <w:r w:rsidR="00AC69C2" w:rsidRPr="000702C6">
        <w:rPr>
          <w:rFonts w:ascii="Arial" w:hAnsi="Arial" w:cs="Arial"/>
          <w:sz w:val="24"/>
          <w:szCs w:val="24"/>
        </w:rPr>
        <w:t xml:space="preserve"> now </w:t>
      </w:r>
      <w:r w:rsidR="00666EA0" w:rsidRPr="000702C6">
        <w:rPr>
          <w:rFonts w:ascii="Arial" w:hAnsi="Arial" w:cs="Arial"/>
          <w:sz w:val="24"/>
          <w:szCs w:val="24"/>
        </w:rPr>
        <w:t xml:space="preserve">complied with the </w:t>
      </w:r>
      <w:r w:rsidR="002C4DB6" w:rsidRPr="000702C6">
        <w:rPr>
          <w:rFonts w:ascii="Arial" w:hAnsi="Arial" w:cs="Arial"/>
          <w:sz w:val="24"/>
          <w:szCs w:val="24"/>
        </w:rPr>
        <w:t>principles</w:t>
      </w:r>
      <w:r w:rsidR="00666EA0" w:rsidRPr="000702C6">
        <w:rPr>
          <w:rFonts w:ascii="Arial" w:hAnsi="Arial" w:cs="Arial"/>
          <w:sz w:val="24"/>
          <w:szCs w:val="24"/>
        </w:rPr>
        <w:t xml:space="preserve"> </w:t>
      </w:r>
      <w:r w:rsidR="002C4DB6" w:rsidRPr="000702C6">
        <w:rPr>
          <w:rFonts w:ascii="Arial" w:hAnsi="Arial" w:cs="Arial"/>
          <w:sz w:val="24"/>
          <w:szCs w:val="24"/>
        </w:rPr>
        <w:t xml:space="preserve">of the right </w:t>
      </w:r>
      <w:r w:rsidR="00AC69C2" w:rsidRPr="000702C6">
        <w:rPr>
          <w:rFonts w:ascii="Arial" w:hAnsi="Arial" w:cs="Arial"/>
          <w:sz w:val="24"/>
          <w:szCs w:val="24"/>
        </w:rPr>
        <w:t xml:space="preserve">to family life under </w:t>
      </w:r>
      <w:r w:rsidR="002C4DB6" w:rsidRPr="000702C6">
        <w:rPr>
          <w:rFonts w:ascii="Arial" w:hAnsi="Arial" w:cs="Arial"/>
          <w:sz w:val="24"/>
          <w:szCs w:val="24"/>
        </w:rPr>
        <w:t>A</w:t>
      </w:r>
      <w:r w:rsidR="00AC69C2" w:rsidRPr="000702C6">
        <w:rPr>
          <w:rFonts w:ascii="Arial" w:hAnsi="Arial" w:cs="Arial"/>
          <w:sz w:val="24"/>
          <w:szCs w:val="24"/>
        </w:rPr>
        <w:t>rticle 8 ECHR in relation to siblings and other family members.</w:t>
      </w:r>
      <w:r w:rsidR="002C4DB6" w:rsidRPr="000702C6">
        <w:rPr>
          <w:rFonts w:ascii="Arial" w:hAnsi="Arial" w:cs="Arial"/>
          <w:sz w:val="24"/>
          <w:szCs w:val="24"/>
        </w:rPr>
        <w:t xml:space="preserve"> However, in recognising the legitimacy of the challenge to the </w:t>
      </w:r>
      <w:r w:rsidR="00262D5A" w:rsidRPr="000702C6">
        <w:rPr>
          <w:rFonts w:ascii="Arial" w:hAnsi="Arial" w:cs="Arial"/>
          <w:sz w:val="24"/>
          <w:szCs w:val="24"/>
        </w:rPr>
        <w:t>operation of the system</w:t>
      </w:r>
      <w:r w:rsidR="002C4DB6" w:rsidRPr="000702C6">
        <w:rPr>
          <w:rFonts w:ascii="Arial" w:hAnsi="Arial" w:cs="Arial"/>
          <w:sz w:val="24"/>
          <w:szCs w:val="24"/>
        </w:rPr>
        <w:t xml:space="preserve">, the </w:t>
      </w:r>
      <w:r w:rsidR="000F5954" w:rsidRPr="000702C6">
        <w:rPr>
          <w:rFonts w:ascii="Arial" w:hAnsi="Arial" w:cs="Arial"/>
          <w:sz w:val="24"/>
          <w:szCs w:val="24"/>
        </w:rPr>
        <w:t>c</w:t>
      </w:r>
      <w:r w:rsidR="002C4DB6" w:rsidRPr="000702C6">
        <w:rPr>
          <w:rFonts w:ascii="Arial" w:hAnsi="Arial" w:cs="Arial"/>
          <w:sz w:val="24"/>
          <w:szCs w:val="24"/>
        </w:rPr>
        <w:t xml:space="preserve">ourt highlighted that: </w:t>
      </w:r>
    </w:p>
    <w:p w14:paraId="67D4E5F4" w14:textId="2E595413" w:rsidR="000772CE" w:rsidRPr="000702C6" w:rsidRDefault="000772CE" w:rsidP="00AE3C32">
      <w:pPr>
        <w:ind w:left="720"/>
        <w:rPr>
          <w:rFonts w:ascii="Arial" w:hAnsi="Arial" w:cs="Arial"/>
          <w:sz w:val="24"/>
          <w:szCs w:val="24"/>
        </w:rPr>
      </w:pPr>
      <w:r w:rsidRPr="000702C6">
        <w:rPr>
          <w:rFonts w:ascii="Arial" w:hAnsi="Arial" w:cs="Arial"/>
          <w:sz w:val="24"/>
          <w:szCs w:val="24"/>
        </w:rPr>
        <w:t xml:space="preserve">“[…] the initiation of these challenges has served to uncover a gap in the children’s hearings system which has had to be adapted to meet the requirements of article 8 in relation to siblings and other family members. There is now a clear recognition of the interest of both the child and the sibling </w:t>
      </w:r>
      <w:r w:rsidRPr="000702C6">
        <w:rPr>
          <w:rFonts w:ascii="Arial" w:hAnsi="Arial" w:cs="Arial"/>
          <w:sz w:val="24"/>
          <w:szCs w:val="24"/>
        </w:rPr>
        <w:lastRenderedPageBreak/>
        <w:t>in maintaining a sibling relationship through contact (or through placement if both are subject to CSOs) in most cases […] There needs, in short, to be a bespoke enquiry about the child’s relationship with his or her siblings when the children’s hearing is addressing the possibility of making a CSO”</w:t>
      </w:r>
      <w:r w:rsidRPr="000702C6">
        <w:rPr>
          <w:rStyle w:val="FootnoteReference"/>
          <w:rFonts w:ascii="Arial" w:hAnsi="Arial" w:cs="Arial"/>
          <w:sz w:val="24"/>
          <w:szCs w:val="24"/>
        </w:rPr>
        <w:footnoteReference w:id="19"/>
      </w:r>
      <w:r w:rsidRPr="000702C6">
        <w:rPr>
          <w:rFonts w:ascii="Arial" w:hAnsi="Arial" w:cs="Arial"/>
          <w:sz w:val="24"/>
          <w:szCs w:val="24"/>
        </w:rPr>
        <w:t xml:space="preserve"> </w:t>
      </w:r>
    </w:p>
    <w:p w14:paraId="2B72F3EF" w14:textId="45191136" w:rsidR="00D61FE6" w:rsidRPr="000702C6" w:rsidRDefault="004D50D3" w:rsidP="000F4CE6">
      <w:pPr>
        <w:rPr>
          <w:rFonts w:ascii="Arial" w:hAnsi="Arial" w:cs="Arial"/>
          <w:sz w:val="24"/>
          <w:szCs w:val="24"/>
        </w:rPr>
      </w:pPr>
      <w:r w:rsidRPr="000702C6">
        <w:rPr>
          <w:rFonts w:ascii="Arial" w:hAnsi="Arial" w:cs="Arial"/>
          <w:sz w:val="24"/>
          <w:szCs w:val="24"/>
        </w:rPr>
        <w:t>Follow</w:t>
      </w:r>
      <w:r w:rsidR="0015450B" w:rsidRPr="000702C6">
        <w:rPr>
          <w:rFonts w:ascii="Arial" w:hAnsi="Arial" w:cs="Arial"/>
          <w:sz w:val="24"/>
          <w:szCs w:val="24"/>
        </w:rPr>
        <w:t xml:space="preserve">ing the judgment, the Scottish Parliament passed the </w:t>
      </w:r>
      <w:r w:rsidR="00D61FE6" w:rsidRPr="000702C6">
        <w:rPr>
          <w:rFonts w:ascii="Arial" w:hAnsi="Arial" w:cs="Arial"/>
          <w:sz w:val="24"/>
          <w:szCs w:val="24"/>
        </w:rPr>
        <w:t>Children (Scotland) Act 2020,</w:t>
      </w:r>
      <w:r w:rsidR="0015450B" w:rsidRPr="000702C6">
        <w:rPr>
          <w:rFonts w:ascii="Arial" w:hAnsi="Arial" w:cs="Arial"/>
          <w:sz w:val="24"/>
          <w:szCs w:val="24"/>
        </w:rPr>
        <w:t xml:space="preserve"> which</w:t>
      </w:r>
      <w:r w:rsidR="00D61FE6" w:rsidRPr="000702C6">
        <w:rPr>
          <w:rFonts w:ascii="Arial" w:hAnsi="Arial" w:cs="Arial"/>
          <w:sz w:val="24"/>
          <w:szCs w:val="24"/>
        </w:rPr>
        <w:t xml:space="preserve"> paves the way for a new category of participation rights for siblings (and potentially other family members in the future), so that they are able to participate in a children’s hearing when they are not a relevant person (see section 25 of the 2020 Act)</w:t>
      </w:r>
      <w:r w:rsidR="0015450B" w:rsidRPr="000702C6">
        <w:rPr>
          <w:rFonts w:ascii="Arial" w:hAnsi="Arial" w:cs="Arial"/>
          <w:sz w:val="24"/>
          <w:szCs w:val="24"/>
        </w:rPr>
        <w:t>.</w:t>
      </w:r>
      <w:r w:rsidR="0099225B" w:rsidRPr="000702C6">
        <w:rPr>
          <w:rStyle w:val="FootnoteReference"/>
          <w:rFonts w:ascii="Arial" w:hAnsi="Arial" w:cs="Arial"/>
          <w:sz w:val="24"/>
          <w:szCs w:val="24"/>
        </w:rPr>
        <w:footnoteReference w:id="20"/>
      </w:r>
    </w:p>
    <w:p w14:paraId="40959195" w14:textId="74D3A27F" w:rsidR="00C22B67" w:rsidRPr="00BD0CDC" w:rsidRDefault="009C1BB3" w:rsidP="00717B2B">
      <w:pPr>
        <w:rPr>
          <w:rFonts w:ascii="Arial" w:hAnsi="Arial" w:cs="Arial"/>
          <w:sz w:val="24"/>
          <w:szCs w:val="24"/>
        </w:rPr>
      </w:pPr>
      <w:r w:rsidRPr="000702C6">
        <w:rPr>
          <w:rFonts w:ascii="Arial" w:hAnsi="Arial" w:cs="Arial"/>
          <w:sz w:val="24"/>
          <w:szCs w:val="24"/>
        </w:rPr>
        <w:t>While the Government’s proposals</w:t>
      </w:r>
      <w:r w:rsidRPr="00BD0CDC">
        <w:rPr>
          <w:rFonts w:ascii="Arial" w:hAnsi="Arial" w:cs="Arial"/>
          <w:sz w:val="24"/>
          <w:szCs w:val="24"/>
        </w:rPr>
        <w:t xml:space="preserve"> </w:t>
      </w:r>
      <w:r w:rsidR="0081586A" w:rsidRPr="00BD0CDC">
        <w:rPr>
          <w:rFonts w:ascii="Arial" w:hAnsi="Arial" w:cs="Arial"/>
          <w:sz w:val="24"/>
          <w:szCs w:val="24"/>
        </w:rPr>
        <w:t xml:space="preserve">at this stage </w:t>
      </w:r>
      <w:r w:rsidR="00E32F0F" w:rsidRPr="00BD0CDC">
        <w:rPr>
          <w:rFonts w:ascii="Arial" w:hAnsi="Arial" w:cs="Arial"/>
          <w:sz w:val="24"/>
          <w:szCs w:val="24"/>
        </w:rPr>
        <w:t xml:space="preserve">are vague, </w:t>
      </w:r>
      <w:r w:rsidR="0081586A" w:rsidRPr="00BD0CDC">
        <w:rPr>
          <w:rFonts w:ascii="Arial" w:hAnsi="Arial" w:cs="Arial"/>
          <w:sz w:val="24"/>
          <w:szCs w:val="24"/>
        </w:rPr>
        <w:t xml:space="preserve">we are concerned that </w:t>
      </w:r>
      <w:r w:rsidR="0029499B" w:rsidRPr="00BD0CDC">
        <w:rPr>
          <w:rFonts w:ascii="Arial" w:hAnsi="Arial" w:cs="Arial"/>
          <w:sz w:val="24"/>
          <w:szCs w:val="24"/>
        </w:rPr>
        <w:t xml:space="preserve">some of the proposals (particularly in relation to </w:t>
      </w:r>
      <w:r w:rsidR="00B33BA5" w:rsidRPr="00BD0CDC">
        <w:rPr>
          <w:rFonts w:ascii="Arial" w:hAnsi="Arial" w:cs="Arial"/>
          <w:sz w:val="24"/>
          <w:szCs w:val="24"/>
        </w:rPr>
        <w:t xml:space="preserve">the balancing of rights under Articles 8-11 EHRC) </w:t>
      </w:r>
      <w:r w:rsidR="0039428D">
        <w:rPr>
          <w:rFonts w:ascii="Arial" w:hAnsi="Arial" w:cs="Arial"/>
          <w:sz w:val="24"/>
          <w:szCs w:val="24"/>
        </w:rPr>
        <w:t xml:space="preserve">will </w:t>
      </w:r>
      <w:r w:rsidR="00594349" w:rsidRPr="00BD0CDC">
        <w:rPr>
          <w:rFonts w:ascii="Arial" w:hAnsi="Arial" w:cs="Arial"/>
          <w:sz w:val="24"/>
          <w:szCs w:val="24"/>
        </w:rPr>
        <w:t>negatively</w:t>
      </w:r>
      <w:r w:rsidR="00BA2509" w:rsidRPr="00BD0CDC">
        <w:rPr>
          <w:rFonts w:ascii="Arial" w:hAnsi="Arial" w:cs="Arial"/>
          <w:sz w:val="24"/>
          <w:szCs w:val="24"/>
        </w:rPr>
        <w:t xml:space="preserve"> impact on</w:t>
      </w:r>
      <w:r w:rsidR="00D13457" w:rsidRPr="00BD0CDC">
        <w:rPr>
          <w:rFonts w:ascii="Arial" w:hAnsi="Arial" w:cs="Arial"/>
          <w:sz w:val="24"/>
          <w:szCs w:val="24"/>
        </w:rPr>
        <w:t xml:space="preserve"> how </w:t>
      </w:r>
      <w:r w:rsidR="00594349" w:rsidRPr="00BD0CDC">
        <w:rPr>
          <w:rFonts w:ascii="Arial" w:hAnsi="Arial" w:cs="Arial"/>
          <w:sz w:val="24"/>
          <w:szCs w:val="24"/>
        </w:rPr>
        <w:t>children’s</w:t>
      </w:r>
      <w:r w:rsidR="00D13457" w:rsidRPr="00BD0CDC">
        <w:rPr>
          <w:rFonts w:ascii="Arial" w:hAnsi="Arial" w:cs="Arial"/>
          <w:sz w:val="24"/>
          <w:szCs w:val="24"/>
        </w:rPr>
        <w:t xml:space="preserve"> rights are interpreted in Scotland</w:t>
      </w:r>
      <w:r w:rsidR="00717B2B" w:rsidRPr="00BD0CDC">
        <w:rPr>
          <w:rFonts w:ascii="Arial" w:hAnsi="Arial" w:cs="Arial"/>
          <w:sz w:val="24"/>
          <w:szCs w:val="24"/>
        </w:rPr>
        <w:t xml:space="preserve">. It is also unclear how the proposals to weaken the power of the courts to interpret legislation compatibly with ECHR rights and to remove the power to strike down rights-abusive secondary legislation will work procedurally in Scotland, where courts currently have specific powers under the Scotland Act and Human Rights Act to ensure devolved legislation upholds </w:t>
      </w:r>
      <w:r w:rsidR="00241A68" w:rsidRPr="00BD0CDC">
        <w:rPr>
          <w:rFonts w:ascii="Arial" w:hAnsi="Arial" w:cs="Arial"/>
          <w:sz w:val="24"/>
          <w:szCs w:val="24"/>
        </w:rPr>
        <w:t>ECHR</w:t>
      </w:r>
      <w:r w:rsidR="00717B2B" w:rsidRPr="00BD0CDC">
        <w:rPr>
          <w:rFonts w:ascii="Arial" w:hAnsi="Arial" w:cs="Arial"/>
          <w:sz w:val="24"/>
          <w:szCs w:val="24"/>
        </w:rPr>
        <w:t xml:space="preserve"> rights.</w:t>
      </w:r>
      <w:r w:rsidR="00AF0908" w:rsidRPr="00BD0CDC">
        <w:rPr>
          <w:rStyle w:val="FootnoteReference"/>
          <w:rFonts w:ascii="Arial" w:hAnsi="Arial" w:cs="Arial"/>
          <w:sz w:val="24"/>
          <w:szCs w:val="24"/>
        </w:rPr>
        <w:footnoteReference w:id="21"/>
      </w:r>
    </w:p>
    <w:p w14:paraId="3D867047" w14:textId="39D6A8AE" w:rsidR="009E5C2D" w:rsidRPr="00BD0CDC" w:rsidRDefault="0012723B" w:rsidP="003C7DB1">
      <w:pPr>
        <w:rPr>
          <w:rFonts w:ascii="Arial" w:hAnsi="Arial" w:cs="Arial"/>
          <w:sz w:val="24"/>
          <w:szCs w:val="24"/>
        </w:rPr>
      </w:pPr>
      <w:r w:rsidRPr="00BD0CDC">
        <w:rPr>
          <w:rFonts w:ascii="Arial" w:hAnsi="Arial" w:cs="Arial"/>
          <w:sz w:val="24"/>
          <w:szCs w:val="24"/>
        </w:rPr>
        <w:t xml:space="preserve">The proposals are also </w:t>
      </w:r>
      <w:r w:rsidR="00E27415" w:rsidRPr="00BD0CDC">
        <w:rPr>
          <w:rFonts w:ascii="Arial" w:hAnsi="Arial" w:cs="Arial"/>
          <w:sz w:val="24"/>
          <w:szCs w:val="24"/>
        </w:rPr>
        <w:t>at odds with</w:t>
      </w:r>
      <w:r w:rsidRPr="00BD0CDC">
        <w:rPr>
          <w:rFonts w:ascii="Arial" w:hAnsi="Arial" w:cs="Arial"/>
          <w:sz w:val="24"/>
          <w:szCs w:val="24"/>
        </w:rPr>
        <w:t xml:space="preserve"> the Scottish Government’s agenda for human rights development</w:t>
      </w:r>
      <w:r w:rsidR="00E27415" w:rsidRPr="00BD0CDC">
        <w:rPr>
          <w:rFonts w:ascii="Arial" w:hAnsi="Arial" w:cs="Arial"/>
          <w:sz w:val="24"/>
          <w:szCs w:val="24"/>
        </w:rPr>
        <w:t>. F</w:t>
      </w:r>
      <w:r w:rsidR="00C22B67" w:rsidRPr="00BD0CDC">
        <w:rPr>
          <w:rFonts w:ascii="Arial" w:hAnsi="Arial" w:cs="Arial"/>
          <w:sz w:val="24"/>
          <w:szCs w:val="24"/>
        </w:rPr>
        <w:t xml:space="preserve">ollowing the recommendations of the First Minister’s Advisory Group on Human Rights Leadership (FMAG), </w:t>
      </w:r>
      <w:r w:rsidR="004D4707" w:rsidRPr="00BD0CDC">
        <w:rPr>
          <w:rFonts w:ascii="Arial" w:hAnsi="Arial" w:cs="Arial"/>
          <w:sz w:val="24"/>
          <w:szCs w:val="24"/>
        </w:rPr>
        <w:t xml:space="preserve">the Scottish Government </w:t>
      </w:r>
      <w:r w:rsidR="002965CF">
        <w:rPr>
          <w:rFonts w:ascii="Arial" w:hAnsi="Arial" w:cs="Arial"/>
          <w:sz w:val="24"/>
          <w:szCs w:val="24"/>
        </w:rPr>
        <w:t>has</w:t>
      </w:r>
      <w:r w:rsidR="002965CF" w:rsidRPr="00BD0CDC">
        <w:rPr>
          <w:rFonts w:ascii="Arial" w:hAnsi="Arial" w:cs="Arial"/>
          <w:sz w:val="24"/>
          <w:szCs w:val="24"/>
        </w:rPr>
        <w:t xml:space="preserve"> </w:t>
      </w:r>
      <w:r w:rsidR="004D4707" w:rsidRPr="00BD0CDC">
        <w:rPr>
          <w:rFonts w:ascii="Arial" w:hAnsi="Arial" w:cs="Arial"/>
          <w:sz w:val="24"/>
          <w:szCs w:val="24"/>
        </w:rPr>
        <w:t>committed to</w:t>
      </w:r>
      <w:r w:rsidR="005C38BB" w:rsidRPr="00BD0CDC">
        <w:rPr>
          <w:rFonts w:ascii="Arial" w:hAnsi="Arial" w:cs="Arial"/>
          <w:sz w:val="24"/>
          <w:szCs w:val="24"/>
        </w:rPr>
        <w:t xml:space="preserve"> bring forth a Bill </w:t>
      </w:r>
      <w:r w:rsidR="00972272" w:rsidRPr="00BD0CDC">
        <w:rPr>
          <w:rFonts w:ascii="Arial" w:hAnsi="Arial" w:cs="Arial"/>
          <w:sz w:val="24"/>
          <w:szCs w:val="24"/>
        </w:rPr>
        <w:t>that</w:t>
      </w:r>
      <w:r w:rsidR="005C38BB" w:rsidRPr="00BD0CDC">
        <w:rPr>
          <w:rFonts w:ascii="Arial" w:hAnsi="Arial" w:cs="Arial"/>
          <w:sz w:val="24"/>
          <w:szCs w:val="24"/>
        </w:rPr>
        <w:t xml:space="preserve"> </w:t>
      </w:r>
      <w:r w:rsidR="00C22B67" w:rsidRPr="00BD0CDC">
        <w:rPr>
          <w:rFonts w:ascii="Arial" w:hAnsi="Arial" w:cs="Arial"/>
          <w:sz w:val="24"/>
          <w:szCs w:val="24"/>
        </w:rPr>
        <w:t>‘will provide further rights drawn from UN human rights treaties ratified by the UK but not yet incorporated, including economic, social and cultural, as well as environmental rights</w:t>
      </w:r>
      <w:r w:rsidR="00972272" w:rsidRPr="00BD0CDC">
        <w:rPr>
          <w:rFonts w:ascii="Arial" w:hAnsi="Arial" w:cs="Arial"/>
          <w:sz w:val="24"/>
          <w:szCs w:val="24"/>
        </w:rPr>
        <w:t>’</w:t>
      </w:r>
      <w:r w:rsidR="00C22B67" w:rsidRPr="00BD0CDC">
        <w:rPr>
          <w:rFonts w:ascii="Arial" w:hAnsi="Arial" w:cs="Arial"/>
          <w:sz w:val="24"/>
          <w:szCs w:val="24"/>
        </w:rPr>
        <w:t>.</w:t>
      </w:r>
      <w:r w:rsidR="00972272" w:rsidRPr="00BD0CDC">
        <w:rPr>
          <w:rStyle w:val="FootnoteReference"/>
          <w:rFonts w:ascii="Arial" w:hAnsi="Arial" w:cs="Arial"/>
          <w:sz w:val="24"/>
          <w:szCs w:val="24"/>
        </w:rPr>
        <w:footnoteReference w:id="22"/>
      </w:r>
      <w:r w:rsidR="005F6F34" w:rsidRPr="00BD0CDC">
        <w:rPr>
          <w:rFonts w:ascii="Arial" w:hAnsi="Arial" w:cs="Arial"/>
          <w:sz w:val="24"/>
          <w:szCs w:val="24"/>
        </w:rPr>
        <w:t xml:space="preserve"> As mentioned above, the UNCRC (</w:t>
      </w:r>
      <w:r w:rsidR="003B1136" w:rsidRPr="00BD0CDC">
        <w:rPr>
          <w:rFonts w:ascii="Arial" w:hAnsi="Arial" w:cs="Arial"/>
          <w:sz w:val="24"/>
          <w:szCs w:val="24"/>
        </w:rPr>
        <w:t>Incorporation</w:t>
      </w:r>
      <w:r w:rsidR="005F6F34" w:rsidRPr="00BD0CDC">
        <w:rPr>
          <w:rFonts w:ascii="Arial" w:hAnsi="Arial" w:cs="Arial"/>
          <w:sz w:val="24"/>
          <w:szCs w:val="24"/>
        </w:rPr>
        <w:t xml:space="preserve">) (Scotland) Bill, once brought into force, </w:t>
      </w:r>
      <w:r w:rsidR="003C7DB1" w:rsidRPr="00BD0CDC">
        <w:rPr>
          <w:rFonts w:ascii="Arial" w:hAnsi="Arial" w:cs="Arial"/>
          <w:sz w:val="24"/>
          <w:szCs w:val="24"/>
        </w:rPr>
        <w:t>will make it unlawful for public authorities to act incompatibly with the incorporated UNCRC requirements, giving children, young people and their representatives the power to go to court to enforce their rights.</w:t>
      </w:r>
    </w:p>
    <w:p w14:paraId="0FEA12B9" w14:textId="7B11E8FC" w:rsidR="00786BDA" w:rsidRPr="00BD0CDC" w:rsidRDefault="003C7DB1" w:rsidP="00EF5E55">
      <w:pPr>
        <w:rPr>
          <w:rFonts w:ascii="Arial" w:hAnsi="Arial" w:cs="Arial"/>
          <w:sz w:val="24"/>
          <w:szCs w:val="24"/>
        </w:rPr>
      </w:pPr>
      <w:r w:rsidRPr="000702C6">
        <w:rPr>
          <w:rFonts w:ascii="Arial" w:hAnsi="Arial" w:cs="Arial"/>
          <w:sz w:val="24"/>
          <w:szCs w:val="24"/>
        </w:rPr>
        <w:t xml:space="preserve">We are </w:t>
      </w:r>
      <w:r w:rsidR="00775672" w:rsidRPr="000702C6">
        <w:rPr>
          <w:rFonts w:ascii="Arial" w:hAnsi="Arial" w:cs="Arial"/>
          <w:sz w:val="24"/>
          <w:szCs w:val="24"/>
        </w:rPr>
        <w:t xml:space="preserve">concerned that this will create a two-tier system </w:t>
      </w:r>
      <w:r w:rsidR="00CA1E45" w:rsidRPr="000702C6">
        <w:rPr>
          <w:rFonts w:ascii="Arial" w:hAnsi="Arial" w:cs="Arial"/>
          <w:sz w:val="24"/>
          <w:szCs w:val="24"/>
        </w:rPr>
        <w:t xml:space="preserve">in Scotland </w:t>
      </w:r>
      <w:r w:rsidR="00775672" w:rsidRPr="000702C6">
        <w:rPr>
          <w:rFonts w:ascii="Arial" w:hAnsi="Arial" w:cs="Arial"/>
          <w:sz w:val="24"/>
          <w:szCs w:val="24"/>
        </w:rPr>
        <w:t xml:space="preserve">whereby ECHR </w:t>
      </w:r>
      <w:r w:rsidR="00582D66" w:rsidRPr="000702C6">
        <w:rPr>
          <w:rFonts w:ascii="Arial" w:hAnsi="Arial" w:cs="Arial"/>
          <w:sz w:val="24"/>
          <w:szCs w:val="24"/>
        </w:rPr>
        <w:t xml:space="preserve">rights will be subject to weaker enforcement </w:t>
      </w:r>
      <w:r w:rsidR="00E97088" w:rsidRPr="000702C6">
        <w:rPr>
          <w:rFonts w:ascii="Arial" w:hAnsi="Arial" w:cs="Arial"/>
          <w:sz w:val="24"/>
          <w:szCs w:val="24"/>
        </w:rPr>
        <w:t>mechanisms than UNCRC rights</w:t>
      </w:r>
      <w:r w:rsidR="00826545" w:rsidRPr="000702C6">
        <w:rPr>
          <w:rFonts w:ascii="Arial" w:hAnsi="Arial" w:cs="Arial"/>
          <w:sz w:val="24"/>
          <w:szCs w:val="24"/>
        </w:rPr>
        <w:t>.</w:t>
      </w:r>
      <w:r w:rsidR="00826545">
        <w:rPr>
          <w:rFonts w:ascii="Arial" w:hAnsi="Arial" w:cs="Arial"/>
          <w:sz w:val="24"/>
          <w:szCs w:val="24"/>
        </w:rPr>
        <w:t xml:space="preserve"> </w:t>
      </w:r>
    </w:p>
    <w:p w14:paraId="05A2A51F" w14:textId="346B4B40" w:rsidR="00EF5E55" w:rsidRPr="00BD0CDC" w:rsidRDefault="00FA75D5" w:rsidP="008735B6">
      <w:pPr>
        <w:rPr>
          <w:rFonts w:ascii="Arial" w:hAnsi="Arial" w:cs="Arial"/>
          <w:sz w:val="24"/>
          <w:szCs w:val="24"/>
        </w:rPr>
      </w:pPr>
      <w:r w:rsidRPr="00BD0CDC">
        <w:rPr>
          <w:rFonts w:ascii="Arial" w:hAnsi="Arial" w:cs="Arial"/>
          <w:sz w:val="24"/>
          <w:szCs w:val="24"/>
        </w:rPr>
        <w:lastRenderedPageBreak/>
        <w:t>We recognise that there is no clear consensus as to the extent to which human rights are a devolved matter.</w:t>
      </w:r>
      <w:r w:rsidRPr="00BD0CDC">
        <w:rPr>
          <w:rStyle w:val="FootnoteReference"/>
          <w:rFonts w:ascii="Arial" w:hAnsi="Arial" w:cs="Arial"/>
          <w:sz w:val="24"/>
          <w:szCs w:val="24"/>
        </w:rPr>
        <w:footnoteReference w:id="23"/>
      </w:r>
      <w:r w:rsidR="006664D6" w:rsidRPr="00BD0CDC">
        <w:rPr>
          <w:rFonts w:ascii="Arial" w:hAnsi="Arial" w:cs="Arial"/>
          <w:sz w:val="24"/>
          <w:szCs w:val="24"/>
        </w:rPr>
        <w:t xml:space="preserve"> </w:t>
      </w:r>
      <w:r w:rsidR="00DE2CF2">
        <w:rPr>
          <w:rFonts w:ascii="Arial" w:hAnsi="Arial" w:cs="Arial"/>
          <w:sz w:val="24"/>
          <w:szCs w:val="24"/>
        </w:rPr>
        <w:t>Para 7</w:t>
      </w:r>
      <w:r w:rsidR="00CB1A38">
        <w:rPr>
          <w:rFonts w:ascii="Arial" w:hAnsi="Arial" w:cs="Arial"/>
          <w:sz w:val="24"/>
          <w:szCs w:val="24"/>
        </w:rPr>
        <w:t>(2)</w:t>
      </w:r>
      <w:r w:rsidR="00DE2CF2">
        <w:rPr>
          <w:rFonts w:ascii="Arial" w:hAnsi="Arial" w:cs="Arial"/>
          <w:sz w:val="24"/>
          <w:szCs w:val="24"/>
        </w:rPr>
        <w:t xml:space="preserve"> of Schedule 5 to the Scotland Act makes clear that the observation and implementation of human rights are excepted from reservation, and </w:t>
      </w:r>
      <w:r w:rsidR="006664D6" w:rsidRPr="00BD0CDC">
        <w:rPr>
          <w:rFonts w:ascii="Arial" w:hAnsi="Arial" w:cs="Arial"/>
          <w:sz w:val="24"/>
          <w:szCs w:val="24"/>
        </w:rPr>
        <w:t xml:space="preserve"> it is widely accepted that the observation and implementation of the ECHR is a specifically devolved matter.</w:t>
      </w:r>
      <w:r w:rsidR="00167C07" w:rsidRPr="00BD0CDC">
        <w:rPr>
          <w:rStyle w:val="FootnoteReference"/>
          <w:rFonts w:ascii="Arial" w:hAnsi="Arial" w:cs="Arial"/>
          <w:sz w:val="24"/>
          <w:szCs w:val="24"/>
        </w:rPr>
        <w:footnoteReference w:id="24"/>
      </w:r>
      <w:r w:rsidR="002D6EF5" w:rsidRPr="00BD0CDC">
        <w:rPr>
          <w:rFonts w:ascii="Arial" w:hAnsi="Arial" w:cs="Arial"/>
          <w:sz w:val="24"/>
          <w:szCs w:val="24"/>
        </w:rPr>
        <w:t xml:space="preserve"> We note that the consultation document does not address what conversations, if any, have already been had with the Scottish Government</w:t>
      </w:r>
      <w:r w:rsidR="00130703" w:rsidRPr="00BD0CDC">
        <w:rPr>
          <w:rFonts w:ascii="Arial" w:hAnsi="Arial" w:cs="Arial"/>
          <w:sz w:val="24"/>
          <w:szCs w:val="24"/>
        </w:rPr>
        <w:t xml:space="preserve"> on reform of the Human Rights Act</w:t>
      </w:r>
      <w:r w:rsidR="00DB6808" w:rsidRPr="00BD0CDC">
        <w:rPr>
          <w:rFonts w:ascii="Arial" w:hAnsi="Arial" w:cs="Arial"/>
          <w:sz w:val="24"/>
          <w:szCs w:val="24"/>
        </w:rPr>
        <w:t xml:space="preserve">. </w:t>
      </w:r>
      <w:r w:rsidR="00447C13" w:rsidRPr="00BD0CDC">
        <w:rPr>
          <w:rFonts w:ascii="Arial" w:hAnsi="Arial" w:cs="Arial"/>
          <w:sz w:val="24"/>
          <w:szCs w:val="24"/>
        </w:rPr>
        <w:t xml:space="preserve">The issue of whether legislative consent will be sought is also not addressed. </w:t>
      </w:r>
    </w:p>
    <w:p w14:paraId="5273BDA5" w14:textId="0DDDB971" w:rsidR="00583658" w:rsidRDefault="00583658" w:rsidP="0C788A5D">
      <w:pPr>
        <w:rPr>
          <w:rFonts w:ascii="Arial" w:hAnsi="Arial" w:cs="Arial"/>
          <w:sz w:val="24"/>
          <w:szCs w:val="24"/>
        </w:rPr>
      </w:pPr>
      <w:r>
        <w:rPr>
          <w:rFonts w:ascii="Arial" w:hAnsi="Arial" w:cs="Arial"/>
          <w:sz w:val="24"/>
          <w:szCs w:val="24"/>
          <w:u w:val="single"/>
        </w:rPr>
        <w:t xml:space="preserve">Positions of the Scottish and Welsh Governments </w:t>
      </w:r>
    </w:p>
    <w:p w14:paraId="1ECDEC48" w14:textId="6AF52675" w:rsidR="0C788A5D" w:rsidRDefault="0C788A5D" w:rsidP="0C788A5D">
      <w:pPr>
        <w:rPr>
          <w:rFonts w:ascii="Arial" w:hAnsi="Arial" w:cs="Arial"/>
          <w:sz w:val="24"/>
          <w:szCs w:val="24"/>
        </w:rPr>
      </w:pPr>
      <w:r w:rsidRPr="0C788A5D">
        <w:rPr>
          <w:rFonts w:ascii="Arial" w:hAnsi="Arial" w:cs="Arial"/>
          <w:sz w:val="24"/>
          <w:szCs w:val="24"/>
        </w:rPr>
        <w:t xml:space="preserve">It is clear </w:t>
      </w:r>
      <w:r w:rsidR="003C54D3" w:rsidRPr="0C788A5D">
        <w:rPr>
          <w:rFonts w:ascii="Arial" w:hAnsi="Arial" w:cs="Arial"/>
          <w:sz w:val="24"/>
          <w:szCs w:val="24"/>
        </w:rPr>
        <w:t>from their joint statement published on 2nd March 2022</w:t>
      </w:r>
      <w:r w:rsidR="003C54D3">
        <w:rPr>
          <w:rFonts w:ascii="Arial" w:hAnsi="Arial" w:cs="Arial"/>
          <w:sz w:val="24"/>
          <w:szCs w:val="24"/>
        </w:rPr>
        <w:t xml:space="preserve"> </w:t>
      </w:r>
      <w:r w:rsidRPr="0C788A5D">
        <w:rPr>
          <w:rFonts w:ascii="Arial" w:hAnsi="Arial" w:cs="Arial"/>
          <w:sz w:val="24"/>
          <w:szCs w:val="24"/>
        </w:rPr>
        <w:t xml:space="preserve">that the Welsh and Scottish Governments strongly object to these proposals in their </w:t>
      </w:r>
      <w:r w:rsidR="003C54D3" w:rsidRPr="0C788A5D">
        <w:rPr>
          <w:rFonts w:ascii="Arial" w:hAnsi="Arial" w:cs="Arial"/>
          <w:sz w:val="24"/>
          <w:szCs w:val="24"/>
        </w:rPr>
        <w:t>entirety.</w:t>
      </w:r>
      <w:r w:rsidRPr="0C788A5D">
        <w:rPr>
          <w:rStyle w:val="FootnoteReference"/>
          <w:rFonts w:ascii="Arial" w:hAnsi="Arial" w:cs="Arial"/>
          <w:sz w:val="24"/>
          <w:szCs w:val="24"/>
        </w:rPr>
        <w:footnoteReference w:id="25"/>
      </w:r>
    </w:p>
    <w:p w14:paraId="3FF79780" w14:textId="75E1501E" w:rsidR="0C788A5D" w:rsidRDefault="0C788A5D" w:rsidP="0C788A5D">
      <w:pPr>
        <w:rPr>
          <w:rFonts w:ascii="Arial" w:hAnsi="Arial" w:cs="Arial"/>
          <w:sz w:val="24"/>
          <w:szCs w:val="24"/>
        </w:rPr>
      </w:pPr>
      <w:r w:rsidRPr="0C788A5D">
        <w:rPr>
          <w:rFonts w:ascii="Arial" w:hAnsi="Arial" w:cs="Arial"/>
          <w:sz w:val="24"/>
          <w:szCs w:val="24"/>
        </w:rPr>
        <w:t xml:space="preserve">They are critical of the UK Government for not listening to evidence from civil society and the legal </w:t>
      </w:r>
      <w:r w:rsidR="003833D6" w:rsidRPr="0C788A5D">
        <w:rPr>
          <w:rFonts w:ascii="Arial" w:hAnsi="Arial" w:cs="Arial"/>
          <w:sz w:val="24"/>
          <w:szCs w:val="24"/>
        </w:rPr>
        <w:t>profession and</w:t>
      </w:r>
      <w:r w:rsidRPr="0C788A5D">
        <w:rPr>
          <w:rFonts w:ascii="Arial" w:hAnsi="Arial" w:cs="Arial"/>
          <w:sz w:val="24"/>
          <w:szCs w:val="24"/>
        </w:rPr>
        <w:t xml:space="preserve"> taking forward these proposals when the Independent Review of Human Rights found “no good case for making significant changes”.</w:t>
      </w:r>
    </w:p>
    <w:p w14:paraId="34C90767" w14:textId="1332A24E" w:rsidR="0C788A5D" w:rsidRDefault="0C788A5D" w:rsidP="0C788A5D">
      <w:pPr>
        <w:rPr>
          <w:rFonts w:ascii="Arial" w:hAnsi="Arial" w:cs="Arial"/>
          <w:sz w:val="24"/>
          <w:szCs w:val="24"/>
        </w:rPr>
      </w:pPr>
      <w:r w:rsidRPr="0C788A5D">
        <w:rPr>
          <w:rFonts w:ascii="Arial" w:hAnsi="Arial" w:cs="Arial"/>
          <w:sz w:val="24"/>
          <w:szCs w:val="24"/>
        </w:rPr>
        <w:t xml:space="preserve">As the Children’s Commissioners for Scotland, Wales and Northern Ireland, we </w:t>
      </w:r>
      <w:r w:rsidR="007F4F28">
        <w:rPr>
          <w:rFonts w:ascii="Arial" w:hAnsi="Arial" w:cs="Arial"/>
          <w:sz w:val="24"/>
          <w:szCs w:val="24"/>
        </w:rPr>
        <w:t>a</w:t>
      </w:r>
      <w:r w:rsidRPr="0C788A5D">
        <w:rPr>
          <w:rFonts w:ascii="Arial" w:hAnsi="Arial" w:cs="Arial"/>
          <w:sz w:val="24"/>
          <w:szCs w:val="24"/>
        </w:rPr>
        <w:t>gree with the Welsh and Scottish Governments’ “grave and deep-seated concerns in relation to both the current proposals and the UK Government’s longer-term direction of travel</w:t>
      </w:r>
      <w:r w:rsidR="00B6449E">
        <w:rPr>
          <w:rFonts w:ascii="Arial" w:hAnsi="Arial" w:cs="Arial"/>
          <w:sz w:val="24"/>
          <w:szCs w:val="24"/>
        </w:rPr>
        <w:t>”</w:t>
      </w:r>
      <w:r w:rsidRPr="0C788A5D">
        <w:rPr>
          <w:rFonts w:ascii="Arial" w:hAnsi="Arial" w:cs="Arial"/>
          <w:sz w:val="24"/>
          <w:szCs w:val="24"/>
        </w:rPr>
        <w:t>.</w:t>
      </w:r>
    </w:p>
    <w:p w14:paraId="28C5889D" w14:textId="0A28CC5B" w:rsidR="0C788A5D" w:rsidRDefault="0C788A5D" w:rsidP="0C788A5D">
      <w:pPr>
        <w:rPr>
          <w:rFonts w:ascii="Arial" w:hAnsi="Arial" w:cs="Arial"/>
          <w:sz w:val="24"/>
          <w:szCs w:val="24"/>
        </w:rPr>
      </w:pPr>
      <w:r w:rsidRPr="0C788A5D">
        <w:rPr>
          <w:rFonts w:ascii="Arial" w:hAnsi="Arial" w:cs="Arial"/>
          <w:sz w:val="24"/>
          <w:szCs w:val="24"/>
        </w:rPr>
        <w:t xml:space="preserve">We also agree with the following statement that “the proposals for a ‘modern Bill of Rights’ are both unwelcome and unnecessary. We are </w:t>
      </w:r>
      <w:r w:rsidR="004C410F" w:rsidRPr="0C788A5D">
        <w:rPr>
          <w:rFonts w:ascii="Arial" w:hAnsi="Arial" w:cs="Arial"/>
          <w:sz w:val="24"/>
          <w:szCs w:val="24"/>
        </w:rPr>
        <w:t>clear</w:t>
      </w:r>
      <w:r w:rsidRPr="0C788A5D">
        <w:rPr>
          <w:rFonts w:ascii="Arial" w:hAnsi="Arial" w:cs="Arial"/>
          <w:sz w:val="24"/>
          <w:szCs w:val="24"/>
        </w:rPr>
        <w:t xml:space="preserve"> that the interests of people in Scotland</w:t>
      </w:r>
      <w:r w:rsidR="003833D6">
        <w:rPr>
          <w:rFonts w:ascii="Arial" w:hAnsi="Arial" w:cs="Arial"/>
          <w:sz w:val="24"/>
          <w:szCs w:val="24"/>
        </w:rPr>
        <w:t xml:space="preserve">, </w:t>
      </w:r>
      <w:r w:rsidRPr="0C788A5D">
        <w:rPr>
          <w:rFonts w:ascii="Arial" w:hAnsi="Arial" w:cs="Arial"/>
          <w:sz w:val="24"/>
          <w:szCs w:val="24"/>
        </w:rPr>
        <w:t>Wales</w:t>
      </w:r>
      <w:r w:rsidR="003833D6">
        <w:rPr>
          <w:rFonts w:ascii="Arial" w:hAnsi="Arial" w:cs="Arial"/>
          <w:sz w:val="24"/>
          <w:szCs w:val="24"/>
        </w:rPr>
        <w:t xml:space="preserve"> and Northern Ireland</w:t>
      </w:r>
      <w:r w:rsidRPr="0C788A5D">
        <w:rPr>
          <w:rFonts w:ascii="Arial" w:hAnsi="Arial" w:cs="Arial"/>
          <w:sz w:val="24"/>
          <w:szCs w:val="24"/>
        </w:rPr>
        <w:t xml:space="preserve"> are best protected by retaining the Human Rights Act in its current form</w:t>
      </w:r>
      <w:r w:rsidR="00F54EEF">
        <w:rPr>
          <w:rFonts w:ascii="Arial" w:hAnsi="Arial" w:cs="Arial"/>
          <w:sz w:val="24"/>
          <w:szCs w:val="24"/>
        </w:rPr>
        <w:t>.</w:t>
      </w:r>
    </w:p>
    <w:p w14:paraId="39B2BC53" w14:textId="1A17A488" w:rsidR="008735B6" w:rsidRPr="00BD0CDC" w:rsidRDefault="005B5642" w:rsidP="008735B6">
      <w:pPr>
        <w:rPr>
          <w:rFonts w:ascii="Arial" w:hAnsi="Arial" w:cs="Arial"/>
          <w:b/>
          <w:bCs/>
          <w:sz w:val="24"/>
          <w:szCs w:val="24"/>
        </w:rPr>
      </w:pPr>
      <w:r w:rsidRPr="00BD0CDC">
        <w:rPr>
          <w:rFonts w:ascii="Arial" w:hAnsi="Arial" w:cs="Arial"/>
          <w:b/>
          <w:bCs/>
          <w:sz w:val="24"/>
          <w:szCs w:val="24"/>
        </w:rPr>
        <w:t>Section 2</w:t>
      </w:r>
      <w:r w:rsidR="0067546C" w:rsidRPr="00BD0CDC">
        <w:rPr>
          <w:rFonts w:ascii="Arial" w:hAnsi="Arial" w:cs="Arial"/>
          <w:b/>
          <w:bCs/>
          <w:sz w:val="24"/>
          <w:szCs w:val="24"/>
        </w:rPr>
        <w:t xml:space="preserve">: </w:t>
      </w:r>
      <w:r w:rsidR="005E31C1" w:rsidRPr="00BD0CDC">
        <w:rPr>
          <w:rFonts w:ascii="Arial" w:hAnsi="Arial" w:cs="Arial"/>
          <w:b/>
          <w:bCs/>
          <w:sz w:val="24"/>
          <w:szCs w:val="24"/>
        </w:rPr>
        <w:t xml:space="preserve">the </w:t>
      </w:r>
      <w:r w:rsidR="0067546C" w:rsidRPr="00BD0CDC">
        <w:rPr>
          <w:rFonts w:ascii="Arial" w:hAnsi="Arial" w:cs="Arial"/>
          <w:b/>
          <w:bCs/>
          <w:sz w:val="24"/>
          <w:szCs w:val="24"/>
        </w:rPr>
        <w:t xml:space="preserve">relationship between domestic courts and the European Court of Human Rights </w:t>
      </w:r>
    </w:p>
    <w:p w14:paraId="62C6E4BF" w14:textId="7B37A93D" w:rsidR="000C2DAF" w:rsidRPr="00BD0CDC" w:rsidRDefault="00A54540" w:rsidP="00A54540">
      <w:pPr>
        <w:rPr>
          <w:rFonts w:ascii="Arial" w:hAnsi="Arial" w:cs="Arial"/>
          <w:sz w:val="24"/>
          <w:szCs w:val="24"/>
        </w:rPr>
      </w:pPr>
      <w:r w:rsidRPr="00BD0CDC">
        <w:rPr>
          <w:rFonts w:ascii="Arial" w:hAnsi="Arial" w:cs="Arial"/>
          <w:sz w:val="24"/>
          <w:szCs w:val="24"/>
        </w:rPr>
        <w:t xml:space="preserve">The proposals to amend Section 2 </w:t>
      </w:r>
      <w:r w:rsidR="00312198">
        <w:rPr>
          <w:rFonts w:ascii="Arial" w:hAnsi="Arial" w:cs="Arial"/>
          <w:sz w:val="24"/>
          <w:szCs w:val="24"/>
        </w:rPr>
        <w:t>of the Human Rights Act</w:t>
      </w:r>
      <w:r w:rsidR="00312198" w:rsidRPr="00BD0CDC">
        <w:rPr>
          <w:rFonts w:ascii="Arial" w:hAnsi="Arial" w:cs="Arial"/>
          <w:sz w:val="24"/>
          <w:szCs w:val="24"/>
        </w:rPr>
        <w:t xml:space="preserve"> </w:t>
      </w:r>
      <w:r w:rsidRPr="00BD0CDC">
        <w:rPr>
          <w:rFonts w:ascii="Arial" w:hAnsi="Arial" w:cs="Arial"/>
          <w:sz w:val="24"/>
          <w:szCs w:val="24"/>
        </w:rPr>
        <w:t>and to assert that the UK Supreme Court is the ‘ultimate judicial arbiter’ of the implementation of human rights in the UK risks weak</w:t>
      </w:r>
      <w:r w:rsidR="00130703" w:rsidRPr="00BD0CDC">
        <w:rPr>
          <w:rFonts w:ascii="Arial" w:hAnsi="Arial" w:cs="Arial"/>
          <w:sz w:val="24"/>
          <w:szCs w:val="24"/>
        </w:rPr>
        <w:t>en</w:t>
      </w:r>
      <w:r w:rsidRPr="00BD0CDC">
        <w:rPr>
          <w:rFonts w:ascii="Arial" w:hAnsi="Arial" w:cs="Arial"/>
          <w:sz w:val="24"/>
          <w:szCs w:val="24"/>
        </w:rPr>
        <w:t xml:space="preserve">ing our commitment to international law. As a founding member of the Council of Europe, it will also </w:t>
      </w:r>
      <w:r w:rsidR="000C2DAF" w:rsidRPr="00BD0CDC">
        <w:rPr>
          <w:rFonts w:ascii="Arial" w:hAnsi="Arial" w:cs="Arial"/>
          <w:sz w:val="24"/>
          <w:szCs w:val="24"/>
        </w:rPr>
        <w:t xml:space="preserve">have </w:t>
      </w:r>
      <w:r w:rsidRPr="00BD0CDC">
        <w:rPr>
          <w:rFonts w:ascii="Arial" w:hAnsi="Arial" w:cs="Arial"/>
          <w:sz w:val="24"/>
          <w:szCs w:val="24"/>
        </w:rPr>
        <w:t>a negative impact on the collective respect for and enforcement of ECHR rights by Council of Europe member states. We agree with Lord Carnwarth that the proposals are entirely at odds with the stated aim of the Bill of Rights to “continue to respect the UK’s international obligations as a party to the Convention”.</w:t>
      </w:r>
      <w:r w:rsidR="006B050E" w:rsidRPr="00BD0CDC">
        <w:rPr>
          <w:rStyle w:val="FootnoteReference"/>
          <w:rFonts w:ascii="Arial" w:hAnsi="Arial" w:cs="Arial"/>
          <w:sz w:val="24"/>
          <w:szCs w:val="24"/>
        </w:rPr>
        <w:footnoteReference w:id="26"/>
      </w:r>
    </w:p>
    <w:p w14:paraId="3E5C8EFC" w14:textId="2D397759" w:rsidR="002C3A75" w:rsidRPr="00BD0CDC" w:rsidRDefault="00A54540" w:rsidP="00A54540">
      <w:pPr>
        <w:rPr>
          <w:rFonts w:ascii="Arial" w:hAnsi="Arial" w:cs="Arial"/>
          <w:sz w:val="24"/>
          <w:szCs w:val="24"/>
        </w:rPr>
      </w:pPr>
      <w:r w:rsidRPr="00BD0CDC">
        <w:rPr>
          <w:rFonts w:ascii="Arial" w:hAnsi="Arial" w:cs="Arial"/>
          <w:sz w:val="24"/>
          <w:szCs w:val="24"/>
        </w:rPr>
        <w:lastRenderedPageBreak/>
        <w:t>In any case, we consider that the rationale underlying the proposals, namely that Section 2 gives rise to legal uncertainty and promote</w:t>
      </w:r>
      <w:r w:rsidR="00783760" w:rsidRPr="00BD0CDC">
        <w:rPr>
          <w:rFonts w:ascii="Arial" w:hAnsi="Arial" w:cs="Arial"/>
          <w:sz w:val="24"/>
          <w:szCs w:val="24"/>
        </w:rPr>
        <w:t>s</w:t>
      </w:r>
      <w:r w:rsidRPr="00BD0CDC">
        <w:rPr>
          <w:rFonts w:ascii="Arial" w:hAnsi="Arial" w:cs="Arial"/>
          <w:sz w:val="24"/>
          <w:szCs w:val="24"/>
        </w:rPr>
        <w:t xml:space="preserve"> an over-reliance on the Strasbourg case law, misrepresents the </w:t>
      </w:r>
      <w:r w:rsidR="00783760" w:rsidRPr="00BD0CDC">
        <w:rPr>
          <w:rFonts w:ascii="Arial" w:hAnsi="Arial" w:cs="Arial"/>
          <w:sz w:val="24"/>
          <w:szCs w:val="24"/>
        </w:rPr>
        <w:t xml:space="preserve">relationship between the </w:t>
      </w:r>
      <w:r w:rsidR="00E90AED" w:rsidRPr="00BD0CDC">
        <w:rPr>
          <w:rFonts w:ascii="Arial" w:hAnsi="Arial" w:cs="Arial"/>
          <w:sz w:val="24"/>
          <w:szCs w:val="24"/>
        </w:rPr>
        <w:t xml:space="preserve">UK </w:t>
      </w:r>
      <w:r w:rsidRPr="00BD0CDC">
        <w:rPr>
          <w:rFonts w:ascii="Arial" w:hAnsi="Arial" w:cs="Arial"/>
          <w:sz w:val="24"/>
          <w:szCs w:val="24"/>
        </w:rPr>
        <w:t>Supreme Court</w:t>
      </w:r>
      <w:r w:rsidR="00783760" w:rsidRPr="00BD0CDC">
        <w:rPr>
          <w:rFonts w:ascii="Arial" w:hAnsi="Arial" w:cs="Arial"/>
          <w:sz w:val="24"/>
          <w:szCs w:val="24"/>
        </w:rPr>
        <w:t xml:space="preserve"> and the E</w:t>
      </w:r>
      <w:r w:rsidR="008A28F7" w:rsidRPr="00BD0CDC">
        <w:rPr>
          <w:rFonts w:ascii="Arial" w:hAnsi="Arial" w:cs="Arial"/>
          <w:sz w:val="24"/>
          <w:szCs w:val="24"/>
        </w:rPr>
        <w:t>CtHR</w:t>
      </w:r>
      <w:r w:rsidRPr="00BD0CDC">
        <w:rPr>
          <w:rFonts w:ascii="Arial" w:hAnsi="Arial" w:cs="Arial"/>
          <w:sz w:val="24"/>
          <w:szCs w:val="24"/>
        </w:rPr>
        <w:t xml:space="preserve">. In this respect, we draw attention to the evidence of </w:t>
      </w:r>
      <w:r w:rsidR="00FC6805" w:rsidRPr="00BD0CDC">
        <w:rPr>
          <w:rFonts w:ascii="Arial" w:hAnsi="Arial" w:cs="Arial"/>
          <w:sz w:val="24"/>
          <w:szCs w:val="24"/>
        </w:rPr>
        <w:t>Baroness Hale of Richmond</w:t>
      </w:r>
      <w:r w:rsidR="00D8775F" w:rsidRPr="00BD0CDC">
        <w:rPr>
          <w:rStyle w:val="FootnoteReference"/>
          <w:rFonts w:ascii="Arial" w:hAnsi="Arial" w:cs="Arial"/>
          <w:sz w:val="24"/>
          <w:szCs w:val="24"/>
        </w:rPr>
        <w:footnoteReference w:id="27"/>
      </w:r>
      <w:r w:rsidRPr="00BD0CDC">
        <w:rPr>
          <w:rFonts w:ascii="Arial" w:hAnsi="Arial" w:cs="Arial"/>
          <w:sz w:val="24"/>
          <w:szCs w:val="24"/>
        </w:rPr>
        <w:t xml:space="preserve"> (former President of the Supreme Court) and Judge Eicke and Judge Spano</w:t>
      </w:r>
      <w:r w:rsidR="00193367" w:rsidRPr="00BD0CDC">
        <w:rPr>
          <w:rStyle w:val="FootnoteReference"/>
          <w:rFonts w:ascii="Arial" w:hAnsi="Arial" w:cs="Arial"/>
          <w:sz w:val="24"/>
          <w:szCs w:val="24"/>
        </w:rPr>
        <w:footnoteReference w:id="28"/>
      </w:r>
      <w:r w:rsidRPr="00BD0CDC">
        <w:rPr>
          <w:rFonts w:ascii="Arial" w:hAnsi="Arial" w:cs="Arial"/>
          <w:sz w:val="24"/>
          <w:szCs w:val="24"/>
        </w:rPr>
        <w:t xml:space="preserve"> (current judges of the European Court of Human Rights</w:t>
      </w:r>
      <w:r w:rsidR="00D8775F" w:rsidRPr="00BD0CDC">
        <w:rPr>
          <w:rFonts w:ascii="Arial" w:hAnsi="Arial" w:cs="Arial"/>
          <w:sz w:val="24"/>
          <w:szCs w:val="24"/>
        </w:rPr>
        <w:t>) to the Joint Committee on Human Rights</w:t>
      </w:r>
      <w:r w:rsidRPr="00BD0CDC">
        <w:rPr>
          <w:rFonts w:ascii="Arial" w:hAnsi="Arial" w:cs="Arial"/>
          <w:sz w:val="24"/>
          <w:szCs w:val="24"/>
        </w:rPr>
        <w:t xml:space="preserve">. </w:t>
      </w:r>
      <w:r w:rsidR="00577318" w:rsidRPr="00BD0CDC">
        <w:rPr>
          <w:rFonts w:ascii="Arial" w:hAnsi="Arial" w:cs="Arial"/>
          <w:sz w:val="24"/>
          <w:szCs w:val="24"/>
        </w:rPr>
        <w:t xml:space="preserve">Their evidence </w:t>
      </w:r>
      <w:r w:rsidR="000F09FE" w:rsidRPr="00BD0CDC">
        <w:rPr>
          <w:rFonts w:ascii="Arial" w:hAnsi="Arial" w:cs="Arial"/>
          <w:sz w:val="24"/>
          <w:szCs w:val="24"/>
        </w:rPr>
        <w:t>demonstrates</w:t>
      </w:r>
      <w:r w:rsidR="00577318" w:rsidRPr="00BD0CDC">
        <w:rPr>
          <w:rFonts w:ascii="Arial" w:hAnsi="Arial" w:cs="Arial"/>
          <w:sz w:val="24"/>
          <w:szCs w:val="24"/>
        </w:rPr>
        <w:t xml:space="preserve"> that </w:t>
      </w:r>
      <w:r w:rsidRPr="00BD0CDC">
        <w:rPr>
          <w:rFonts w:ascii="Arial" w:hAnsi="Arial" w:cs="Arial"/>
          <w:sz w:val="24"/>
          <w:szCs w:val="24"/>
        </w:rPr>
        <w:t xml:space="preserve">informal and formal judicial dialogue </w:t>
      </w:r>
      <w:r w:rsidR="00577318" w:rsidRPr="00BD0CDC">
        <w:rPr>
          <w:rFonts w:ascii="Arial" w:hAnsi="Arial" w:cs="Arial"/>
          <w:sz w:val="24"/>
          <w:szCs w:val="24"/>
        </w:rPr>
        <w:t xml:space="preserve">between the two courts </w:t>
      </w:r>
      <w:r w:rsidRPr="00BD0CDC">
        <w:rPr>
          <w:rFonts w:ascii="Arial" w:hAnsi="Arial" w:cs="Arial"/>
          <w:sz w:val="24"/>
          <w:szCs w:val="24"/>
        </w:rPr>
        <w:t xml:space="preserve">is working well. In particular, the operation of </w:t>
      </w:r>
      <w:r w:rsidR="00577318" w:rsidRPr="00BD0CDC">
        <w:rPr>
          <w:rFonts w:ascii="Arial" w:hAnsi="Arial" w:cs="Arial"/>
          <w:sz w:val="24"/>
          <w:szCs w:val="24"/>
        </w:rPr>
        <w:t>S</w:t>
      </w:r>
      <w:r w:rsidRPr="00BD0CDC">
        <w:rPr>
          <w:rFonts w:ascii="Arial" w:hAnsi="Arial" w:cs="Arial"/>
          <w:sz w:val="24"/>
          <w:szCs w:val="24"/>
        </w:rPr>
        <w:t>ection 2 clearly allows for very healthy state of judicial dialogue in the form of judgments</w:t>
      </w:r>
      <w:r w:rsidR="00826545">
        <w:rPr>
          <w:rFonts w:ascii="Arial" w:hAnsi="Arial" w:cs="Arial"/>
          <w:sz w:val="24"/>
          <w:szCs w:val="24"/>
        </w:rPr>
        <w:t xml:space="preserve">. </w:t>
      </w:r>
    </w:p>
    <w:p w14:paraId="14C9DB5B" w14:textId="7556884B" w:rsidR="00EC5A90" w:rsidRPr="00BD0CDC" w:rsidRDefault="001D113B" w:rsidP="00A54540">
      <w:pPr>
        <w:rPr>
          <w:rFonts w:ascii="Arial" w:hAnsi="Arial" w:cs="Arial"/>
          <w:sz w:val="24"/>
          <w:szCs w:val="24"/>
        </w:rPr>
      </w:pPr>
      <w:r w:rsidRPr="00BD0CDC">
        <w:rPr>
          <w:rFonts w:ascii="Arial" w:hAnsi="Arial" w:cs="Arial"/>
          <w:sz w:val="24"/>
          <w:szCs w:val="24"/>
        </w:rPr>
        <w:t>We are concerned that the proposals risk</w:t>
      </w:r>
      <w:r w:rsidR="00A54540" w:rsidRPr="00BD0CDC">
        <w:rPr>
          <w:rFonts w:ascii="Arial" w:hAnsi="Arial" w:cs="Arial"/>
          <w:sz w:val="24"/>
          <w:szCs w:val="24"/>
        </w:rPr>
        <w:t xml:space="preserve"> destabilis</w:t>
      </w:r>
      <w:r w:rsidRPr="00BD0CDC">
        <w:rPr>
          <w:rFonts w:ascii="Arial" w:hAnsi="Arial" w:cs="Arial"/>
          <w:sz w:val="24"/>
          <w:szCs w:val="24"/>
        </w:rPr>
        <w:t>ing the</w:t>
      </w:r>
      <w:r w:rsidR="00A54540" w:rsidRPr="00BD0CDC">
        <w:rPr>
          <w:rFonts w:ascii="Arial" w:hAnsi="Arial" w:cs="Arial"/>
          <w:sz w:val="24"/>
          <w:szCs w:val="24"/>
        </w:rPr>
        <w:t xml:space="preserve"> relationship between the Supreme Court and the European Court of Human Rights. </w:t>
      </w:r>
    </w:p>
    <w:p w14:paraId="3B7AE8F1" w14:textId="3AB34932" w:rsidR="0C788A5D" w:rsidRDefault="0C788A5D" w:rsidP="0C788A5D">
      <w:pPr>
        <w:spacing w:line="257" w:lineRule="auto"/>
        <w:rPr>
          <w:rFonts w:ascii="Arial" w:eastAsia="Arial" w:hAnsi="Arial" w:cs="Arial"/>
          <w:b/>
          <w:bCs/>
          <w:sz w:val="24"/>
          <w:szCs w:val="24"/>
          <w:lang w:val="en-US"/>
        </w:rPr>
      </w:pPr>
      <w:r w:rsidRPr="0C788A5D">
        <w:rPr>
          <w:rFonts w:ascii="Arial" w:eastAsia="Arial" w:hAnsi="Arial" w:cs="Arial"/>
          <w:b/>
          <w:bCs/>
          <w:sz w:val="24"/>
          <w:szCs w:val="24"/>
          <w:lang w:val="en-US"/>
        </w:rPr>
        <w:t>Incorporation of Treaty bodies</w:t>
      </w:r>
    </w:p>
    <w:p w14:paraId="180BFA51" w14:textId="75DFB948"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 xml:space="preserve">Due to the lack of full incorporation of the UNCRC into domestic law in the UK, it is usual for </w:t>
      </w:r>
      <w:r w:rsidR="00995B35">
        <w:rPr>
          <w:rFonts w:ascii="Arial" w:eastAsia="Arial" w:hAnsi="Arial" w:cs="Arial"/>
          <w:sz w:val="24"/>
          <w:szCs w:val="24"/>
          <w:lang w:val="en-US"/>
        </w:rPr>
        <w:t>children</w:t>
      </w:r>
      <w:r w:rsidR="00543308">
        <w:rPr>
          <w:rFonts w:ascii="Arial" w:eastAsia="Arial" w:hAnsi="Arial" w:cs="Arial"/>
          <w:sz w:val="24"/>
          <w:szCs w:val="24"/>
          <w:lang w:val="en-US"/>
        </w:rPr>
        <w:t>’s</w:t>
      </w:r>
      <w:r w:rsidR="00995B35" w:rsidRPr="0C788A5D">
        <w:rPr>
          <w:rFonts w:ascii="Arial" w:eastAsia="Arial" w:hAnsi="Arial" w:cs="Arial"/>
          <w:sz w:val="24"/>
          <w:szCs w:val="24"/>
          <w:lang w:val="en-US"/>
        </w:rPr>
        <w:t xml:space="preserve"> </w:t>
      </w:r>
      <w:r w:rsidRPr="0C788A5D">
        <w:rPr>
          <w:rFonts w:ascii="Arial" w:eastAsia="Arial" w:hAnsi="Arial" w:cs="Arial"/>
          <w:sz w:val="24"/>
          <w:szCs w:val="24"/>
          <w:lang w:val="en-US"/>
        </w:rPr>
        <w:t>rights claims to be brought under the Human Rights Act 1998</w:t>
      </w:r>
      <w:r w:rsidR="00826545">
        <w:rPr>
          <w:rFonts w:ascii="Arial" w:eastAsia="Arial" w:hAnsi="Arial" w:cs="Arial"/>
          <w:sz w:val="24"/>
          <w:szCs w:val="24"/>
          <w:lang w:val="en-US"/>
        </w:rPr>
        <w:t xml:space="preserve">. </w:t>
      </w:r>
      <w:r w:rsidRPr="0C788A5D">
        <w:rPr>
          <w:rFonts w:ascii="Arial" w:eastAsia="Arial" w:hAnsi="Arial" w:cs="Arial"/>
          <w:sz w:val="24"/>
          <w:szCs w:val="24"/>
          <w:lang w:val="en-US"/>
        </w:rPr>
        <w:t xml:space="preserve">The </w:t>
      </w:r>
      <w:r w:rsidR="007D1CB7">
        <w:rPr>
          <w:rFonts w:ascii="Arial" w:eastAsia="Arial" w:hAnsi="Arial" w:cs="Arial"/>
          <w:sz w:val="24"/>
          <w:szCs w:val="24"/>
          <w:lang w:val="en-US"/>
        </w:rPr>
        <w:t>Human Rights Act</w:t>
      </w:r>
      <w:r w:rsidR="007D1CB7" w:rsidRPr="0C788A5D">
        <w:rPr>
          <w:rFonts w:ascii="Arial" w:eastAsia="Arial" w:hAnsi="Arial" w:cs="Arial"/>
          <w:sz w:val="24"/>
          <w:szCs w:val="24"/>
          <w:lang w:val="en-US"/>
        </w:rPr>
        <w:t xml:space="preserve"> </w:t>
      </w:r>
      <w:r w:rsidRPr="0C788A5D">
        <w:rPr>
          <w:rFonts w:ascii="Arial" w:eastAsia="Arial" w:hAnsi="Arial" w:cs="Arial"/>
          <w:sz w:val="24"/>
          <w:szCs w:val="24"/>
          <w:lang w:val="en-US"/>
        </w:rPr>
        <w:t>directly incorporated the majority of the rights and freedoms in the ECHR, allowing UK citizens, including children and families, to seek protection of their rights through domestic courts, and also preserving the ability to go to the European Court of Human Rights thereafter if domestic remedies fail.</w:t>
      </w:r>
    </w:p>
    <w:p w14:paraId="14724B12" w14:textId="6887C068"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 xml:space="preserve">However, the ECHR </w:t>
      </w:r>
      <w:r w:rsidR="00D12F63">
        <w:rPr>
          <w:rFonts w:ascii="Arial" w:eastAsia="Arial" w:hAnsi="Arial" w:cs="Arial"/>
          <w:sz w:val="24"/>
          <w:szCs w:val="24"/>
          <w:lang w:val="en-US"/>
        </w:rPr>
        <w:t xml:space="preserve">is not </w:t>
      </w:r>
      <w:r w:rsidR="00842720">
        <w:rPr>
          <w:rFonts w:ascii="Arial" w:eastAsia="Arial" w:hAnsi="Arial" w:cs="Arial"/>
          <w:sz w:val="24"/>
          <w:szCs w:val="24"/>
          <w:lang w:val="en-US"/>
        </w:rPr>
        <w:t xml:space="preserve">a </w:t>
      </w:r>
      <w:r w:rsidR="00D12F63">
        <w:rPr>
          <w:rFonts w:ascii="Arial" w:eastAsia="Arial" w:hAnsi="Arial" w:cs="Arial"/>
          <w:sz w:val="24"/>
          <w:szCs w:val="24"/>
          <w:lang w:val="en-US"/>
        </w:rPr>
        <w:t>child-speci</w:t>
      </w:r>
      <w:r w:rsidR="00842720">
        <w:rPr>
          <w:rFonts w:ascii="Arial" w:eastAsia="Arial" w:hAnsi="Arial" w:cs="Arial"/>
          <w:sz w:val="24"/>
          <w:szCs w:val="24"/>
          <w:lang w:val="en-US"/>
        </w:rPr>
        <w:t xml:space="preserve">fic international instrument. It is therefore common to refer to </w:t>
      </w:r>
      <w:r w:rsidRPr="0C788A5D">
        <w:rPr>
          <w:rFonts w:ascii="Arial" w:eastAsia="Arial" w:hAnsi="Arial" w:cs="Arial"/>
          <w:sz w:val="24"/>
          <w:szCs w:val="24"/>
          <w:lang w:val="en-US"/>
        </w:rPr>
        <w:t xml:space="preserve">UNCRC </w:t>
      </w:r>
      <w:r w:rsidR="00842720">
        <w:rPr>
          <w:rFonts w:ascii="Arial" w:eastAsia="Arial" w:hAnsi="Arial" w:cs="Arial"/>
          <w:sz w:val="24"/>
          <w:szCs w:val="24"/>
          <w:lang w:val="en-US"/>
        </w:rPr>
        <w:t>rights in</w:t>
      </w:r>
      <w:r w:rsidRPr="0C788A5D">
        <w:rPr>
          <w:rFonts w:ascii="Arial" w:eastAsia="Arial" w:hAnsi="Arial" w:cs="Arial"/>
          <w:sz w:val="24"/>
          <w:szCs w:val="24"/>
          <w:lang w:val="en-US"/>
        </w:rPr>
        <w:t xml:space="preserve"> </w:t>
      </w:r>
      <w:r w:rsidR="0030600E">
        <w:rPr>
          <w:rFonts w:ascii="Arial" w:eastAsia="Arial" w:hAnsi="Arial" w:cs="Arial"/>
          <w:sz w:val="24"/>
          <w:szCs w:val="24"/>
          <w:lang w:val="en-US"/>
        </w:rPr>
        <w:t>Human Rights Act</w:t>
      </w:r>
      <w:r w:rsidR="0030600E" w:rsidRPr="0C788A5D">
        <w:rPr>
          <w:rFonts w:ascii="Arial" w:eastAsia="Arial" w:hAnsi="Arial" w:cs="Arial"/>
          <w:sz w:val="24"/>
          <w:szCs w:val="24"/>
          <w:lang w:val="en-US"/>
        </w:rPr>
        <w:t xml:space="preserve"> </w:t>
      </w:r>
      <w:r w:rsidRPr="0C788A5D">
        <w:rPr>
          <w:rFonts w:ascii="Arial" w:eastAsia="Arial" w:hAnsi="Arial" w:cs="Arial"/>
          <w:sz w:val="24"/>
          <w:szCs w:val="24"/>
          <w:lang w:val="en-US"/>
        </w:rPr>
        <w:t>proceedings</w:t>
      </w:r>
      <w:r w:rsidR="00543308">
        <w:rPr>
          <w:rFonts w:ascii="Arial" w:eastAsia="Arial" w:hAnsi="Arial" w:cs="Arial"/>
          <w:sz w:val="24"/>
          <w:szCs w:val="24"/>
          <w:lang w:val="en-US"/>
        </w:rPr>
        <w:t xml:space="preserve">. A </w:t>
      </w:r>
      <w:r w:rsidRPr="0C788A5D">
        <w:rPr>
          <w:rFonts w:ascii="Arial" w:eastAsia="Arial" w:hAnsi="Arial" w:cs="Arial"/>
          <w:sz w:val="24"/>
          <w:szCs w:val="24"/>
          <w:lang w:val="en-US"/>
        </w:rPr>
        <w:t>claim under the Human Rights Act can</w:t>
      </w:r>
      <w:r w:rsidR="00543308">
        <w:rPr>
          <w:rFonts w:ascii="Arial" w:eastAsia="Arial" w:hAnsi="Arial" w:cs="Arial"/>
          <w:sz w:val="24"/>
          <w:szCs w:val="24"/>
          <w:lang w:val="en-US"/>
        </w:rPr>
        <w:t xml:space="preserve"> </w:t>
      </w:r>
      <w:r w:rsidRPr="0C788A5D">
        <w:rPr>
          <w:rFonts w:ascii="Arial" w:eastAsia="Arial" w:hAnsi="Arial" w:cs="Arial"/>
          <w:sz w:val="24"/>
          <w:szCs w:val="24"/>
          <w:lang w:val="en-US"/>
        </w:rPr>
        <w:t xml:space="preserve">be a ‘gateway’ to introducing specific children’s rights issues. </w:t>
      </w:r>
    </w:p>
    <w:p w14:paraId="5E5AA2CB" w14:textId="3AED4727"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The European Court of Human Rights has repeatedly referred to the UNCRC in its decision-making and judgments</w:t>
      </w:r>
      <w:r w:rsidR="00543308">
        <w:rPr>
          <w:rFonts w:ascii="Arial" w:eastAsia="Arial" w:hAnsi="Arial" w:cs="Arial"/>
          <w:sz w:val="24"/>
          <w:szCs w:val="24"/>
          <w:lang w:val="en-US"/>
        </w:rPr>
        <w:t>. They have</w:t>
      </w:r>
      <w:r w:rsidRPr="0C788A5D">
        <w:rPr>
          <w:rFonts w:ascii="Arial" w:eastAsia="Arial" w:hAnsi="Arial" w:cs="Arial"/>
          <w:sz w:val="24"/>
          <w:szCs w:val="24"/>
          <w:lang w:val="en-US"/>
        </w:rPr>
        <w:t xml:space="preserve"> </w:t>
      </w:r>
      <w:r w:rsidR="00B676A4">
        <w:rPr>
          <w:rFonts w:ascii="Arial" w:eastAsia="Arial" w:hAnsi="Arial" w:cs="Arial"/>
          <w:sz w:val="24"/>
          <w:szCs w:val="24"/>
          <w:lang w:val="en-US"/>
        </w:rPr>
        <w:t>used the UNCRC</w:t>
      </w:r>
      <w:r w:rsidR="00B676A4" w:rsidRPr="0C788A5D">
        <w:rPr>
          <w:rFonts w:ascii="Arial" w:eastAsia="Arial" w:hAnsi="Arial" w:cs="Arial"/>
          <w:sz w:val="24"/>
          <w:szCs w:val="24"/>
          <w:lang w:val="en-US"/>
        </w:rPr>
        <w:t xml:space="preserve"> </w:t>
      </w:r>
      <w:r w:rsidRPr="0C788A5D">
        <w:rPr>
          <w:rFonts w:ascii="Arial" w:eastAsia="Arial" w:hAnsi="Arial" w:cs="Arial"/>
          <w:sz w:val="24"/>
          <w:szCs w:val="24"/>
          <w:lang w:val="en-US"/>
        </w:rPr>
        <w:t>to interpret children’s rights in a number of cases.</w:t>
      </w:r>
      <w:r w:rsidR="00026420" w:rsidRPr="00026420">
        <w:rPr>
          <w:rStyle w:val="FootnoteReference"/>
          <w:rFonts w:ascii="Arial" w:eastAsia="Arial" w:hAnsi="Arial" w:cs="Arial"/>
          <w:sz w:val="24"/>
          <w:szCs w:val="24"/>
          <w:lang w:val="en-US"/>
        </w:rPr>
        <w:t xml:space="preserve"> </w:t>
      </w:r>
      <w:r w:rsidR="00026420">
        <w:rPr>
          <w:rStyle w:val="FootnoteReference"/>
          <w:rFonts w:ascii="Arial" w:eastAsia="Arial" w:hAnsi="Arial" w:cs="Arial"/>
          <w:sz w:val="24"/>
          <w:szCs w:val="24"/>
          <w:lang w:val="en-US"/>
        </w:rPr>
        <w:footnoteReference w:id="29"/>
      </w:r>
      <w:r w:rsidR="00026420">
        <w:rPr>
          <w:rFonts w:ascii="Arial" w:eastAsia="Arial" w:hAnsi="Arial" w:cs="Arial"/>
          <w:sz w:val="24"/>
          <w:szCs w:val="24"/>
          <w:lang w:val="en-US"/>
        </w:rPr>
        <w:t xml:space="preserve"> </w:t>
      </w:r>
      <w:r w:rsidRPr="0C788A5D">
        <w:rPr>
          <w:rFonts w:ascii="Arial" w:eastAsia="Arial" w:hAnsi="Arial" w:cs="Arial"/>
          <w:sz w:val="24"/>
          <w:szCs w:val="24"/>
          <w:lang w:val="en-US"/>
        </w:rPr>
        <w:t xml:space="preserve">Section 2 </w:t>
      </w:r>
      <w:r w:rsidR="00FF7A14">
        <w:rPr>
          <w:rFonts w:ascii="Arial" w:eastAsia="Arial" w:hAnsi="Arial" w:cs="Arial"/>
          <w:sz w:val="24"/>
          <w:szCs w:val="24"/>
          <w:lang w:val="en-US"/>
        </w:rPr>
        <w:t>of the Human Rights Act</w:t>
      </w:r>
      <w:r w:rsidR="00FF7A14" w:rsidRPr="0C788A5D">
        <w:rPr>
          <w:rFonts w:ascii="Arial" w:eastAsia="Arial" w:hAnsi="Arial" w:cs="Arial"/>
          <w:sz w:val="24"/>
          <w:szCs w:val="24"/>
          <w:lang w:val="en-US"/>
        </w:rPr>
        <w:t xml:space="preserve"> </w:t>
      </w:r>
      <w:r w:rsidRPr="0C788A5D">
        <w:rPr>
          <w:rFonts w:ascii="Arial" w:eastAsia="Arial" w:hAnsi="Arial" w:cs="Arial"/>
          <w:sz w:val="24"/>
          <w:szCs w:val="24"/>
          <w:lang w:val="en-US"/>
        </w:rPr>
        <w:t xml:space="preserve">places a duty on UK courts to take into account jurisprudence from the European Court of Human Rights, and this is one </w:t>
      </w:r>
      <w:r w:rsidR="00FF7A14">
        <w:rPr>
          <w:rFonts w:ascii="Arial" w:eastAsia="Arial" w:hAnsi="Arial" w:cs="Arial"/>
          <w:sz w:val="24"/>
          <w:szCs w:val="24"/>
          <w:lang w:val="en-US"/>
        </w:rPr>
        <w:t xml:space="preserve">of the </w:t>
      </w:r>
      <w:r w:rsidRPr="0C788A5D">
        <w:rPr>
          <w:rFonts w:ascii="Arial" w:eastAsia="Arial" w:hAnsi="Arial" w:cs="Arial"/>
          <w:sz w:val="24"/>
          <w:szCs w:val="24"/>
          <w:lang w:val="en-US"/>
        </w:rPr>
        <w:t xml:space="preserve">key </w:t>
      </w:r>
      <w:r w:rsidR="00B676A4" w:rsidRPr="0C788A5D">
        <w:rPr>
          <w:rFonts w:ascii="Arial" w:eastAsia="Arial" w:hAnsi="Arial" w:cs="Arial"/>
          <w:sz w:val="24"/>
          <w:szCs w:val="24"/>
          <w:lang w:val="en-US"/>
        </w:rPr>
        <w:t>reasons</w:t>
      </w:r>
      <w:r w:rsidRPr="0C788A5D">
        <w:rPr>
          <w:rFonts w:ascii="Arial" w:eastAsia="Arial" w:hAnsi="Arial" w:cs="Arial"/>
          <w:sz w:val="24"/>
          <w:szCs w:val="24"/>
          <w:lang w:val="en-US"/>
        </w:rPr>
        <w:t xml:space="preserve"> why this </w:t>
      </w:r>
      <w:r w:rsidR="00FF7A14">
        <w:rPr>
          <w:rFonts w:ascii="Arial" w:eastAsia="Arial" w:hAnsi="Arial" w:cs="Arial"/>
          <w:sz w:val="24"/>
          <w:szCs w:val="24"/>
          <w:lang w:val="en-US"/>
        </w:rPr>
        <w:t>provision should be</w:t>
      </w:r>
      <w:r w:rsidRPr="0C788A5D">
        <w:rPr>
          <w:rFonts w:ascii="Arial" w:eastAsia="Arial" w:hAnsi="Arial" w:cs="Arial"/>
          <w:sz w:val="24"/>
          <w:szCs w:val="24"/>
          <w:lang w:val="en-US"/>
        </w:rPr>
        <w:t xml:space="preserve"> preserve</w:t>
      </w:r>
      <w:r w:rsidR="00FF7A14">
        <w:rPr>
          <w:rFonts w:ascii="Arial" w:eastAsia="Arial" w:hAnsi="Arial" w:cs="Arial"/>
          <w:sz w:val="24"/>
          <w:szCs w:val="24"/>
          <w:lang w:val="en-US"/>
        </w:rPr>
        <w:t>d</w:t>
      </w:r>
      <w:r w:rsidRPr="0C788A5D">
        <w:rPr>
          <w:rFonts w:ascii="Arial" w:eastAsia="Arial" w:hAnsi="Arial" w:cs="Arial"/>
          <w:sz w:val="24"/>
          <w:szCs w:val="24"/>
          <w:lang w:val="en-US"/>
        </w:rPr>
        <w:t>.</w:t>
      </w:r>
    </w:p>
    <w:p w14:paraId="3C08E15B" w14:textId="49BB8559" w:rsidR="00481FFE" w:rsidRDefault="00481FFE" w:rsidP="0C788A5D">
      <w:pPr>
        <w:spacing w:line="257" w:lineRule="auto"/>
        <w:rPr>
          <w:rFonts w:ascii="Arial" w:eastAsia="Arial" w:hAnsi="Arial" w:cs="Arial"/>
          <w:sz w:val="24"/>
          <w:szCs w:val="24"/>
          <w:lang w:val="en-US"/>
        </w:rPr>
      </w:pPr>
      <w:r>
        <w:rPr>
          <w:rFonts w:ascii="Arial" w:eastAsia="Arial" w:hAnsi="Arial" w:cs="Arial"/>
          <w:sz w:val="24"/>
          <w:szCs w:val="24"/>
          <w:lang w:val="en-US"/>
        </w:rPr>
        <w:t>We have set out below several cases where national courts have relied upon the UNCRC</w:t>
      </w:r>
      <w:r w:rsidR="0018202C">
        <w:rPr>
          <w:rFonts w:ascii="Arial" w:eastAsia="Arial" w:hAnsi="Arial" w:cs="Arial"/>
          <w:sz w:val="24"/>
          <w:szCs w:val="24"/>
          <w:lang w:val="en-US"/>
        </w:rPr>
        <w:t xml:space="preserve"> in proceedings brought under the Human Rights Act</w:t>
      </w:r>
      <w:r w:rsidR="006B08E7">
        <w:rPr>
          <w:rFonts w:ascii="Arial" w:eastAsia="Arial" w:hAnsi="Arial" w:cs="Arial"/>
          <w:sz w:val="24"/>
          <w:szCs w:val="24"/>
          <w:lang w:val="en-US"/>
        </w:rPr>
        <w:t xml:space="preserve">. </w:t>
      </w:r>
    </w:p>
    <w:p w14:paraId="738D4BB6" w14:textId="4D32DCD4" w:rsidR="00A960BF" w:rsidRPr="00AE3C32" w:rsidRDefault="000969D0" w:rsidP="0C788A5D">
      <w:pPr>
        <w:spacing w:line="257" w:lineRule="auto"/>
        <w:rPr>
          <w:rFonts w:ascii="Arial" w:eastAsia="Arial" w:hAnsi="Arial" w:cs="Arial"/>
          <w:sz w:val="24"/>
          <w:szCs w:val="24"/>
          <w:u w:val="single"/>
          <w:lang w:val="en-US"/>
        </w:rPr>
      </w:pPr>
      <w:r>
        <w:rPr>
          <w:rFonts w:ascii="Arial" w:eastAsia="Arial" w:hAnsi="Arial" w:cs="Arial"/>
          <w:sz w:val="24"/>
          <w:szCs w:val="24"/>
          <w:u w:val="single"/>
          <w:lang w:val="en-US"/>
        </w:rPr>
        <w:t>Case studies</w:t>
      </w:r>
      <w:r w:rsidR="00F04CDC">
        <w:rPr>
          <w:rFonts w:ascii="Arial" w:eastAsia="Arial" w:hAnsi="Arial" w:cs="Arial"/>
          <w:sz w:val="24"/>
          <w:szCs w:val="24"/>
          <w:u w:val="single"/>
          <w:lang w:val="en-US"/>
        </w:rPr>
        <w:t xml:space="preserve"> </w:t>
      </w:r>
    </w:p>
    <w:p w14:paraId="4ABB85B5" w14:textId="1335A418"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In R (Williamson) v Secretary of State for Education</w:t>
      </w:r>
      <w:r w:rsidRPr="0C788A5D">
        <w:rPr>
          <w:rStyle w:val="FootnoteReference"/>
          <w:rFonts w:ascii="Arial" w:eastAsia="Arial" w:hAnsi="Arial" w:cs="Arial"/>
          <w:sz w:val="24"/>
          <w:szCs w:val="24"/>
          <w:lang w:val="en-US"/>
        </w:rPr>
        <w:footnoteReference w:id="30"/>
      </w:r>
      <w:r w:rsidRPr="0C788A5D">
        <w:rPr>
          <w:rFonts w:ascii="Arial" w:eastAsia="Arial" w:hAnsi="Arial" w:cs="Arial"/>
          <w:sz w:val="24"/>
          <w:szCs w:val="24"/>
          <w:lang w:val="en-US"/>
        </w:rPr>
        <w:t xml:space="preserve">, Baroness Hale referred to commentary by the UN Committee on the Rights of the Child. In that case teachers and parents from four independent Christian schools challenged the legal prohibition </w:t>
      </w:r>
      <w:r w:rsidRPr="0C788A5D">
        <w:rPr>
          <w:rFonts w:ascii="Arial" w:eastAsia="Arial" w:hAnsi="Arial" w:cs="Arial"/>
          <w:sz w:val="24"/>
          <w:szCs w:val="24"/>
          <w:lang w:val="en-US"/>
        </w:rPr>
        <w:lastRenderedPageBreak/>
        <w:t>on corporal punishment in schools as being incompatible with</w:t>
      </w:r>
      <w:r w:rsidRPr="0C788A5D">
        <w:rPr>
          <w:rFonts w:ascii="Arial" w:eastAsia="Arial" w:hAnsi="Arial" w:cs="Arial"/>
          <w:i/>
          <w:iCs/>
          <w:sz w:val="24"/>
          <w:szCs w:val="24"/>
          <w:lang w:val="en-US"/>
        </w:rPr>
        <w:t xml:space="preserve"> </w:t>
      </w:r>
      <w:r w:rsidRPr="006B08E7">
        <w:rPr>
          <w:rFonts w:ascii="Arial" w:eastAsia="Arial" w:hAnsi="Arial" w:cs="Arial"/>
          <w:sz w:val="24"/>
          <w:szCs w:val="24"/>
          <w:u w:val="single"/>
          <w:lang w:val="en-US"/>
        </w:rPr>
        <w:t>their</w:t>
      </w:r>
      <w:r w:rsidRPr="0C788A5D">
        <w:rPr>
          <w:rFonts w:ascii="Arial" w:eastAsia="Arial" w:hAnsi="Arial" w:cs="Arial"/>
          <w:sz w:val="24"/>
          <w:szCs w:val="24"/>
          <w:lang w:val="en-US"/>
        </w:rPr>
        <w:t xml:space="preserve"> rights under the ECHR, specifically their right to manifest their religion guaranteed under Article 9 ECHR and their right to have their children educated according to their philosophical convictions under Article 2 of the First Protocol. Their application failed in the High Court, the Court of Appeal and in the House of Lords.</w:t>
      </w:r>
    </w:p>
    <w:p w14:paraId="1AFB64A2" w14:textId="2910F72E"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Baroness Hale referred to the UN Committee’s concerns and recommendations relating to the UK’s failure to protect children from all corporal punishment in education settings, following its first review of the UK in 1995. Following the second review, in 2002, the UN Committee welcomed the abolition of corporal punishment in all schools, which was noted by Baroness Hale.</w:t>
      </w:r>
    </w:p>
    <w:p w14:paraId="0CED647D" w14:textId="08AAB775" w:rsidR="0C788A5D" w:rsidRDefault="0C788A5D" w:rsidP="0C788A5D">
      <w:pPr>
        <w:rPr>
          <w:rFonts w:ascii="Arial" w:eastAsia="Arial" w:hAnsi="Arial" w:cs="Arial"/>
          <w:sz w:val="24"/>
          <w:szCs w:val="24"/>
          <w:lang w:val="en-US"/>
        </w:rPr>
      </w:pPr>
      <w:r w:rsidRPr="0C788A5D">
        <w:rPr>
          <w:rFonts w:ascii="Arial" w:eastAsia="Arial" w:hAnsi="Arial" w:cs="Arial"/>
          <w:sz w:val="24"/>
          <w:szCs w:val="24"/>
        </w:rPr>
        <w:t xml:space="preserve">The </w:t>
      </w:r>
      <w:r w:rsidRPr="001B5DDB">
        <w:rPr>
          <w:rFonts w:ascii="Arial" w:eastAsia="Arial" w:hAnsi="Arial" w:cs="Arial"/>
          <w:sz w:val="24"/>
          <w:szCs w:val="24"/>
        </w:rPr>
        <w:t>case of ZH (Tanzania)</w:t>
      </w:r>
      <w:r w:rsidRPr="001B5DDB">
        <w:rPr>
          <w:rStyle w:val="FootnoteReference"/>
          <w:rFonts w:ascii="Arial" w:eastAsia="Arial" w:hAnsi="Arial" w:cs="Arial"/>
          <w:sz w:val="24"/>
          <w:szCs w:val="24"/>
        </w:rPr>
        <w:footnoteReference w:id="31"/>
      </w:r>
      <w:r w:rsidRPr="0C788A5D">
        <w:rPr>
          <w:rFonts w:ascii="Arial" w:eastAsia="Arial" w:hAnsi="Arial" w:cs="Arial"/>
          <w:i/>
          <w:iCs/>
          <w:sz w:val="24"/>
          <w:szCs w:val="24"/>
        </w:rPr>
        <w:t xml:space="preserve"> </w:t>
      </w:r>
      <w:r w:rsidRPr="0C788A5D">
        <w:rPr>
          <w:rFonts w:ascii="Arial" w:eastAsia="Arial" w:hAnsi="Arial" w:cs="Arial"/>
          <w:sz w:val="24"/>
          <w:szCs w:val="24"/>
        </w:rPr>
        <w:t xml:space="preserve">highlights how the requirement to give primary consideration to the best interests of the child under the UNCRC has been successfully advanced in a case. The central issue in this case was the best interests of children where a decision was taken to deport a parent. The case involved the deportation from the UK to Tanzania of a mother of two children. The children were both born in the UK and were not subject to immigration proceedings. Their mother’s deportation would inevitably </w:t>
      </w:r>
      <w:r w:rsidRPr="0C788A5D">
        <w:rPr>
          <w:rFonts w:ascii="Arial" w:eastAsia="Arial" w:hAnsi="Arial" w:cs="Arial"/>
          <w:sz w:val="24"/>
          <w:szCs w:val="24"/>
          <w:lang w:val="en-US"/>
        </w:rPr>
        <w:t>mean the children would also be forced to leave the UK with her. The court also considered what would happen if the children had to remain in the UK with their father.</w:t>
      </w:r>
    </w:p>
    <w:p w14:paraId="6239023F" w14:textId="46E7467F" w:rsidR="0C788A5D" w:rsidRDefault="0C788A5D" w:rsidP="0C788A5D">
      <w:pPr>
        <w:rPr>
          <w:rFonts w:ascii="Arial" w:eastAsia="Arial" w:hAnsi="Arial" w:cs="Arial"/>
          <w:sz w:val="24"/>
          <w:szCs w:val="24"/>
          <w:lang w:val="en-US"/>
        </w:rPr>
      </w:pPr>
      <w:r w:rsidRPr="0C788A5D">
        <w:rPr>
          <w:rFonts w:ascii="Arial" w:eastAsia="Arial" w:hAnsi="Arial" w:cs="Arial"/>
          <w:sz w:val="24"/>
          <w:szCs w:val="24"/>
          <w:lang w:val="en-US"/>
        </w:rPr>
        <w:t xml:space="preserve">The Asylum and Immigration Tribunal and the Court of Appeal had both held that the children could reasonably be expected to follow their mother to Tanzania. The children’s father was diagnosed with HIV; he was living on disability allowance; residing with his parents and new partner; and was reported to be consuming a large amount of alcohol. Despite these facts, the Tribunal felt that there would not necessarily be any practical difficulties if the children were to live with their father, or indeed for the father to visit the children in Tanzania. The Court of Appeal said that the Tribunal’s finding that the children could live with their father was susceptible to criticism as having no rational basis, but nevertheless upheld the Tribunal’s decision that the children could reasonably be expected to follow their mother to Tanzania. </w:t>
      </w:r>
    </w:p>
    <w:p w14:paraId="3CB2F643" w14:textId="0BD50F53"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The decision before the Supreme Court on appeal from the Court of Appeal was around whether deportation of the mother would infringe the right to respect for the family life of each parent and of the two children under Article 8 ECHR and, if so, whether this could be properly justified by the immigration authorities.</w:t>
      </w:r>
    </w:p>
    <w:p w14:paraId="0A1DF0D0" w14:textId="5665230A"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The judgment contains a lengthy consideration of international human rights provisions and specifically the UNCRC, stating that in this case, the most relevant national and international obligation is contained in Article 3(1) UNCRC. As Baroness Hale explained:</w:t>
      </w:r>
    </w:p>
    <w:p w14:paraId="0E47F91D" w14:textId="69C798AB" w:rsidR="0C788A5D" w:rsidRPr="00AE3C32" w:rsidRDefault="00D42ECA" w:rsidP="00AE3C32">
      <w:pPr>
        <w:spacing w:line="257" w:lineRule="auto"/>
        <w:ind w:left="720"/>
        <w:rPr>
          <w:rFonts w:ascii="Arial" w:eastAsia="Arial" w:hAnsi="Arial" w:cs="Arial"/>
          <w:sz w:val="24"/>
          <w:szCs w:val="24"/>
          <w:lang w:val="en-US"/>
        </w:rPr>
      </w:pPr>
      <w:r>
        <w:rPr>
          <w:rFonts w:ascii="Arial" w:eastAsia="Arial" w:hAnsi="Arial" w:cs="Arial"/>
          <w:sz w:val="24"/>
          <w:szCs w:val="24"/>
          <w:lang w:val="en-US"/>
        </w:rPr>
        <w:t>“</w:t>
      </w:r>
      <w:r w:rsidR="0C788A5D" w:rsidRPr="00AE3C32">
        <w:rPr>
          <w:rFonts w:ascii="Arial" w:eastAsia="Arial" w:hAnsi="Arial" w:cs="Arial"/>
          <w:sz w:val="24"/>
          <w:szCs w:val="24"/>
          <w:lang w:val="en-US"/>
        </w:rPr>
        <w:t xml:space="preserve">This is a binding obligation in international law, and the spirit, if not the precise language, has also been translated into our national law. Section 11 of the Children Act 2004 places a duty ... to carry out their functions having </w:t>
      </w:r>
      <w:r w:rsidR="0C788A5D" w:rsidRPr="00AE3C32">
        <w:rPr>
          <w:rFonts w:ascii="Arial" w:eastAsia="Arial" w:hAnsi="Arial" w:cs="Arial"/>
          <w:sz w:val="24"/>
          <w:szCs w:val="24"/>
          <w:lang w:val="en-US"/>
        </w:rPr>
        <w:lastRenderedPageBreak/>
        <w:t>regard to the need to safeguard and promote the welfare of children. The immigration authorities were at first excused from this duty, because the United Kingdom had entered a general reservation to the UNCRC concerning immigration matters. But that reservation was lifted in 2008 and, as a result, section 55 of the Borders, Citizenship and Immigration Act 2009 now provides that, in relation among other things to immigration, asylum or nationality, the Secretary of State must make arrangements for ensuring that those functions are discharged having regard to the need to safeguard and promote the welfare of children who are in the United Kingdom.</w:t>
      </w:r>
      <w:r>
        <w:rPr>
          <w:rFonts w:ascii="Arial" w:eastAsia="Arial" w:hAnsi="Arial" w:cs="Arial"/>
          <w:sz w:val="24"/>
          <w:szCs w:val="24"/>
          <w:lang w:val="en-US"/>
        </w:rPr>
        <w:t>”</w:t>
      </w:r>
    </w:p>
    <w:p w14:paraId="5A5BA06C" w14:textId="28F615E1"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 xml:space="preserve">Baroness Hale further stated that the jurisprudence of the European Court of Human Rights makes it clear that the Court will expect national authorities to apply Article 3(1) of the UNCRC and treat the best interests of the child as a primary consideration. </w:t>
      </w:r>
    </w:p>
    <w:p w14:paraId="72888900" w14:textId="0AD019E9"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 xml:space="preserve">The Supreme Court considered a number of factors, including the children’s education in the UK, their social links and positive relationship with their father. It also considered the children’s citizenship and in that context referred to the UNCRC (Articles 7 and 8). The court concluded that, in making a proportionality assessment under Article 8 </w:t>
      </w:r>
      <w:r w:rsidR="00DE1E86">
        <w:rPr>
          <w:rFonts w:ascii="Arial" w:eastAsia="Arial" w:hAnsi="Arial" w:cs="Arial"/>
          <w:sz w:val="24"/>
          <w:szCs w:val="24"/>
          <w:lang w:val="en-US"/>
        </w:rPr>
        <w:t>ECHR</w:t>
      </w:r>
      <w:r w:rsidRPr="0C788A5D">
        <w:rPr>
          <w:rFonts w:ascii="Arial" w:eastAsia="Arial" w:hAnsi="Arial" w:cs="Arial"/>
          <w:sz w:val="24"/>
          <w:szCs w:val="24"/>
          <w:lang w:val="en-US"/>
        </w:rPr>
        <w:t>, the best interests of the child must be a primary consideration, meaning it must be considered first, albeit it may be that the strength of other considerations outweighs the best interests of the child.</w:t>
      </w:r>
    </w:p>
    <w:p w14:paraId="6A9FC626" w14:textId="5753A305"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 xml:space="preserve">It was vital that the claim could be brought under ECHR rights, thus allowing the UNCRC rights to also be read within the court’s considerations. In addition, in this case the </w:t>
      </w:r>
      <w:r w:rsidR="00E42FBF" w:rsidRPr="0C788A5D">
        <w:rPr>
          <w:rFonts w:ascii="Arial" w:eastAsia="Arial" w:hAnsi="Arial" w:cs="Arial"/>
          <w:sz w:val="24"/>
          <w:szCs w:val="24"/>
          <w:lang w:val="en-US"/>
        </w:rPr>
        <w:t>mother</w:t>
      </w:r>
      <w:r w:rsidRPr="0C788A5D">
        <w:rPr>
          <w:rFonts w:ascii="Arial" w:eastAsia="Arial" w:hAnsi="Arial" w:cs="Arial"/>
          <w:sz w:val="24"/>
          <w:szCs w:val="24"/>
          <w:lang w:val="en-US"/>
        </w:rPr>
        <w:t xml:space="preserve"> </w:t>
      </w:r>
      <w:r w:rsidRPr="0C788A5D">
        <w:rPr>
          <w:rFonts w:ascii="Arial" w:eastAsia="Arial" w:hAnsi="Arial" w:cs="Arial"/>
          <w:sz w:val="24"/>
          <w:szCs w:val="24"/>
        </w:rPr>
        <w:t xml:space="preserve">had made three unsuccessful claims for asylum, one in her own identity and two in false identities. </w:t>
      </w:r>
      <w:r w:rsidR="00E42FBF">
        <w:rPr>
          <w:rFonts w:ascii="Arial" w:eastAsia="Arial" w:hAnsi="Arial" w:cs="Arial"/>
          <w:sz w:val="24"/>
          <w:szCs w:val="24"/>
        </w:rPr>
        <w:t xml:space="preserve">The </w:t>
      </w:r>
      <w:r w:rsidR="00E42FBF">
        <w:rPr>
          <w:rFonts w:ascii="Arial" w:eastAsia="Arial" w:hAnsi="Arial" w:cs="Arial"/>
          <w:sz w:val="24"/>
          <w:szCs w:val="24"/>
          <w:lang w:val="en-US"/>
        </w:rPr>
        <w:t>m</w:t>
      </w:r>
      <w:r w:rsidRPr="0C788A5D">
        <w:rPr>
          <w:rFonts w:ascii="Arial" w:eastAsia="Arial" w:hAnsi="Arial" w:cs="Arial"/>
          <w:sz w:val="24"/>
          <w:szCs w:val="24"/>
          <w:lang w:val="en-US"/>
        </w:rPr>
        <w:t xml:space="preserve">other’s behaviour in this case may have prevented a claim from being brought on behalf of the children who were British citizens and had done nothing to deserve their rights being curtailed, in accordance with this consultation’s proposals. A claim may have been prevented from being brought on the basis of </w:t>
      </w:r>
      <w:r w:rsidR="002937DB">
        <w:rPr>
          <w:rFonts w:ascii="Arial" w:eastAsia="Arial" w:hAnsi="Arial" w:cs="Arial"/>
          <w:sz w:val="24"/>
          <w:szCs w:val="24"/>
          <w:lang w:val="en-US"/>
        </w:rPr>
        <w:t>the m</w:t>
      </w:r>
      <w:r w:rsidRPr="0C788A5D">
        <w:rPr>
          <w:rFonts w:ascii="Arial" w:eastAsia="Arial" w:hAnsi="Arial" w:cs="Arial"/>
          <w:sz w:val="24"/>
          <w:szCs w:val="24"/>
          <w:lang w:val="en-US"/>
        </w:rPr>
        <w:t>other’s conduct and “responsibilities”; it is vital to note how this would have had a significant and detrimental impact on the children and may have prevented the remedy that was granted and/or even prevented the case from being brought in the first place.</w:t>
      </w:r>
    </w:p>
    <w:p w14:paraId="32A592D3" w14:textId="34929595"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Murray v Express Newspapers plc and another</w:t>
      </w:r>
      <w:r w:rsidRPr="0C788A5D">
        <w:rPr>
          <w:rStyle w:val="FootnoteReference"/>
          <w:rFonts w:ascii="Arial" w:eastAsia="Arial" w:hAnsi="Arial" w:cs="Arial"/>
          <w:sz w:val="24"/>
          <w:szCs w:val="24"/>
          <w:lang w:val="en-US"/>
        </w:rPr>
        <w:footnoteReference w:id="32"/>
      </w:r>
      <w:r w:rsidR="00F75AEA">
        <w:rPr>
          <w:rFonts w:ascii="Arial" w:eastAsia="Arial" w:hAnsi="Arial" w:cs="Arial"/>
          <w:sz w:val="24"/>
          <w:szCs w:val="24"/>
          <w:lang w:val="en-US"/>
        </w:rPr>
        <w:t xml:space="preserve"> concerned an </w:t>
      </w:r>
      <w:r w:rsidR="00165116">
        <w:rPr>
          <w:rFonts w:ascii="Arial" w:eastAsia="Arial" w:hAnsi="Arial" w:cs="Arial"/>
          <w:sz w:val="24"/>
          <w:szCs w:val="24"/>
          <w:lang w:val="en-US"/>
        </w:rPr>
        <w:t>A</w:t>
      </w:r>
      <w:r w:rsidR="00F75AEA">
        <w:rPr>
          <w:rFonts w:ascii="Arial" w:eastAsia="Arial" w:hAnsi="Arial" w:cs="Arial"/>
          <w:sz w:val="24"/>
          <w:szCs w:val="24"/>
          <w:lang w:val="en-US"/>
        </w:rPr>
        <w:t>rticle 8 ECHR claim brought by t</w:t>
      </w:r>
      <w:r w:rsidRPr="0C788A5D">
        <w:rPr>
          <w:rFonts w:ascii="Arial" w:eastAsia="Arial" w:hAnsi="Arial" w:cs="Arial"/>
          <w:sz w:val="24"/>
          <w:szCs w:val="24"/>
          <w:lang w:val="en-US"/>
        </w:rPr>
        <w:t xml:space="preserve">he </w:t>
      </w:r>
      <w:r w:rsidR="00165116" w:rsidRPr="0C788A5D">
        <w:rPr>
          <w:rFonts w:ascii="Arial" w:eastAsia="Arial" w:hAnsi="Arial" w:cs="Arial"/>
          <w:sz w:val="24"/>
          <w:szCs w:val="24"/>
          <w:lang w:val="en-US"/>
        </w:rPr>
        <w:t>author J. K. Rowling</w:t>
      </w:r>
      <w:r w:rsidR="00C06BC5">
        <w:rPr>
          <w:rFonts w:ascii="Arial" w:eastAsia="Arial" w:hAnsi="Arial" w:cs="Arial"/>
          <w:sz w:val="24"/>
          <w:szCs w:val="24"/>
          <w:lang w:val="en-US"/>
        </w:rPr>
        <w:t xml:space="preserve"> </w:t>
      </w:r>
      <w:r w:rsidR="00446150">
        <w:rPr>
          <w:rFonts w:ascii="Arial" w:eastAsia="Arial" w:hAnsi="Arial" w:cs="Arial"/>
          <w:sz w:val="24"/>
          <w:szCs w:val="24"/>
          <w:lang w:val="en-US"/>
        </w:rPr>
        <w:t xml:space="preserve">against the defendants, who had </w:t>
      </w:r>
      <w:r w:rsidRPr="0C788A5D">
        <w:rPr>
          <w:rFonts w:ascii="Arial" w:eastAsia="Arial" w:hAnsi="Arial" w:cs="Arial"/>
          <w:sz w:val="24"/>
          <w:szCs w:val="24"/>
          <w:lang w:val="en-US"/>
        </w:rPr>
        <w:t xml:space="preserve">published a photograph of </w:t>
      </w:r>
      <w:r w:rsidR="00446150">
        <w:rPr>
          <w:rFonts w:ascii="Arial" w:eastAsia="Arial" w:hAnsi="Arial" w:cs="Arial"/>
          <w:sz w:val="24"/>
          <w:szCs w:val="24"/>
          <w:lang w:val="en-US"/>
        </w:rPr>
        <w:t xml:space="preserve">her </w:t>
      </w:r>
      <w:r w:rsidR="00B240D9" w:rsidRPr="0C788A5D">
        <w:rPr>
          <w:rFonts w:ascii="Arial" w:eastAsia="Arial" w:hAnsi="Arial" w:cs="Arial"/>
          <w:sz w:val="24"/>
          <w:szCs w:val="24"/>
          <w:lang w:val="en-US"/>
        </w:rPr>
        <w:t>19 month-old son</w:t>
      </w:r>
      <w:r w:rsidR="00446150">
        <w:rPr>
          <w:rFonts w:ascii="Arial" w:eastAsia="Arial" w:hAnsi="Arial" w:cs="Arial"/>
          <w:sz w:val="24"/>
          <w:szCs w:val="24"/>
          <w:lang w:val="en-US"/>
        </w:rPr>
        <w:t>.</w:t>
      </w:r>
      <w:r w:rsidR="00446150" w:rsidRPr="0C788A5D">
        <w:rPr>
          <w:rFonts w:ascii="Arial" w:eastAsia="Arial" w:hAnsi="Arial" w:cs="Arial"/>
          <w:sz w:val="24"/>
          <w:szCs w:val="24"/>
          <w:lang w:val="en-US"/>
        </w:rPr>
        <w:t xml:space="preserve"> </w:t>
      </w:r>
      <w:r w:rsidRPr="0C788A5D">
        <w:rPr>
          <w:rFonts w:ascii="Arial" w:eastAsia="Arial" w:hAnsi="Arial" w:cs="Arial"/>
          <w:sz w:val="24"/>
          <w:szCs w:val="24"/>
          <w:lang w:val="en-US"/>
        </w:rPr>
        <w:t>It was argued on the child’s behalf that he had a right to privacy under Article 8 ECHR. The Court of Appeal considered Article 16 UNCRC in its deliberations, and its emphasis on the need to protect the child from unlawful interference with privacy, family or home. In ruling that a child’s right to respect for his private life under Article 8 ECHR may, in some cases, outweigh a publisher’s right to freedom of expression under Article 10 ECHR</w:t>
      </w:r>
      <w:r w:rsidR="003209A1">
        <w:rPr>
          <w:rFonts w:ascii="Arial" w:eastAsia="Arial" w:hAnsi="Arial" w:cs="Arial"/>
          <w:sz w:val="24"/>
          <w:szCs w:val="24"/>
          <w:lang w:val="en-US"/>
        </w:rPr>
        <w:t>, the court said</w:t>
      </w:r>
      <w:r w:rsidRPr="0C788A5D">
        <w:rPr>
          <w:rFonts w:ascii="Arial" w:eastAsia="Arial" w:hAnsi="Arial" w:cs="Arial"/>
          <w:sz w:val="24"/>
          <w:szCs w:val="24"/>
          <w:lang w:val="en-US"/>
        </w:rPr>
        <w:t>:</w:t>
      </w:r>
    </w:p>
    <w:p w14:paraId="007DD8BD" w14:textId="238A49BD" w:rsidR="0C788A5D" w:rsidRPr="00AE3C32" w:rsidRDefault="003209A1" w:rsidP="00AE3C32">
      <w:pPr>
        <w:spacing w:line="257" w:lineRule="auto"/>
        <w:ind w:left="720"/>
        <w:rPr>
          <w:rFonts w:ascii="Arial" w:eastAsia="Arial" w:hAnsi="Arial" w:cs="Arial"/>
          <w:sz w:val="24"/>
          <w:szCs w:val="24"/>
          <w:lang w:val="en-US"/>
        </w:rPr>
      </w:pPr>
      <w:r>
        <w:rPr>
          <w:rFonts w:ascii="Arial" w:eastAsia="Arial" w:hAnsi="Arial" w:cs="Arial"/>
          <w:sz w:val="24"/>
          <w:szCs w:val="24"/>
          <w:lang w:val="en-US"/>
        </w:rPr>
        <w:t>“</w:t>
      </w:r>
      <w:r w:rsidR="0C788A5D" w:rsidRPr="00AE3C32">
        <w:rPr>
          <w:rFonts w:ascii="Arial" w:eastAsia="Arial" w:hAnsi="Arial" w:cs="Arial"/>
          <w:sz w:val="24"/>
          <w:szCs w:val="24"/>
          <w:lang w:val="en-US"/>
        </w:rPr>
        <w:t xml:space="preserve">… In our opinion it is at least arguable that [child’s name] had a reasonable expectation of privacy. The fact that he is a child is in our view of greater </w:t>
      </w:r>
      <w:r w:rsidR="0C788A5D" w:rsidRPr="00AE3C32">
        <w:rPr>
          <w:rFonts w:ascii="Arial" w:eastAsia="Arial" w:hAnsi="Arial" w:cs="Arial"/>
          <w:sz w:val="24"/>
          <w:szCs w:val="24"/>
          <w:lang w:val="en-US"/>
        </w:rPr>
        <w:lastRenderedPageBreak/>
        <w:t>significance than the judge thought. The courts have recognised the importance of the rights of children in many different contexts and so too has the international community … and the United Nations Convention on the Rights of the Child, to which the United Kingdom is a party.</w:t>
      </w:r>
      <w:r>
        <w:rPr>
          <w:rFonts w:ascii="Arial" w:eastAsia="Arial" w:hAnsi="Arial" w:cs="Arial"/>
          <w:sz w:val="24"/>
          <w:szCs w:val="24"/>
          <w:lang w:val="en-US"/>
        </w:rPr>
        <w:t>”</w:t>
      </w:r>
    </w:p>
    <w:p w14:paraId="48B21B12" w14:textId="587FBC99"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 xml:space="preserve">This case demonstrates how children are reliant on others to protect their rights when they are too young to do this themselves; it is therefore important that the ability to pursue claims on behalf of dependent children is preserved. The parents’ actions could have been seen to waive any privacy rights due to the </w:t>
      </w:r>
      <w:r w:rsidR="00D875BE">
        <w:rPr>
          <w:rFonts w:ascii="Arial" w:eastAsia="Arial" w:hAnsi="Arial" w:cs="Arial"/>
          <w:sz w:val="24"/>
          <w:szCs w:val="24"/>
          <w:lang w:val="en-US"/>
        </w:rPr>
        <w:t>m</w:t>
      </w:r>
      <w:r w:rsidRPr="0C788A5D">
        <w:rPr>
          <w:rFonts w:ascii="Arial" w:eastAsia="Arial" w:hAnsi="Arial" w:cs="Arial"/>
          <w:sz w:val="24"/>
          <w:szCs w:val="24"/>
          <w:lang w:val="en-US"/>
        </w:rPr>
        <w:t>other’s position of international fame and note, but this has to be treated separately from the child’s own rights.</w:t>
      </w:r>
    </w:p>
    <w:p w14:paraId="796857DA" w14:textId="7F2C2E6E" w:rsidR="0097089F" w:rsidRPr="00AE3C32" w:rsidRDefault="0097089F" w:rsidP="00AE3C32">
      <w:pPr>
        <w:jc w:val="both"/>
        <w:rPr>
          <w:rFonts w:ascii="Arial" w:hAnsi="Arial" w:cs="Arial"/>
          <w:color w:val="0D0D0D" w:themeColor="text1" w:themeTint="F2"/>
          <w:sz w:val="24"/>
          <w:szCs w:val="24"/>
        </w:rPr>
      </w:pPr>
      <w:r w:rsidRPr="00AE3C32">
        <w:rPr>
          <w:rFonts w:ascii="Arial" w:hAnsi="Arial" w:cs="Arial"/>
          <w:color w:val="0D0D0D" w:themeColor="text1" w:themeTint="F2"/>
          <w:sz w:val="24"/>
          <w:szCs w:val="24"/>
        </w:rPr>
        <w:t xml:space="preserve">In </w:t>
      </w:r>
      <w:r w:rsidR="00040D6A" w:rsidRPr="00AE3C32">
        <w:rPr>
          <w:rFonts w:ascii="Arial" w:hAnsi="Arial" w:cs="Arial"/>
          <w:color w:val="0D0D0D" w:themeColor="text1" w:themeTint="F2"/>
          <w:sz w:val="24"/>
          <w:szCs w:val="24"/>
        </w:rPr>
        <w:t>the Northern Ireland case</w:t>
      </w:r>
      <w:r w:rsidRPr="00AE3C32">
        <w:rPr>
          <w:rFonts w:ascii="Arial" w:hAnsi="Arial" w:cs="Arial"/>
          <w:color w:val="0D0D0D" w:themeColor="text1" w:themeTint="F2"/>
          <w:sz w:val="24"/>
          <w:szCs w:val="24"/>
        </w:rPr>
        <w:t xml:space="preserve"> </w:t>
      </w:r>
      <w:r w:rsidRPr="00AE3C32">
        <w:rPr>
          <w:rFonts w:ascii="Arial" w:hAnsi="Arial" w:cs="Arial"/>
          <w:i/>
          <w:color w:val="0D0D0D" w:themeColor="text1" w:themeTint="F2"/>
          <w:sz w:val="24"/>
          <w:szCs w:val="24"/>
        </w:rPr>
        <w:t>King v Sunday Newspapers Ltd</w:t>
      </w:r>
      <w:r w:rsidRPr="00AE3C32">
        <w:rPr>
          <w:rFonts w:ascii="Arial" w:hAnsi="Arial" w:cs="Arial"/>
          <w:color w:val="0D0D0D" w:themeColor="text1" w:themeTint="F2"/>
          <w:sz w:val="24"/>
          <w:szCs w:val="24"/>
        </w:rPr>
        <w:t xml:space="preserve"> 2011 NICA 8</w:t>
      </w:r>
      <w:r w:rsidR="00AA16E6">
        <w:rPr>
          <w:rFonts w:ascii="Arial" w:hAnsi="Arial" w:cs="Arial"/>
          <w:color w:val="0D0D0D" w:themeColor="text1" w:themeTint="F2"/>
          <w:sz w:val="24"/>
          <w:szCs w:val="24"/>
        </w:rPr>
        <w:t>, t</w:t>
      </w:r>
      <w:r w:rsidRPr="00AE3C32">
        <w:rPr>
          <w:rFonts w:ascii="Arial" w:hAnsi="Arial" w:cs="Arial"/>
          <w:color w:val="0D0D0D" w:themeColor="text1" w:themeTint="F2"/>
          <w:sz w:val="24"/>
          <w:szCs w:val="24"/>
        </w:rPr>
        <w:t>he Sunday World published a series of articles about the Applicant, accusing him of involvement in serious criminal activity as part of a Loyalist paramilitary group.</w:t>
      </w:r>
      <w:r w:rsidR="00AA16E6">
        <w:rPr>
          <w:rFonts w:ascii="Arial" w:hAnsi="Arial" w:cs="Arial"/>
          <w:color w:val="0D0D0D" w:themeColor="text1" w:themeTint="F2"/>
          <w:sz w:val="24"/>
          <w:szCs w:val="24"/>
        </w:rPr>
        <w:t xml:space="preserve"> </w:t>
      </w:r>
      <w:r w:rsidRPr="00AE3C32">
        <w:rPr>
          <w:rFonts w:ascii="Arial" w:hAnsi="Arial" w:cs="Arial"/>
          <w:color w:val="0D0D0D" w:themeColor="text1" w:themeTint="F2"/>
          <w:sz w:val="24"/>
          <w:szCs w:val="24"/>
        </w:rPr>
        <w:t>The paper published details of the Applicant’s address, a photograph of him with his partner, the fact that his partner was a Catholic and the baptism of their child as a Catholic. The articles also contained further information about the Applicant’s partner and her family</w:t>
      </w:r>
      <w:r w:rsidR="007D4BCC" w:rsidRPr="00AE3C32">
        <w:rPr>
          <w:rFonts w:ascii="Arial" w:hAnsi="Arial" w:cs="Arial"/>
          <w:color w:val="0D0D0D" w:themeColor="text1" w:themeTint="F2"/>
          <w:sz w:val="24"/>
          <w:szCs w:val="24"/>
        </w:rPr>
        <w:t>.</w:t>
      </w:r>
      <w:r w:rsidR="007D4BCC">
        <w:rPr>
          <w:rFonts w:ascii="Arial" w:hAnsi="Arial" w:cs="Arial"/>
          <w:color w:val="0D0D0D" w:themeColor="text1" w:themeTint="F2"/>
          <w:sz w:val="24"/>
          <w:szCs w:val="24"/>
        </w:rPr>
        <w:t xml:space="preserve"> </w:t>
      </w:r>
      <w:r w:rsidRPr="00AE3C32">
        <w:rPr>
          <w:rFonts w:ascii="Arial" w:hAnsi="Arial" w:cs="Arial"/>
          <w:color w:val="0D0D0D" w:themeColor="text1" w:themeTint="F2"/>
          <w:sz w:val="24"/>
          <w:szCs w:val="24"/>
        </w:rPr>
        <w:t>The information had been published in a way that allowed the child to become identifiable as it was the child of the Applicant and his named partner.</w:t>
      </w:r>
    </w:p>
    <w:p w14:paraId="024B9620" w14:textId="28A52FF1" w:rsidR="0097089F" w:rsidRDefault="0097089F" w:rsidP="00AE3C32">
      <w:pPr>
        <w:spacing w:after="0" w:line="240" w:lineRule="auto"/>
        <w:jc w:val="both"/>
        <w:rPr>
          <w:rFonts w:ascii="Arial" w:hAnsi="Arial" w:cs="Arial"/>
          <w:color w:val="0D0D0D" w:themeColor="text1" w:themeTint="F2"/>
          <w:sz w:val="24"/>
          <w:szCs w:val="24"/>
        </w:rPr>
      </w:pPr>
      <w:r w:rsidRPr="00AE3C32">
        <w:rPr>
          <w:rFonts w:ascii="Arial" w:hAnsi="Arial" w:cs="Arial"/>
          <w:color w:val="0D0D0D" w:themeColor="text1" w:themeTint="F2"/>
          <w:sz w:val="24"/>
          <w:szCs w:val="24"/>
        </w:rPr>
        <w:t>Articles 8 and 10 were considered by the court in the context of the tort of misuse of private information and / or an action for breach of privacy.</w:t>
      </w:r>
      <w:r w:rsidR="00040D6A">
        <w:rPr>
          <w:rFonts w:ascii="Arial" w:hAnsi="Arial" w:cs="Arial"/>
          <w:color w:val="0D0D0D" w:themeColor="text1" w:themeTint="F2"/>
          <w:sz w:val="24"/>
          <w:szCs w:val="24"/>
        </w:rPr>
        <w:t xml:space="preserve"> </w:t>
      </w:r>
      <w:r w:rsidRPr="00AE3C32">
        <w:rPr>
          <w:rFonts w:ascii="Arial" w:hAnsi="Arial" w:cs="Arial"/>
          <w:color w:val="0D0D0D" w:themeColor="text1" w:themeTint="F2"/>
          <w:sz w:val="24"/>
          <w:szCs w:val="24"/>
        </w:rPr>
        <w:t>The court balanced the rights under Article 8 and Article 10 and found that there had been an unjustifiable breach of the child’s privacy.</w:t>
      </w:r>
    </w:p>
    <w:p w14:paraId="656E79BA" w14:textId="77777777" w:rsidR="00000244" w:rsidRDefault="00000244" w:rsidP="00040D6A">
      <w:pPr>
        <w:spacing w:after="0" w:line="240" w:lineRule="auto"/>
        <w:jc w:val="both"/>
        <w:rPr>
          <w:rFonts w:ascii="Arial" w:hAnsi="Arial" w:cs="Arial"/>
          <w:color w:val="0D0D0D" w:themeColor="text1" w:themeTint="F2"/>
          <w:sz w:val="24"/>
          <w:szCs w:val="24"/>
        </w:rPr>
      </w:pPr>
    </w:p>
    <w:p w14:paraId="5F92C6FA" w14:textId="45BBC1F3" w:rsidR="00000244" w:rsidRDefault="00000244" w:rsidP="000C7C8C">
      <w:pPr>
        <w:spacing w:after="0" w:line="240" w:lineRule="auto"/>
        <w:jc w:val="both"/>
        <w:rPr>
          <w:rFonts w:ascii="Arial" w:hAnsi="Arial" w:cs="Arial"/>
          <w:sz w:val="24"/>
          <w:szCs w:val="24"/>
        </w:rPr>
      </w:pPr>
      <w:r w:rsidRPr="00AE3C32">
        <w:rPr>
          <w:rFonts w:ascii="Arial" w:hAnsi="Arial" w:cs="Arial"/>
          <w:sz w:val="24"/>
          <w:szCs w:val="24"/>
        </w:rPr>
        <w:t>The right to freedom of expression is specifically singled out and afforded extra protection in the Human Rights Act.</w:t>
      </w:r>
      <w:r w:rsidR="000C7C8C">
        <w:rPr>
          <w:rFonts w:ascii="Arial" w:hAnsi="Arial" w:cs="Arial"/>
          <w:sz w:val="24"/>
          <w:szCs w:val="24"/>
        </w:rPr>
        <w:t xml:space="preserve"> </w:t>
      </w:r>
      <w:r w:rsidRPr="00AE3C32">
        <w:rPr>
          <w:rFonts w:ascii="Arial" w:hAnsi="Arial" w:cs="Arial"/>
          <w:sz w:val="24"/>
          <w:szCs w:val="24"/>
        </w:rPr>
        <w:t>Any further protection as set out in the government’s proposals is likely to reduce the right to privacy and the ability to obtain redress for breaches of the right to privacy, including the rights to privacy of children</w:t>
      </w:r>
      <w:r w:rsidR="00765DB0" w:rsidRPr="00AE3C32">
        <w:rPr>
          <w:rFonts w:ascii="Arial" w:hAnsi="Arial" w:cs="Arial"/>
          <w:sz w:val="24"/>
          <w:szCs w:val="24"/>
        </w:rPr>
        <w:t xml:space="preserve">. </w:t>
      </w:r>
      <w:r w:rsidRPr="00AE3C32">
        <w:rPr>
          <w:rFonts w:ascii="Arial" w:hAnsi="Arial" w:cs="Arial"/>
          <w:sz w:val="24"/>
          <w:szCs w:val="24"/>
        </w:rPr>
        <w:t>This is therefore likely to have a negative impact on the rights of children.</w:t>
      </w:r>
    </w:p>
    <w:p w14:paraId="74B997ED" w14:textId="77777777" w:rsidR="00A70A3D" w:rsidRPr="00AE3C32" w:rsidRDefault="00A70A3D" w:rsidP="00AE3C32">
      <w:pPr>
        <w:spacing w:after="0" w:line="240" w:lineRule="auto"/>
        <w:jc w:val="both"/>
        <w:rPr>
          <w:rFonts w:ascii="Arial" w:hAnsi="Arial" w:cs="Arial"/>
          <w:sz w:val="24"/>
          <w:szCs w:val="24"/>
        </w:rPr>
      </w:pPr>
    </w:p>
    <w:p w14:paraId="08CFDBBF" w14:textId="4E16CD42"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 xml:space="preserve">It has been difficult, however, for specific children’s rights claims to be successful due to the lack of full incorporation of the UNCRC. </w:t>
      </w:r>
    </w:p>
    <w:p w14:paraId="2260FE28" w14:textId="3CFAF087"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In the case of SC, CB and 8 children, and Secretary of State for Work and Pensions</w:t>
      </w:r>
      <w:r w:rsidRPr="0C788A5D">
        <w:rPr>
          <w:rStyle w:val="FootnoteReference"/>
          <w:rFonts w:ascii="Arial" w:eastAsia="Arial" w:hAnsi="Arial" w:cs="Arial"/>
          <w:sz w:val="24"/>
          <w:szCs w:val="24"/>
          <w:lang w:val="en-US"/>
        </w:rPr>
        <w:footnoteReference w:id="33"/>
      </w:r>
      <w:r w:rsidRPr="0C788A5D">
        <w:rPr>
          <w:rFonts w:ascii="Arial" w:eastAsia="Arial" w:hAnsi="Arial" w:cs="Arial"/>
          <w:sz w:val="24"/>
          <w:szCs w:val="24"/>
          <w:lang w:val="en-US"/>
        </w:rPr>
        <w:t xml:space="preserve"> the Supreme Court rejected a challenge against the two-child limit on the individual element of child tax credit payments. In a unanimous judgment, the Court held that the provision imposing the limit was not contrary to the appellants’ </w:t>
      </w:r>
      <w:r w:rsidR="00742DD9">
        <w:rPr>
          <w:rFonts w:ascii="Arial" w:eastAsia="Arial" w:hAnsi="Arial" w:cs="Arial"/>
          <w:sz w:val="24"/>
          <w:szCs w:val="24"/>
          <w:lang w:val="en-US"/>
        </w:rPr>
        <w:t>ECHR</w:t>
      </w:r>
      <w:r w:rsidR="00742DD9" w:rsidRPr="0C788A5D">
        <w:rPr>
          <w:rFonts w:ascii="Arial" w:eastAsia="Arial" w:hAnsi="Arial" w:cs="Arial"/>
          <w:sz w:val="24"/>
          <w:szCs w:val="24"/>
          <w:lang w:val="en-US"/>
        </w:rPr>
        <w:t xml:space="preserve"> </w:t>
      </w:r>
      <w:r w:rsidRPr="0C788A5D">
        <w:rPr>
          <w:rFonts w:ascii="Arial" w:eastAsia="Arial" w:hAnsi="Arial" w:cs="Arial"/>
          <w:sz w:val="24"/>
          <w:szCs w:val="24"/>
          <w:lang w:val="en-US"/>
        </w:rPr>
        <w:t>rights.</w:t>
      </w:r>
    </w:p>
    <w:p w14:paraId="3FC1663B" w14:textId="704B53D6"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 xml:space="preserve">The Court found that the rule was potentially indirectly discriminatory against women, as well as children living in households with more than two children. However, any such discrimination could be validly justified and was considered to be proportionate on the basis of ‘protecting the economic well-being of the country’. </w:t>
      </w:r>
    </w:p>
    <w:p w14:paraId="2237EC67" w14:textId="27955443"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lastRenderedPageBreak/>
        <w:t xml:space="preserve">The appellants’ central arguments were that the two-child limit was contrary to the right to family life under Article 8 ECHR </w:t>
      </w:r>
      <w:r w:rsidR="00765DB0">
        <w:rPr>
          <w:rFonts w:ascii="Arial" w:eastAsia="Arial" w:hAnsi="Arial" w:cs="Arial"/>
          <w:sz w:val="24"/>
          <w:szCs w:val="24"/>
          <w:lang w:val="en-US"/>
        </w:rPr>
        <w:t>read in conjunction with</w:t>
      </w:r>
      <w:r w:rsidRPr="0C788A5D">
        <w:rPr>
          <w:rFonts w:ascii="Arial" w:eastAsia="Arial" w:hAnsi="Arial" w:cs="Arial"/>
          <w:sz w:val="24"/>
          <w:szCs w:val="24"/>
          <w:lang w:val="en-US"/>
        </w:rPr>
        <w:t xml:space="preserve"> the prohibition of discrimination under Article 14. </w:t>
      </w:r>
    </w:p>
    <w:p w14:paraId="110F8C77" w14:textId="6DC26FCF"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 xml:space="preserve">The Court was unpersuaded by the appellants’ contention that the limit was contrary to Article 8. </w:t>
      </w:r>
    </w:p>
    <w:p w14:paraId="2519A52B" w14:textId="784A8D80"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 xml:space="preserve">To successfully advance a claim of discrimination under the ECHR, it is necessary to do this within the ‘ambit’ of another right. To establish discrimination, it must be shown that there was a difference in treatment on the basis of a relevant characteristic. The Court accepted the appellants’ arguments that the case came under the ambit of either Article 8 or, alternatively, the right to property under Article 1 of the First Protocol to the Convention. </w:t>
      </w:r>
    </w:p>
    <w:p w14:paraId="7EA4C9D8" w14:textId="021F540C"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The Court accepted that the provision could be indirectly discriminatory against woman as compared to men</w:t>
      </w:r>
      <w:r w:rsidR="6DC881F8" w:rsidRPr="3A3C0179">
        <w:rPr>
          <w:rFonts w:ascii="Arial" w:eastAsia="Arial" w:hAnsi="Arial" w:cs="Arial"/>
          <w:sz w:val="24"/>
          <w:szCs w:val="24"/>
          <w:lang w:val="en-US"/>
        </w:rPr>
        <w:t>,</w:t>
      </w:r>
      <w:r w:rsidRPr="0C788A5D">
        <w:rPr>
          <w:rFonts w:ascii="Arial" w:eastAsia="Arial" w:hAnsi="Arial" w:cs="Arial"/>
          <w:sz w:val="24"/>
          <w:szCs w:val="24"/>
          <w:lang w:val="en-US"/>
        </w:rPr>
        <w:t xml:space="preserve"> considering that women made up 90% of single parents bringing up children</w:t>
      </w:r>
      <w:r w:rsidR="6DC881F8" w:rsidRPr="3A3C0179">
        <w:rPr>
          <w:rFonts w:ascii="Arial" w:eastAsia="Arial" w:hAnsi="Arial" w:cs="Arial"/>
          <w:sz w:val="24"/>
          <w:szCs w:val="24"/>
          <w:lang w:val="en-US"/>
        </w:rPr>
        <w:t>.</w:t>
      </w:r>
      <w:r w:rsidRPr="0C788A5D">
        <w:rPr>
          <w:rFonts w:ascii="Arial" w:eastAsia="Arial" w:hAnsi="Arial" w:cs="Arial"/>
          <w:sz w:val="24"/>
          <w:szCs w:val="24"/>
          <w:lang w:val="en-US"/>
        </w:rPr>
        <w:t xml:space="preserve"> The Court also accepted that the provision could be indirectly discriminatory against children living in households with more than two children, who were disadvantaged as compared to those with two or fewer</w:t>
      </w:r>
      <w:r w:rsidR="6DC881F8" w:rsidRPr="3A3C0179">
        <w:rPr>
          <w:rFonts w:ascii="Arial" w:eastAsia="Arial" w:hAnsi="Arial" w:cs="Arial"/>
          <w:sz w:val="24"/>
          <w:szCs w:val="24"/>
          <w:lang w:val="en-US"/>
        </w:rPr>
        <w:t>.</w:t>
      </w:r>
      <w:r w:rsidRPr="0C788A5D">
        <w:rPr>
          <w:rFonts w:ascii="Arial" w:eastAsia="Arial" w:hAnsi="Arial" w:cs="Arial"/>
          <w:sz w:val="24"/>
          <w:szCs w:val="24"/>
          <w:lang w:val="en-US"/>
        </w:rPr>
        <w:t xml:space="preserve"> However, it was possible for the measure to be justified. </w:t>
      </w:r>
    </w:p>
    <w:p w14:paraId="03861BD1" w14:textId="1033E860"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 xml:space="preserve">The appellants argued that the two-child limit violated the UNCRC. Lord Reed emphasised that the UK is a dualist as opposed to a monist state, meaning that: </w:t>
      </w:r>
      <w:r w:rsidR="00256449">
        <w:rPr>
          <w:rFonts w:ascii="Arial" w:eastAsia="Arial" w:hAnsi="Arial" w:cs="Arial"/>
          <w:sz w:val="24"/>
          <w:szCs w:val="24"/>
          <w:lang w:val="en-US"/>
        </w:rPr>
        <w:t>“</w:t>
      </w:r>
      <w:r w:rsidRPr="00AE3C32">
        <w:rPr>
          <w:rFonts w:ascii="Arial" w:eastAsia="Arial" w:hAnsi="Arial" w:cs="Arial"/>
          <w:sz w:val="24"/>
          <w:szCs w:val="24"/>
          <w:lang w:val="en-US"/>
        </w:rPr>
        <w:t>it is a fundamental principle of our constitutional law that an unincorporated treaty does not form part of the law of the United Kingdom</w:t>
      </w:r>
      <w:r w:rsidR="00256449">
        <w:rPr>
          <w:rFonts w:ascii="Arial" w:eastAsia="Arial" w:hAnsi="Arial" w:cs="Arial"/>
          <w:sz w:val="24"/>
          <w:szCs w:val="24"/>
          <w:lang w:val="en-US"/>
        </w:rPr>
        <w:t>”</w:t>
      </w:r>
      <w:r w:rsidR="00256449" w:rsidRPr="00AE3C32">
        <w:rPr>
          <w:rFonts w:ascii="Arial" w:eastAsia="Arial" w:hAnsi="Arial" w:cs="Arial"/>
          <w:sz w:val="24"/>
          <w:szCs w:val="24"/>
          <w:lang w:val="en-US"/>
        </w:rPr>
        <w:t>.</w:t>
      </w:r>
      <w:r w:rsidRPr="3A3C0179" w:rsidDel="00256449">
        <w:rPr>
          <w:rFonts w:ascii="Arial" w:eastAsia="Arial" w:hAnsi="Arial" w:cs="Arial"/>
          <w:sz w:val="24"/>
          <w:szCs w:val="24"/>
          <w:lang w:val="en-US"/>
        </w:rPr>
        <w:t xml:space="preserve"> </w:t>
      </w:r>
    </w:p>
    <w:p w14:paraId="4BFA9D85" w14:textId="394DC943"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He criticised some previous case commentary which had appeared to suggest the opposite. He pointed to the weight that many of these judgments had placed on assessing whether the UNCRC had been violated, such as in Mathieson and Secretary of State for Work and Pensions,</w:t>
      </w:r>
      <w:r w:rsidRPr="0C788A5D">
        <w:rPr>
          <w:rStyle w:val="FootnoteReference"/>
          <w:rFonts w:ascii="Arial" w:eastAsia="Arial" w:hAnsi="Arial" w:cs="Arial"/>
          <w:sz w:val="24"/>
          <w:szCs w:val="24"/>
          <w:lang w:val="en-US"/>
        </w:rPr>
        <w:footnoteReference w:id="34"/>
      </w:r>
      <w:r w:rsidRPr="0C788A5D">
        <w:rPr>
          <w:rFonts w:ascii="Arial" w:eastAsia="Arial" w:hAnsi="Arial" w:cs="Arial"/>
          <w:sz w:val="24"/>
          <w:szCs w:val="24"/>
          <w:lang w:val="en-US"/>
        </w:rPr>
        <w:t xml:space="preserve"> where it was said that the relevant delegated legislation did not comply with the UNCRC.</w:t>
      </w:r>
    </w:p>
    <w:p w14:paraId="16E7A2A8" w14:textId="52F219A3"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Lord Reed did think that consideration of whether the two-child limit respected the best interests of the child could be a relevant factor in the assessment of whether the discrimination was justified</w:t>
      </w:r>
      <w:r w:rsidR="00F539DB">
        <w:rPr>
          <w:rFonts w:ascii="Arial" w:eastAsia="Arial" w:hAnsi="Arial" w:cs="Arial"/>
          <w:sz w:val="24"/>
          <w:szCs w:val="24"/>
          <w:lang w:val="en-US"/>
        </w:rPr>
        <w:t>.</w:t>
      </w:r>
    </w:p>
    <w:p w14:paraId="47E49827" w14:textId="4118A0F3"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 xml:space="preserve">However, the Court concluded that the two-child limit </w:t>
      </w:r>
      <w:r w:rsidRPr="00AE3C32">
        <w:rPr>
          <w:rFonts w:ascii="Arial" w:eastAsia="Arial" w:hAnsi="Arial" w:cs="Arial"/>
          <w:sz w:val="24"/>
          <w:szCs w:val="24"/>
          <w:u w:val="single"/>
          <w:lang w:val="en-US"/>
        </w:rPr>
        <w:t>was</w:t>
      </w:r>
      <w:r w:rsidRPr="0C788A5D">
        <w:rPr>
          <w:rFonts w:ascii="Arial" w:eastAsia="Arial" w:hAnsi="Arial" w:cs="Arial"/>
          <w:sz w:val="24"/>
          <w:szCs w:val="24"/>
          <w:lang w:val="en-US"/>
        </w:rPr>
        <w:t xml:space="preserve"> justified on grounds of economic policy</w:t>
      </w:r>
      <w:r w:rsidRPr="0C788A5D" w:rsidDel="00F539DB">
        <w:rPr>
          <w:rFonts w:ascii="Arial" w:eastAsia="Arial" w:hAnsi="Arial" w:cs="Arial"/>
          <w:sz w:val="24"/>
          <w:szCs w:val="24"/>
          <w:lang w:val="en-US"/>
        </w:rPr>
        <w:t xml:space="preserve"> </w:t>
      </w:r>
      <w:r w:rsidRPr="0C788A5D">
        <w:rPr>
          <w:rFonts w:ascii="Arial" w:eastAsia="Arial" w:hAnsi="Arial" w:cs="Arial"/>
          <w:sz w:val="24"/>
          <w:szCs w:val="24"/>
          <w:lang w:val="en-US"/>
        </w:rPr>
        <w:t xml:space="preserve">and the reduction of public expenditure. The Court also found that the discriminatory effect on children living in households with more than two children was similarly capable of justification, even when considering the best interests of the children involved. </w:t>
      </w:r>
    </w:p>
    <w:p w14:paraId="464121C0" w14:textId="37CF64C5"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 xml:space="preserve">The two-child limit remains one of the most significant breaches of children’s rights under the UNCRC on the statute book of the UK at present. Children are entitled to equal treatment regardless of their parents’ background or status in accordance with Article 2 UNCRC but the position of the UK Government remains at odds with the UNCRC and our views in this regard. We have written jointly to the Secretary of </w:t>
      </w:r>
      <w:r w:rsidRPr="0C788A5D">
        <w:rPr>
          <w:rFonts w:ascii="Arial" w:eastAsia="Arial" w:hAnsi="Arial" w:cs="Arial"/>
          <w:sz w:val="24"/>
          <w:szCs w:val="24"/>
          <w:lang w:val="en-US"/>
        </w:rPr>
        <w:lastRenderedPageBreak/>
        <w:t>State</w:t>
      </w:r>
      <w:r w:rsidRPr="0C788A5D">
        <w:rPr>
          <w:rStyle w:val="FootnoteReference"/>
          <w:rFonts w:ascii="Arial" w:eastAsia="Arial" w:hAnsi="Arial" w:cs="Arial"/>
          <w:sz w:val="24"/>
          <w:szCs w:val="24"/>
          <w:lang w:val="en-US"/>
        </w:rPr>
        <w:footnoteReference w:id="35"/>
      </w:r>
      <w:r w:rsidRPr="0C788A5D">
        <w:rPr>
          <w:rFonts w:ascii="Arial" w:eastAsia="Arial" w:hAnsi="Arial" w:cs="Arial"/>
          <w:sz w:val="24"/>
          <w:szCs w:val="24"/>
          <w:lang w:val="en-US"/>
        </w:rPr>
        <w:t xml:space="preserve"> on this issue twice in the last year but, despite our requests to meet to discuss this further, we have not been successful in securing such a meeting.</w:t>
      </w:r>
    </w:p>
    <w:p w14:paraId="6E19198F" w14:textId="09949E46" w:rsidR="0C788A5D"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 xml:space="preserve">It is notable that, in this case, there was criticism of the involvement of campaigning organisations in helping to bring cases like this as an attempted second bite of the cherry, as they will have had the opportunity to lobby against legislation at the Bill stage. Whilst this case fits within the proposals at hand to preserve the sovereignty of Parliament, this does nothing to overall protect and advance much needed support for children’s human rights, in accordance with the state party’s obligations under, for example, Article 4 UNCRC. The proposals to limit </w:t>
      </w:r>
      <w:r w:rsidR="00C063B1">
        <w:rPr>
          <w:rFonts w:ascii="Arial" w:eastAsia="Arial" w:hAnsi="Arial" w:cs="Arial"/>
          <w:sz w:val="24"/>
          <w:szCs w:val="24"/>
          <w:lang w:val="en-US"/>
        </w:rPr>
        <w:t>Human Rights Act</w:t>
      </w:r>
      <w:r w:rsidRPr="0C788A5D">
        <w:rPr>
          <w:rFonts w:ascii="Arial" w:eastAsia="Arial" w:hAnsi="Arial" w:cs="Arial"/>
          <w:sz w:val="24"/>
          <w:szCs w:val="24"/>
          <w:lang w:val="en-US"/>
        </w:rPr>
        <w:t xml:space="preserve"> claims and further qualify rights and access to justice will have a detrimental impact on the rights of children</w:t>
      </w:r>
      <w:r w:rsidR="00C862C3">
        <w:rPr>
          <w:rFonts w:ascii="Arial" w:eastAsia="Arial" w:hAnsi="Arial" w:cs="Arial"/>
          <w:sz w:val="24"/>
          <w:szCs w:val="24"/>
          <w:lang w:val="en-US"/>
        </w:rPr>
        <w:t xml:space="preserve"> (see further below</w:t>
      </w:r>
      <w:r w:rsidR="64B35E1F" w:rsidRPr="3A3C0179">
        <w:rPr>
          <w:rFonts w:ascii="Arial" w:eastAsia="Arial" w:hAnsi="Arial" w:cs="Arial"/>
          <w:sz w:val="24"/>
          <w:szCs w:val="24"/>
          <w:lang w:val="en-US"/>
        </w:rPr>
        <w:t>).</w:t>
      </w:r>
    </w:p>
    <w:p w14:paraId="46F08711" w14:textId="5BA374E7" w:rsidR="00065A26" w:rsidRPr="00BD0CDC" w:rsidRDefault="00972D19" w:rsidP="7D5CA56A">
      <w:pPr>
        <w:spacing w:line="257" w:lineRule="auto"/>
        <w:rPr>
          <w:rFonts w:ascii="Arial" w:hAnsi="Arial" w:cs="Arial"/>
          <w:b/>
          <w:bCs/>
          <w:sz w:val="24"/>
          <w:szCs w:val="24"/>
        </w:rPr>
      </w:pPr>
      <w:r w:rsidRPr="00BD0CDC">
        <w:rPr>
          <w:rFonts w:ascii="Arial" w:hAnsi="Arial" w:cs="Arial"/>
          <w:b/>
          <w:bCs/>
          <w:sz w:val="24"/>
          <w:szCs w:val="24"/>
        </w:rPr>
        <w:t>Section 6</w:t>
      </w:r>
      <w:r w:rsidR="00EC5A90" w:rsidRPr="00BD0CDC">
        <w:rPr>
          <w:rFonts w:ascii="Arial" w:hAnsi="Arial" w:cs="Arial"/>
          <w:b/>
          <w:bCs/>
          <w:sz w:val="24"/>
          <w:szCs w:val="24"/>
        </w:rPr>
        <w:t xml:space="preserve"> and public authorities</w:t>
      </w:r>
    </w:p>
    <w:p w14:paraId="5DC47666" w14:textId="7795F917" w:rsidR="00125940" w:rsidRPr="00BD0CDC" w:rsidRDefault="00065A26" w:rsidP="00065A26">
      <w:pPr>
        <w:rPr>
          <w:rFonts w:ascii="Arial" w:hAnsi="Arial" w:cs="Arial"/>
          <w:sz w:val="24"/>
          <w:szCs w:val="24"/>
        </w:rPr>
      </w:pPr>
      <w:r w:rsidRPr="00BD0CDC">
        <w:rPr>
          <w:rFonts w:ascii="Arial" w:hAnsi="Arial" w:cs="Arial"/>
          <w:sz w:val="24"/>
          <w:szCs w:val="24"/>
        </w:rPr>
        <w:t xml:space="preserve">We </w:t>
      </w:r>
      <w:r w:rsidR="00125940" w:rsidRPr="00BD0CDC">
        <w:rPr>
          <w:rFonts w:ascii="Arial" w:hAnsi="Arial" w:cs="Arial"/>
          <w:sz w:val="24"/>
          <w:szCs w:val="24"/>
        </w:rPr>
        <w:t>are of the view that the current</w:t>
      </w:r>
      <w:r w:rsidRPr="00BD0CDC">
        <w:rPr>
          <w:rFonts w:ascii="Arial" w:hAnsi="Arial" w:cs="Arial"/>
          <w:sz w:val="24"/>
          <w:szCs w:val="24"/>
        </w:rPr>
        <w:t xml:space="preserve"> definition of public authorities in Section 6 should be</w:t>
      </w:r>
      <w:r w:rsidR="00125940" w:rsidRPr="00BD0CDC">
        <w:rPr>
          <w:rFonts w:ascii="Arial" w:hAnsi="Arial" w:cs="Arial"/>
          <w:sz w:val="24"/>
          <w:szCs w:val="24"/>
        </w:rPr>
        <w:t xml:space="preserve"> maintained. However, </w:t>
      </w:r>
      <w:r w:rsidR="00BE0913" w:rsidRPr="00BD0CDC">
        <w:rPr>
          <w:rFonts w:ascii="Arial" w:hAnsi="Arial" w:cs="Arial"/>
          <w:sz w:val="24"/>
          <w:szCs w:val="24"/>
        </w:rPr>
        <w:t xml:space="preserve">we recognise that the definition has been problematic in terms of the way that functions of a public nature have been interpreted by the </w:t>
      </w:r>
      <w:r w:rsidR="00706BE1" w:rsidRPr="00BD0CDC">
        <w:rPr>
          <w:rFonts w:ascii="Arial" w:hAnsi="Arial" w:cs="Arial"/>
          <w:sz w:val="24"/>
          <w:szCs w:val="24"/>
        </w:rPr>
        <w:t>courts (most notably in the case of YL v. Birmingham City Council</w:t>
      </w:r>
      <w:r w:rsidR="00995066" w:rsidRPr="00BD0CDC">
        <w:rPr>
          <w:rStyle w:val="FootnoteReference"/>
          <w:rFonts w:ascii="Arial" w:hAnsi="Arial" w:cs="Arial"/>
          <w:sz w:val="24"/>
          <w:szCs w:val="24"/>
        </w:rPr>
        <w:footnoteReference w:id="36"/>
      </w:r>
      <w:r w:rsidR="00706BE1" w:rsidRPr="00BD0CDC">
        <w:rPr>
          <w:rFonts w:ascii="Arial" w:hAnsi="Arial" w:cs="Arial"/>
          <w:sz w:val="24"/>
          <w:szCs w:val="24"/>
        </w:rPr>
        <w:t xml:space="preserve"> and </w:t>
      </w:r>
      <w:r w:rsidR="005808BA" w:rsidRPr="00BD0CDC">
        <w:rPr>
          <w:rFonts w:ascii="Arial" w:hAnsi="Arial" w:cs="Arial"/>
          <w:sz w:val="24"/>
          <w:szCs w:val="24"/>
        </w:rPr>
        <w:t>Ali (Iraq) v. Serco Ltd</w:t>
      </w:r>
      <w:r w:rsidR="005808BA" w:rsidRPr="00BD0CDC">
        <w:rPr>
          <w:rStyle w:val="FootnoteReference"/>
          <w:rFonts w:ascii="Arial" w:hAnsi="Arial" w:cs="Arial"/>
          <w:sz w:val="24"/>
          <w:szCs w:val="24"/>
        </w:rPr>
        <w:footnoteReference w:id="37"/>
      </w:r>
      <w:r w:rsidR="00706BE1" w:rsidRPr="00BD0CDC">
        <w:rPr>
          <w:rFonts w:ascii="Arial" w:hAnsi="Arial" w:cs="Arial"/>
          <w:sz w:val="24"/>
          <w:szCs w:val="24"/>
        </w:rPr>
        <w:t>)</w:t>
      </w:r>
      <w:r w:rsidR="00995066" w:rsidRPr="00BD0CDC">
        <w:rPr>
          <w:rFonts w:ascii="Arial" w:hAnsi="Arial" w:cs="Arial"/>
          <w:sz w:val="24"/>
          <w:szCs w:val="24"/>
        </w:rPr>
        <w:t xml:space="preserve">. </w:t>
      </w:r>
      <w:r w:rsidR="00B2471D" w:rsidRPr="00BD0CDC">
        <w:rPr>
          <w:rFonts w:ascii="Arial" w:hAnsi="Arial" w:cs="Arial"/>
          <w:sz w:val="24"/>
          <w:szCs w:val="24"/>
        </w:rPr>
        <w:t>To be clear, children’s rights must be protected even where services are contracted out to private or third sector organisations</w:t>
      </w:r>
      <w:r w:rsidR="00A058C8" w:rsidRPr="00BD0CDC">
        <w:rPr>
          <w:rFonts w:ascii="Arial" w:hAnsi="Arial" w:cs="Arial"/>
          <w:sz w:val="24"/>
          <w:szCs w:val="24"/>
        </w:rPr>
        <w:t>.</w:t>
      </w:r>
    </w:p>
    <w:p w14:paraId="6612EDCA" w14:textId="62C3CFFA" w:rsidR="00BE05AD" w:rsidRPr="00BD0CDC" w:rsidRDefault="00B66A5C" w:rsidP="00065A26">
      <w:pPr>
        <w:rPr>
          <w:rFonts w:ascii="Arial" w:hAnsi="Arial" w:cs="Arial"/>
          <w:sz w:val="24"/>
          <w:szCs w:val="24"/>
        </w:rPr>
      </w:pPr>
      <w:r w:rsidRPr="00BD0CDC">
        <w:rPr>
          <w:rFonts w:ascii="Arial" w:hAnsi="Arial" w:cs="Arial"/>
          <w:sz w:val="24"/>
          <w:szCs w:val="24"/>
        </w:rPr>
        <w:t>We are concerned that if an unduly</w:t>
      </w:r>
      <w:r w:rsidR="00BE05AD" w:rsidRPr="00BD0CDC">
        <w:rPr>
          <w:rFonts w:ascii="Arial" w:hAnsi="Arial" w:cs="Arial"/>
          <w:sz w:val="24"/>
          <w:szCs w:val="24"/>
        </w:rPr>
        <w:t xml:space="preserve"> narrow definition is to prevail</w:t>
      </w:r>
      <w:r w:rsidR="00660ABC" w:rsidRPr="00BD0CDC">
        <w:rPr>
          <w:rFonts w:ascii="Arial" w:hAnsi="Arial" w:cs="Arial"/>
          <w:sz w:val="24"/>
          <w:szCs w:val="24"/>
        </w:rPr>
        <w:t>, then</w:t>
      </w:r>
      <w:r w:rsidR="00BE05AD" w:rsidRPr="00BD0CDC">
        <w:rPr>
          <w:rFonts w:ascii="Arial" w:hAnsi="Arial" w:cs="Arial"/>
          <w:sz w:val="24"/>
          <w:szCs w:val="24"/>
        </w:rPr>
        <w:t xml:space="preserve"> private bodies that enter into contracts to provide</w:t>
      </w:r>
      <w:r w:rsidR="00660ABC" w:rsidRPr="00BD0CDC">
        <w:rPr>
          <w:rFonts w:ascii="Arial" w:hAnsi="Arial" w:cs="Arial"/>
          <w:sz w:val="24"/>
          <w:szCs w:val="24"/>
        </w:rPr>
        <w:t xml:space="preserve"> </w:t>
      </w:r>
      <w:r w:rsidR="00BE05AD" w:rsidRPr="00BD0CDC">
        <w:rPr>
          <w:rFonts w:ascii="Arial" w:hAnsi="Arial" w:cs="Arial"/>
          <w:sz w:val="24"/>
          <w:szCs w:val="24"/>
        </w:rPr>
        <w:t>services</w:t>
      </w:r>
      <w:r w:rsidR="00660ABC" w:rsidRPr="00BD0CDC">
        <w:rPr>
          <w:rFonts w:ascii="Arial" w:hAnsi="Arial" w:cs="Arial"/>
          <w:sz w:val="24"/>
          <w:szCs w:val="24"/>
        </w:rPr>
        <w:t xml:space="preserve"> for children,</w:t>
      </w:r>
      <w:r w:rsidR="00BE05AD" w:rsidRPr="00BD0CDC">
        <w:rPr>
          <w:rFonts w:ascii="Arial" w:hAnsi="Arial" w:cs="Arial"/>
          <w:sz w:val="24"/>
          <w:szCs w:val="24"/>
        </w:rPr>
        <w:t xml:space="preserve"> such as housing, </w:t>
      </w:r>
      <w:r w:rsidR="00660ABC" w:rsidRPr="00BD0CDC">
        <w:rPr>
          <w:rFonts w:ascii="Arial" w:hAnsi="Arial" w:cs="Arial"/>
          <w:sz w:val="24"/>
          <w:szCs w:val="24"/>
        </w:rPr>
        <w:t>residential</w:t>
      </w:r>
      <w:r w:rsidR="00BE05AD" w:rsidRPr="00BD0CDC">
        <w:rPr>
          <w:rFonts w:ascii="Arial" w:hAnsi="Arial" w:cs="Arial"/>
          <w:sz w:val="24"/>
          <w:szCs w:val="24"/>
        </w:rPr>
        <w:t xml:space="preserve"> accommodation, immigration services, education support, provision of food/ school meals, health services, provision of care/ adoption or fostering services, social security related services, among other examples, may not be required to comply </w:t>
      </w:r>
      <w:r w:rsidR="00660ABC" w:rsidRPr="00BD0CDC">
        <w:rPr>
          <w:rFonts w:ascii="Arial" w:hAnsi="Arial" w:cs="Arial"/>
          <w:sz w:val="24"/>
          <w:szCs w:val="24"/>
        </w:rPr>
        <w:t>ECHR rights</w:t>
      </w:r>
      <w:r w:rsidR="00BE05AD" w:rsidRPr="00BD0CDC">
        <w:rPr>
          <w:rFonts w:ascii="Arial" w:hAnsi="Arial" w:cs="Arial"/>
          <w:sz w:val="24"/>
          <w:szCs w:val="24"/>
        </w:rPr>
        <w:t>. This falls short of international human rights law requirements</w:t>
      </w:r>
      <w:r w:rsidR="003F0AD6" w:rsidRPr="00BD0CDC">
        <w:rPr>
          <w:rFonts w:ascii="Arial" w:hAnsi="Arial" w:cs="Arial"/>
          <w:sz w:val="24"/>
          <w:szCs w:val="24"/>
        </w:rPr>
        <w:t>.</w:t>
      </w:r>
    </w:p>
    <w:p w14:paraId="4739DFCC" w14:textId="7BD50B82" w:rsidR="00B36E3A" w:rsidRPr="00BD0CDC" w:rsidRDefault="00C04347" w:rsidP="00B264FD">
      <w:pPr>
        <w:rPr>
          <w:rFonts w:ascii="Arial" w:hAnsi="Arial" w:cs="Arial"/>
          <w:sz w:val="24"/>
          <w:szCs w:val="24"/>
        </w:rPr>
      </w:pPr>
      <w:r w:rsidRPr="00BD0CDC">
        <w:rPr>
          <w:rFonts w:ascii="Arial" w:hAnsi="Arial" w:cs="Arial"/>
          <w:sz w:val="24"/>
          <w:szCs w:val="24"/>
        </w:rPr>
        <w:t xml:space="preserve">In relation to the UNCRC, the UN Committee on the Rights of the Child </w:t>
      </w:r>
      <w:r w:rsidR="00C2176D" w:rsidRPr="00BD0CDC">
        <w:rPr>
          <w:rFonts w:ascii="Arial" w:hAnsi="Arial" w:cs="Arial"/>
          <w:sz w:val="24"/>
          <w:szCs w:val="24"/>
        </w:rPr>
        <w:t>has</w:t>
      </w:r>
      <w:r w:rsidRPr="00BD0CDC">
        <w:rPr>
          <w:rFonts w:ascii="Arial" w:hAnsi="Arial" w:cs="Arial"/>
          <w:sz w:val="24"/>
          <w:szCs w:val="24"/>
        </w:rPr>
        <w:t xml:space="preserve"> </w:t>
      </w:r>
      <w:r w:rsidR="00B264FD" w:rsidRPr="00BD0CDC">
        <w:rPr>
          <w:rFonts w:ascii="Arial" w:hAnsi="Arial" w:cs="Arial"/>
          <w:sz w:val="24"/>
          <w:szCs w:val="24"/>
        </w:rPr>
        <w:t>emphasised that states are not exempted from their obligations under the CRC</w:t>
      </w:r>
      <w:r w:rsidR="008B287B" w:rsidRPr="00BD0CDC">
        <w:rPr>
          <w:rFonts w:ascii="Arial" w:hAnsi="Arial" w:cs="Arial"/>
          <w:sz w:val="24"/>
          <w:szCs w:val="24"/>
        </w:rPr>
        <w:t xml:space="preserve"> </w:t>
      </w:r>
      <w:r w:rsidR="00B264FD" w:rsidRPr="00BD0CDC">
        <w:rPr>
          <w:rFonts w:ascii="Arial" w:hAnsi="Arial" w:cs="Arial"/>
          <w:sz w:val="24"/>
          <w:szCs w:val="24"/>
        </w:rPr>
        <w:t>when they outsource or privatise services that impact on the fulfilment of children’s rights</w:t>
      </w:r>
      <w:r w:rsidR="00BC75C8" w:rsidRPr="00BD0CDC">
        <w:rPr>
          <w:rFonts w:ascii="Arial" w:hAnsi="Arial" w:cs="Arial"/>
          <w:sz w:val="24"/>
          <w:szCs w:val="24"/>
        </w:rPr>
        <w:t>.</w:t>
      </w:r>
      <w:r w:rsidR="007B4E8F" w:rsidRPr="00BD0CDC">
        <w:rPr>
          <w:rStyle w:val="FootnoteReference"/>
          <w:rFonts w:ascii="Arial" w:hAnsi="Arial" w:cs="Arial"/>
          <w:sz w:val="24"/>
          <w:szCs w:val="24"/>
        </w:rPr>
        <w:footnoteReference w:id="38"/>
      </w:r>
      <w:r w:rsidR="00BC75C8" w:rsidRPr="00BD0CDC">
        <w:rPr>
          <w:rFonts w:ascii="Arial" w:hAnsi="Arial" w:cs="Arial"/>
          <w:sz w:val="24"/>
          <w:szCs w:val="24"/>
        </w:rPr>
        <w:t xml:space="preserve"> </w:t>
      </w:r>
    </w:p>
    <w:p w14:paraId="2810A872" w14:textId="1E7A91A3" w:rsidR="0037330B" w:rsidRPr="00BD0CDC"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 xml:space="preserve">Whilst in Wales there is partial incorporation of the UNCRC, through a duty of due regard on Welsh Ministers, this does not permit individuals to bring a challenge against a public authority. It is notable that the proposals seek to make a conscious move away from citizens’ abilities to make claims against </w:t>
      </w:r>
      <w:r w:rsidR="00AA0B09" w:rsidRPr="0C788A5D">
        <w:rPr>
          <w:rFonts w:ascii="Arial" w:eastAsia="Arial" w:hAnsi="Arial" w:cs="Arial"/>
          <w:sz w:val="24"/>
          <w:szCs w:val="24"/>
          <w:lang w:val="en-US"/>
        </w:rPr>
        <w:t>public</w:t>
      </w:r>
      <w:r w:rsidRPr="0C788A5D">
        <w:rPr>
          <w:rFonts w:ascii="Arial" w:eastAsia="Arial" w:hAnsi="Arial" w:cs="Arial"/>
          <w:sz w:val="24"/>
          <w:szCs w:val="24"/>
          <w:lang w:val="en-US"/>
        </w:rPr>
        <w:t xml:space="preserve"> authorities, but this is the primary way in which the majority of people interact with ‘the </w:t>
      </w:r>
      <w:r w:rsidR="00CE3C21">
        <w:rPr>
          <w:rFonts w:ascii="Arial" w:eastAsia="Arial" w:hAnsi="Arial" w:cs="Arial"/>
          <w:sz w:val="24"/>
          <w:szCs w:val="24"/>
          <w:lang w:val="en-US"/>
        </w:rPr>
        <w:t>S</w:t>
      </w:r>
      <w:r w:rsidRPr="0C788A5D">
        <w:rPr>
          <w:rFonts w:ascii="Arial" w:eastAsia="Arial" w:hAnsi="Arial" w:cs="Arial"/>
          <w:sz w:val="24"/>
          <w:szCs w:val="24"/>
          <w:lang w:val="en-US"/>
        </w:rPr>
        <w:t xml:space="preserve">tate’. Although national guidance and legislation should be applied evenly and consistently by relevant public authorities, there is a lot more nuance around decision making beyond what guidance will technically call for or mandate, and this is where the majority of poor practice issues affecting children and families are likely to occur. Not </w:t>
      </w:r>
      <w:r w:rsidRPr="0C788A5D">
        <w:rPr>
          <w:rFonts w:ascii="Arial" w:eastAsia="Arial" w:hAnsi="Arial" w:cs="Arial"/>
          <w:sz w:val="24"/>
          <w:szCs w:val="24"/>
          <w:lang w:val="en-US"/>
        </w:rPr>
        <w:lastRenderedPageBreak/>
        <w:t>least in relation to decisions about funding (individual provision or maintaining settings and organisations’ funding), providing care and support service, access to education provision particularly for those with additional needs, housing provision and support and many more areas.</w:t>
      </w:r>
    </w:p>
    <w:p w14:paraId="4C1F6A3B" w14:textId="4723E937" w:rsidR="0037330B" w:rsidRPr="00BD0CDC"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As noted above, the inability for individual children or families to bring a claim against a public authority for breach of their rights under the UNCRC means that the Human Rights Act is the only avenue open to a challenge on human rights grounds.</w:t>
      </w:r>
    </w:p>
    <w:p w14:paraId="39EEDDF9" w14:textId="25F170C2" w:rsidR="0037330B" w:rsidRPr="00BD0CDC" w:rsidRDefault="0C788A5D" w:rsidP="0C788A5D">
      <w:pPr>
        <w:spacing w:line="257" w:lineRule="auto"/>
        <w:rPr>
          <w:rFonts w:ascii="Arial" w:eastAsia="Arial" w:hAnsi="Arial" w:cs="Arial"/>
          <w:sz w:val="24"/>
          <w:szCs w:val="24"/>
        </w:rPr>
      </w:pPr>
      <w:r w:rsidRPr="0C788A5D">
        <w:rPr>
          <w:rFonts w:ascii="Arial" w:eastAsia="Arial" w:hAnsi="Arial" w:cs="Arial"/>
          <w:sz w:val="24"/>
          <w:szCs w:val="24"/>
          <w:lang w:val="en-US"/>
        </w:rPr>
        <w:t>Paragraph 150 of the proposals states that the UK Government takes “</w:t>
      </w:r>
      <w:r w:rsidRPr="0C788A5D">
        <w:rPr>
          <w:rFonts w:ascii="Arial" w:eastAsia="Arial" w:hAnsi="Arial" w:cs="Arial"/>
          <w:sz w:val="24"/>
          <w:szCs w:val="24"/>
        </w:rPr>
        <w:t xml:space="preserve">a principled view that decisions on the allocation of resources should be determined by elected law-makers, and by operational professionals in possession of the full facts, </w:t>
      </w:r>
      <w:r w:rsidRPr="0C788A5D">
        <w:rPr>
          <w:rFonts w:ascii="Arial" w:eastAsia="Arial" w:hAnsi="Arial" w:cs="Arial"/>
          <w:b/>
          <w:bCs/>
          <w:sz w:val="24"/>
          <w:szCs w:val="24"/>
        </w:rPr>
        <w:t>who are answerable to the public</w:t>
      </w:r>
      <w:r w:rsidRPr="0C788A5D">
        <w:rPr>
          <w:rFonts w:ascii="Arial" w:eastAsia="Arial" w:hAnsi="Arial" w:cs="Arial"/>
          <w:sz w:val="24"/>
          <w:szCs w:val="24"/>
        </w:rPr>
        <w:t>.” [emphasis added]. This is</w:t>
      </w:r>
      <w:r w:rsidRPr="0C788A5D" w:rsidDel="00912A9F">
        <w:rPr>
          <w:rFonts w:ascii="Arial" w:eastAsia="Arial" w:hAnsi="Arial" w:cs="Arial"/>
          <w:sz w:val="24"/>
          <w:szCs w:val="24"/>
        </w:rPr>
        <w:t xml:space="preserve"> </w:t>
      </w:r>
      <w:r w:rsidRPr="0C788A5D">
        <w:rPr>
          <w:rFonts w:ascii="Arial" w:eastAsia="Arial" w:hAnsi="Arial" w:cs="Arial"/>
          <w:sz w:val="24"/>
          <w:szCs w:val="24"/>
        </w:rPr>
        <w:t>at odds however with the rest of the proposals that seek to prevent claims being made against public authorities wherever possible, provided that they are trying to act in accordance with the will of Parliament. But very often, this can only be properly determined when a claim is made and explored in full to test this out. The balance of power would shift considerably if claims could not be brought where it is deemed that those public authorities are ‘doing their best’ and therefore should be allowed to continue with their actions unchecked. This does not in any way describe a system that is answerable to the public, particularly children who lack the ability to vote in elections. An election every few years similarly does not give sufficient access to justice to a person whose rights have been curtailed or breached by the decision or actions/omissions of a public authority.</w:t>
      </w:r>
    </w:p>
    <w:p w14:paraId="21B00665" w14:textId="5043508A" w:rsidR="0037330B" w:rsidRPr="00BD0CDC" w:rsidRDefault="0C788A5D" w:rsidP="0C788A5D">
      <w:pPr>
        <w:spacing w:line="257" w:lineRule="auto"/>
        <w:rPr>
          <w:rFonts w:ascii="Arial" w:eastAsia="Arial" w:hAnsi="Arial" w:cs="Arial"/>
          <w:sz w:val="24"/>
          <w:szCs w:val="24"/>
        </w:rPr>
      </w:pPr>
      <w:r w:rsidRPr="0C788A5D">
        <w:rPr>
          <w:rFonts w:ascii="Arial" w:eastAsia="Arial" w:hAnsi="Arial" w:cs="Arial"/>
          <w:sz w:val="24"/>
          <w:szCs w:val="24"/>
        </w:rPr>
        <w:t>In addition, the proposal wording about public authorities “giving effect” to primary legislation is too broadly drawn to be workable as a definition and would itself invite a number of claims, one might anticipate, to be able to give any substantive meaning to what “giving effect” constitutes in practice.</w:t>
      </w:r>
    </w:p>
    <w:p w14:paraId="1BF54669" w14:textId="5F31DC13" w:rsidR="0037330B" w:rsidRPr="00BD0CDC" w:rsidRDefault="0C788A5D" w:rsidP="0C788A5D">
      <w:pPr>
        <w:spacing w:line="257" w:lineRule="auto"/>
        <w:rPr>
          <w:rFonts w:ascii="Arial" w:eastAsia="Arial" w:hAnsi="Arial" w:cs="Arial"/>
          <w:sz w:val="24"/>
          <w:szCs w:val="24"/>
        </w:rPr>
      </w:pPr>
      <w:r w:rsidRPr="0C788A5D">
        <w:rPr>
          <w:rFonts w:ascii="Arial" w:eastAsia="Arial" w:hAnsi="Arial" w:cs="Arial"/>
          <w:sz w:val="24"/>
          <w:szCs w:val="24"/>
        </w:rPr>
        <w:t xml:space="preserve">Paragraph 192 of the proposals seeks to shift the approach to interpreting Convention rights by providing that domestic courts must first consider whether a rights issue can be resolved by reference to a specific domestic statute or the common law, before considering Convention rights and Strasbourg case law. In practice, this would phase out </w:t>
      </w:r>
      <w:r w:rsidR="0040630B" w:rsidRPr="0C788A5D">
        <w:rPr>
          <w:rFonts w:ascii="Arial" w:eastAsia="Arial" w:hAnsi="Arial" w:cs="Arial"/>
          <w:sz w:val="24"/>
          <w:szCs w:val="24"/>
        </w:rPr>
        <w:t>rights-based</w:t>
      </w:r>
      <w:r w:rsidRPr="0C788A5D">
        <w:rPr>
          <w:rFonts w:ascii="Arial" w:eastAsia="Arial" w:hAnsi="Arial" w:cs="Arial"/>
          <w:sz w:val="24"/>
          <w:szCs w:val="24"/>
        </w:rPr>
        <w:t xml:space="preserve"> language and approaches in the vast majority of cases as the UK Government is not required to act compatibly with the Convention when creating domestic statues, and so any incompatibilities would be left unchallenged and allowed to continue. </w:t>
      </w:r>
    </w:p>
    <w:p w14:paraId="7426A3DF" w14:textId="59BBC783" w:rsidR="0037330B" w:rsidRPr="00BD0CDC" w:rsidRDefault="0C788A5D" w:rsidP="0C788A5D">
      <w:pPr>
        <w:spacing w:line="257" w:lineRule="auto"/>
        <w:rPr>
          <w:rFonts w:ascii="Arial" w:eastAsia="Arial" w:hAnsi="Arial" w:cs="Arial"/>
          <w:sz w:val="24"/>
          <w:szCs w:val="24"/>
        </w:rPr>
      </w:pPr>
      <w:r w:rsidRPr="0C788A5D">
        <w:rPr>
          <w:rFonts w:ascii="Arial" w:eastAsia="Arial" w:hAnsi="Arial" w:cs="Arial"/>
          <w:sz w:val="24"/>
          <w:szCs w:val="24"/>
        </w:rPr>
        <w:t>The Supreme Court case in respect of the Scottish Bill to incorporate the UNCRC into their domestic legislation reaffirmed that the UK Government seeks to continue to legislate without reference to the rights of treaties and Conventions that they themselves have signed and ratified.  These proposals unfortunately further confirm this position, which is unacceptable and incompatible with the position of a contracting state party to those international instruments.</w:t>
      </w:r>
    </w:p>
    <w:p w14:paraId="69C70B0C" w14:textId="27550C31" w:rsidR="008C2AFD" w:rsidRPr="00BD0CDC" w:rsidRDefault="0C788A5D" w:rsidP="0C788A5D">
      <w:pPr>
        <w:spacing w:line="257" w:lineRule="auto"/>
        <w:rPr>
          <w:rFonts w:ascii="Arial" w:eastAsia="Arial" w:hAnsi="Arial" w:cs="Arial"/>
          <w:sz w:val="24"/>
          <w:szCs w:val="24"/>
        </w:rPr>
      </w:pPr>
      <w:r w:rsidRPr="0C788A5D">
        <w:rPr>
          <w:rFonts w:ascii="Arial" w:eastAsia="Arial" w:hAnsi="Arial" w:cs="Arial"/>
          <w:sz w:val="24"/>
          <w:szCs w:val="24"/>
        </w:rPr>
        <w:t>Further clarity would also be required from these proposals as to what status any new Bill of Rights would hold; as a ‘domestic statute’ how would this fit in the proposed hierarchy of legislation for the purposes of interpretation of Convention rights?</w:t>
      </w:r>
    </w:p>
    <w:p w14:paraId="1183519A" w14:textId="5639FE5E" w:rsidR="0037330B" w:rsidRPr="00BD0CDC" w:rsidRDefault="0037330B" w:rsidP="00AE3C32">
      <w:pPr>
        <w:spacing w:line="257" w:lineRule="auto"/>
        <w:rPr>
          <w:rFonts w:ascii="Arial" w:hAnsi="Arial" w:cs="Arial"/>
          <w:b/>
          <w:bCs/>
          <w:sz w:val="24"/>
          <w:szCs w:val="24"/>
        </w:rPr>
      </w:pPr>
      <w:r>
        <w:lastRenderedPageBreak/>
        <w:br/>
      </w:r>
      <w:r w:rsidRPr="00BD0CDC">
        <w:rPr>
          <w:rFonts w:ascii="Arial" w:hAnsi="Arial" w:cs="Arial"/>
          <w:b/>
          <w:bCs/>
          <w:sz w:val="24"/>
          <w:szCs w:val="24"/>
        </w:rPr>
        <w:t xml:space="preserve">Access to justice </w:t>
      </w:r>
    </w:p>
    <w:p w14:paraId="75DE2F53" w14:textId="77777777" w:rsidR="0037330B" w:rsidRPr="00BD0CDC" w:rsidRDefault="0037330B" w:rsidP="0037330B">
      <w:pPr>
        <w:rPr>
          <w:rFonts w:ascii="Arial" w:hAnsi="Arial" w:cs="Arial"/>
          <w:sz w:val="24"/>
          <w:szCs w:val="24"/>
        </w:rPr>
      </w:pPr>
      <w:r w:rsidRPr="00BD0CDC">
        <w:rPr>
          <w:rFonts w:ascii="Arial" w:hAnsi="Arial" w:cs="Arial"/>
          <w:sz w:val="24"/>
          <w:szCs w:val="24"/>
        </w:rPr>
        <w:t>We do not consider the Government has made a case to support the introduction of a permission stage.</w:t>
      </w:r>
    </w:p>
    <w:p w14:paraId="67CA6DB3" w14:textId="1F13F438" w:rsidR="0037330B" w:rsidRDefault="0037330B" w:rsidP="0037330B">
      <w:pPr>
        <w:rPr>
          <w:rFonts w:ascii="Arial" w:hAnsi="Arial" w:cs="Arial"/>
          <w:sz w:val="24"/>
          <w:szCs w:val="24"/>
        </w:rPr>
      </w:pPr>
      <w:r w:rsidRPr="00BD0CDC">
        <w:rPr>
          <w:rFonts w:ascii="Arial" w:hAnsi="Arial" w:cs="Arial"/>
          <w:sz w:val="24"/>
          <w:szCs w:val="24"/>
        </w:rPr>
        <w:t xml:space="preserve">The consultation document does not provide any statistics (for example, the number of human rights cases struck out at an early stage) to support the </w:t>
      </w:r>
      <w:r w:rsidR="009934D0" w:rsidRPr="00BD0CDC">
        <w:rPr>
          <w:rFonts w:ascii="Arial" w:hAnsi="Arial" w:cs="Arial"/>
          <w:sz w:val="24"/>
          <w:szCs w:val="24"/>
        </w:rPr>
        <w:t xml:space="preserve">assertion </w:t>
      </w:r>
      <w:r w:rsidRPr="00BD0CDC">
        <w:rPr>
          <w:rFonts w:ascii="Arial" w:hAnsi="Arial" w:cs="Arial"/>
          <w:sz w:val="24"/>
          <w:szCs w:val="24"/>
        </w:rPr>
        <w:t xml:space="preserve">that ‘trivial and unmeritorious’ cases are being brought before national courts in large numbers, thereby using up court time and public resources. </w:t>
      </w:r>
    </w:p>
    <w:p w14:paraId="6B997522" w14:textId="64F04C95" w:rsidR="00971436" w:rsidRPr="00BD0CDC" w:rsidRDefault="00F45A90" w:rsidP="00AE3C32">
      <w:pPr>
        <w:spacing w:line="257" w:lineRule="auto"/>
        <w:rPr>
          <w:rFonts w:ascii="Arial" w:hAnsi="Arial" w:cs="Arial"/>
          <w:sz w:val="24"/>
          <w:szCs w:val="24"/>
        </w:rPr>
      </w:pPr>
      <w:r>
        <w:rPr>
          <w:rFonts w:ascii="Arial" w:eastAsia="Arial" w:hAnsi="Arial" w:cs="Arial"/>
          <w:sz w:val="24"/>
          <w:szCs w:val="24"/>
          <w:lang w:val="en-US"/>
        </w:rPr>
        <w:t>The Government state</w:t>
      </w:r>
      <w:r w:rsidR="00074E89">
        <w:rPr>
          <w:rFonts w:ascii="Arial" w:eastAsia="Arial" w:hAnsi="Arial" w:cs="Arial"/>
          <w:sz w:val="24"/>
          <w:szCs w:val="24"/>
          <w:lang w:val="en-US"/>
        </w:rPr>
        <w:t>s that</w:t>
      </w:r>
      <w:r w:rsidR="00971436" w:rsidRPr="0C788A5D">
        <w:rPr>
          <w:rFonts w:ascii="Arial" w:eastAsia="Arial" w:hAnsi="Arial" w:cs="Arial"/>
          <w:sz w:val="24"/>
          <w:szCs w:val="24"/>
          <w:lang w:val="en-US"/>
        </w:rPr>
        <w:t xml:space="preserve"> frivolous claims affect trust in the system and devalue the whole concept of human rights.</w:t>
      </w:r>
      <w:r w:rsidR="00074E89">
        <w:rPr>
          <w:rStyle w:val="FootnoteReference"/>
          <w:rFonts w:ascii="Arial" w:eastAsia="Arial" w:hAnsi="Arial" w:cs="Arial"/>
          <w:sz w:val="24"/>
          <w:szCs w:val="24"/>
          <w:lang w:val="en-US"/>
        </w:rPr>
        <w:footnoteReference w:id="39"/>
      </w:r>
      <w:r w:rsidR="00971436" w:rsidRPr="0C788A5D">
        <w:rPr>
          <w:rFonts w:ascii="Arial" w:eastAsia="Arial" w:hAnsi="Arial" w:cs="Arial"/>
          <w:sz w:val="24"/>
          <w:szCs w:val="24"/>
          <w:lang w:val="en-US"/>
        </w:rPr>
        <w:t xml:space="preserve"> It is difficult to understand how the bringing of a human rights challenge would devalue the concept of rights when this is very often the only way to seek full interpretation of rights in a particular situation. Unsuccessful cases should not be seen as automatically indicating that something has gone wrong or that parties have acted inappropriately in bringing claims. Many cases will be decided by a majority of judges in the higher courts and do not require unanimous decisions; dissenting judgments very clearly indicate where cases have come down to very complex interpretations and/or where the complexity is such that even a panel of experienced judges have found it difficult to agree on the interpretation of a vaguely drafted law or provision. It is only when legislation is applied to real life scenarios that the true nature of the </w:t>
      </w:r>
      <w:r w:rsidR="00785ACC" w:rsidRPr="0C788A5D">
        <w:rPr>
          <w:rFonts w:ascii="Arial" w:eastAsia="Arial" w:hAnsi="Arial" w:cs="Arial"/>
          <w:sz w:val="24"/>
          <w:szCs w:val="24"/>
          <w:lang w:val="en-US"/>
        </w:rPr>
        <w:t>in-depth</w:t>
      </w:r>
      <w:r w:rsidR="00971436" w:rsidRPr="0C788A5D">
        <w:rPr>
          <w:rFonts w:ascii="Arial" w:eastAsia="Arial" w:hAnsi="Arial" w:cs="Arial"/>
          <w:sz w:val="24"/>
          <w:szCs w:val="24"/>
          <w:lang w:val="en-US"/>
        </w:rPr>
        <w:t xml:space="preserve"> clauses and text can be properly tested out and sometimes it will be necessary to resort to the courts to assist in interpreting this. This is the point of the judicial system and the separation of powers, and should not therefore been seen as an indication of merit or otherwise in the claim being brought. </w:t>
      </w:r>
    </w:p>
    <w:p w14:paraId="5BDF5141" w14:textId="1EDA021E" w:rsidR="0037330B" w:rsidRPr="00BD0CDC" w:rsidRDefault="0037330B" w:rsidP="0037330B">
      <w:pPr>
        <w:rPr>
          <w:rFonts w:ascii="Arial" w:hAnsi="Arial" w:cs="Arial"/>
          <w:sz w:val="24"/>
          <w:szCs w:val="24"/>
        </w:rPr>
      </w:pPr>
      <w:r w:rsidRPr="00BD0CDC">
        <w:rPr>
          <w:rFonts w:ascii="Arial" w:hAnsi="Arial" w:cs="Arial"/>
          <w:sz w:val="24"/>
          <w:szCs w:val="24"/>
        </w:rPr>
        <w:t>In any case, a claimant bringing a judicial review (the most common form of human rights claim) in England and Wales, or in Scotland will need to apply for permission for judicial review. For example, in Scotland the Court of Session can only grant permission for an application for judicial review to proceed if “it is satisfied…that the application has a real prospect of success”.</w:t>
      </w:r>
      <w:r w:rsidRPr="00BD0CDC">
        <w:rPr>
          <w:rStyle w:val="FootnoteReference"/>
          <w:rFonts w:ascii="Arial" w:hAnsi="Arial" w:cs="Arial"/>
          <w:sz w:val="24"/>
          <w:szCs w:val="24"/>
        </w:rPr>
        <w:footnoteReference w:id="40"/>
      </w:r>
      <w:r w:rsidRPr="00BD0CDC">
        <w:rPr>
          <w:rFonts w:ascii="Arial" w:hAnsi="Arial" w:cs="Arial"/>
          <w:sz w:val="24"/>
          <w:szCs w:val="24"/>
        </w:rPr>
        <w:t xml:space="preserve"> According to case-law, the rule is “not to be interpreted as creating an unsurmountable barrier which would prevent what might appear to be a weak case from being fully argued in due course”.</w:t>
      </w:r>
      <w:r w:rsidRPr="00BD0CDC">
        <w:rPr>
          <w:rStyle w:val="FootnoteReference"/>
          <w:rFonts w:ascii="Arial" w:hAnsi="Arial" w:cs="Arial"/>
          <w:sz w:val="24"/>
          <w:szCs w:val="24"/>
        </w:rPr>
        <w:footnoteReference w:id="41"/>
      </w:r>
      <w:r w:rsidRPr="00BD0CDC">
        <w:rPr>
          <w:rFonts w:ascii="Arial" w:hAnsi="Arial" w:cs="Arial"/>
          <w:sz w:val="24"/>
          <w:szCs w:val="24"/>
        </w:rPr>
        <w:t xml:space="preserve"> </w:t>
      </w:r>
    </w:p>
    <w:p w14:paraId="213D13AA" w14:textId="00410410" w:rsidR="0037330B" w:rsidRPr="00BD0CDC" w:rsidRDefault="0037330B" w:rsidP="0037330B">
      <w:pPr>
        <w:rPr>
          <w:rFonts w:ascii="Arial" w:hAnsi="Arial" w:cs="Arial"/>
          <w:sz w:val="24"/>
          <w:szCs w:val="24"/>
        </w:rPr>
      </w:pPr>
      <w:r w:rsidRPr="00BD0CDC">
        <w:rPr>
          <w:rFonts w:ascii="Arial" w:hAnsi="Arial" w:cs="Arial"/>
          <w:sz w:val="24"/>
          <w:szCs w:val="24"/>
        </w:rPr>
        <w:t xml:space="preserve">The proposal </w:t>
      </w:r>
      <w:r w:rsidR="001E4676">
        <w:rPr>
          <w:rFonts w:ascii="Arial" w:hAnsi="Arial" w:cs="Arial"/>
          <w:sz w:val="24"/>
          <w:szCs w:val="24"/>
        </w:rPr>
        <w:t xml:space="preserve">to introduce a permission stage </w:t>
      </w:r>
      <w:r w:rsidRPr="00BD0CDC">
        <w:rPr>
          <w:rFonts w:ascii="Arial" w:hAnsi="Arial" w:cs="Arial"/>
          <w:sz w:val="24"/>
          <w:szCs w:val="24"/>
        </w:rPr>
        <w:t xml:space="preserve">will require amendments to court rules in Scotland, </w:t>
      </w:r>
      <w:r w:rsidR="001E4676">
        <w:rPr>
          <w:rFonts w:ascii="Arial" w:hAnsi="Arial" w:cs="Arial"/>
          <w:sz w:val="24"/>
          <w:szCs w:val="24"/>
        </w:rPr>
        <w:t xml:space="preserve">which is ordinarily </w:t>
      </w:r>
      <w:r w:rsidRPr="00BD0CDC">
        <w:rPr>
          <w:rFonts w:ascii="Arial" w:hAnsi="Arial" w:cs="Arial"/>
          <w:sz w:val="24"/>
          <w:szCs w:val="24"/>
        </w:rPr>
        <w:t xml:space="preserve">a devolved matter. The consultation document does not address whether any legislative consent will be sought. </w:t>
      </w:r>
    </w:p>
    <w:p w14:paraId="470F80BB" w14:textId="4EBF977A" w:rsidR="003C3A68" w:rsidRDefault="0037330B" w:rsidP="00B64071">
      <w:pPr>
        <w:rPr>
          <w:rFonts w:ascii="Arial" w:hAnsi="Arial" w:cs="Arial"/>
          <w:sz w:val="24"/>
          <w:szCs w:val="24"/>
        </w:rPr>
      </w:pPr>
      <w:r w:rsidRPr="00BD0CDC">
        <w:rPr>
          <w:rFonts w:ascii="Arial" w:hAnsi="Arial" w:cs="Arial"/>
          <w:sz w:val="24"/>
          <w:szCs w:val="24"/>
        </w:rPr>
        <w:t>Finally, we are of the view that introducing a permission stage and a ‘significant disadvantage’ condition poses a significant access to justice issue. If applied with excessive formality, it is likely that less human rights cases will be heard at a substantive hearing. In these circumstances, there is a risk that</w:t>
      </w:r>
      <w:r w:rsidR="00E4427D" w:rsidRPr="00BD0CDC">
        <w:rPr>
          <w:rFonts w:ascii="Arial" w:hAnsi="Arial" w:cs="Arial"/>
          <w:sz w:val="24"/>
          <w:szCs w:val="24"/>
        </w:rPr>
        <w:t xml:space="preserve"> the</w:t>
      </w:r>
      <w:r w:rsidRPr="00BD0CDC">
        <w:rPr>
          <w:rFonts w:ascii="Arial" w:hAnsi="Arial" w:cs="Arial"/>
          <w:sz w:val="24"/>
          <w:szCs w:val="24"/>
        </w:rPr>
        <w:t xml:space="preserve"> condition could </w:t>
      </w:r>
      <w:r w:rsidRPr="00BD0CDC">
        <w:rPr>
          <w:rFonts w:ascii="Arial" w:hAnsi="Arial" w:cs="Arial"/>
          <w:sz w:val="24"/>
          <w:szCs w:val="24"/>
        </w:rPr>
        <w:lastRenderedPageBreak/>
        <w:t>constitute a breach of Article 6 ECHR, on the basis that the practical and effective nature of the right of access to a court has been impaired.</w:t>
      </w:r>
      <w:r w:rsidRPr="00BD0CDC">
        <w:rPr>
          <w:rStyle w:val="FootnoteReference"/>
          <w:rFonts w:ascii="Arial" w:hAnsi="Arial" w:cs="Arial"/>
          <w:sz w:val="24"/>
          <w:szCs w:val="24"/>
        </w:rPr>
        <w:footnoteReference w:id="42"/>
      </w:r>
      <w:r w:rsidR="007B24FB">
        <w:rPr>
          <w:rFonts w:ascii="Arial" w:hAnsi="Arial" w:cs="Arial"/>
          <w:sz w:val="24"/>
          <w:szCs w:val="24"/>
        </w:rPr>
        <w:t xml:space="preserve"> </w:t>
      </w:r>
    </w:p>
    <w:p w14:paraId="1E95E150" w14:textId="5B128928" w:rsidR="00402B72" w:rsidRDefault="00CE0402" w:rsidP="005A1822">
      <w:pPr>
        <w:jc w:val="both"/>
        <w:rPr>
          <w:rFonts w:ascii="Arial" w:hAnsi="Arial" w:cs="Arial"/>
          <w:sz w:val="24"/>
          <w:szCs w:val="24"/>
        </w:rPr>
      </w:pPr>
      <w:r>
        <w:rPr>
          <w:rFonts w:ascii="Arial" w:hAnsi="Arial" w:cs="Arial"/>
          <w:sz w:val="24"/>
          <w:szCs w:val="24"/>
        </w:rPr>
        <w:t xml:space="preserve">We also note that </w:t>
      </w:r>
      <w:r w:rsidR="00FA63B6">
        <w:rPr>
          <w:rFonts w:ascii="Arial" w:hAnsi="Arial" w:cs="Arial"/>
          <w:sz w:val="24"/>
          <w:szCs w:val="24"/>
        </w:rPr>
        <w:t>‘significant disadv</w:t>
      </w:r>
      <w:r w:rsidR="00ED7A30">
        <w:rPr>
          <w:rFonts w:ascii="Arial" w:hAnsi="Arial" w:cs="Arial"/>
          <w:sz w:val="24"/>
          <w:szCs w:val="24"/>
        </w:rPr>
        <w:t xml:space="preserve">antage’ </w:t>
      </w:r>
      <w:r w:rsidR="00AC7FC1" w:rsidRPr="00AC7FC1">
        <w:rPr>
          <w:rFonts w:ascii="Arial" w:hAnsi="Arial" w:cs="Arial"/>
          <w:sz w:val="24"/>
          <w:szCs w:val="24"/>
        </w:rPr>
        <w:t>is not defined. There is no guidance as to what is significant; whether the test is to be determined subjectively or objectively; or as to the meaning of disadvantage</w:t>
      </w:r>
      <w:r w:rsidR="00CB610D">
        <w:rPr>
          <w:rFonts w:ascii="Arial" w:hAnsi="Arial" w:cs="Arial"/>
          <w:sz w:val="24"/>
          <w:szCs w:val="24"/>
        </w:rPr>
        <w:t>.</w:t>
      </w:r>
      <w:r w:rsidR="005A1822">
        <w:rPr>
          <w:rFonts w:ascii="Arial" w:hAnsi="Arial" w:cs="Arial"/>
          <w:sz w:val="24"/>
          <w:szCs w:val="24"/>
        </w:rPr>
        <w:t xml:space="preserve"> </w:t>
      </w:r>
    </w:p>
    <w:p w14:paraId="3A027C3B" w14:textId="5133B19C" w:rsidR="00872339" w:rsidRDefault="00872339" w:rsidP="00872339">
      <w:pPr>
        <w:spacing w:after="0" w:line="240" w:lineRule="auto"/>
        <w:jc w:val="both"/>
        <w:rPr>
          <w:rFonts w:ascii="Arial" w:eastAsia="Times New Roman" w:hAnsi="Arial" w:cs="Arial"/>
          <w:sz w:val="24"/>
          <w:szCs w:val="24"/>
        </w:rPr>
      </w:pPr>
      <w:r>
        <w:rPr>
          <w:rFonts w:ascii="Arial" w:eastAsia="Times New Roman" w:hAnsi="Arial" w:cs="Arial"/>
          <w:sz w:val="24"/>
          <w:szCs w:val="24"/>
        </w:rPr>
        <w:t>Further, the requirement to “have suffered” a significant disadvantage would not allow claimants who have not yet suffered any disadvantage and who are trying, by issuing proceedings, to prevent any disadvantage occurring to them</w:t>
      </w:r>
      <w:r w:rsidR="00384CD8">
        <w:rPr>
          <w:rFonts w:ascii="Arial" w:eastAsia="Times New Roman" w:hAnsi="Arial" w:cs="Arial"/>
          <w:sz w:val="24"/>
          <w:szCs w:val="24"/>
        </w:rPr>
        <w:t xml:space="preserve">. </w:t>
      </w:r>
      <w:r>
        <w:rPr>
          <w:rFonts w:ascii="Arial" w:eastAsia="Times New Roman" w:hAnsi="Arial" w:cs="Arial"/>
          <w:sz w:val="24"/>
          <w:szCs w:val="24"/>
        </w:rPr>
        <w:t>Such claimants would have to wait until they had suffered such a disadvantage before bringing proceedings, and it would often then be too late</w:t>
      </w:r>
      <w:r w:rsidR="00384CD8">
        <w:rPr>
          <w:rFonts w:ascii="Arial" w:eastAsia="Times New Roman" w:hAnsi="Arial" w:cs="Arial"/>
          <w:sz w:val="24"/>
          <w:szCs w:val="24"/>
        </w:rPr>
        <w:t xml:space="preserve">. </w:t>
      </w:r>
      <w:r>
        <w:rPr>
          <w:rFonts w:ascii="Arial" w:eastAsia="Times New Roman" w:hAnsi="Arial" w:cs="Arial"/>
          <w:sz w:val="24"/>
          <w:szCs w:val="24"/>
        </w:rPr>
        <w:t>This is particularly the case where a claimant is attempting to prevent publication</w:t>
      </w:r>
      <w:r w:rsidR="00384CD8">
        <w:rPr>
          <w:rFonts w:ascii="Arial" w:eastAsia="Times New Roman" w:hAnsi="Arial" w:cs="Arial"/>
          <w:sz w:val="24"/>
          <w:szCs w:val="24"/>
        </w:rPr>
        <w:t xml:space="preserve">. </w:t>
      </w:r>
      <w:r w:rsidR="005F6434">
        <w:rPr>
          <w:rFonts w:ascii="Arial" w:eastAsia="Times New Roman" w:hAnsi="Arial" w:cs="Arial"/>
          <w:sz w:val="24"/>
          <w:szCs w:val="24"/>
        </w:rPr>
        <w:t>A</w:t>
      </w:r>
      <w:r>
        <w:rPr>
          <w:rFonts w:ascii="Arial" w:eastAsia="Times New Roman" w:hAnsi="Arial" w:cs="Arial"/>
          <w:sz w:val="24"/>
          <w:szCs w:val="24"/>
        </w:rPr>
        <w:t xml:space="preserve"> failure to be able to prevent publication is likely to have a negative impact on children as they are likely to be more affected by publications about them in the future. </w:t>
      </w:r>
    </w:p>
    <w:p w14:paraId="4849F5CB" w14:textId="77777777" w:rsidR="00872339" w:rsidRDefault="00872339" w:rsidP="00AE3C32">
      <w:pPr>
        <w:spacing w:after="0" w:line="240" w:lineRule="auto"/>
        <w:jc w:val="both"/>
        <w:rPr>
          <w:rFonts w:ascii="Arial" w:eastAsia="Times New Roman" w:hAnsi="Arial" w:cs="Arial"/>
          <w:sz w:val="24"/>
          <w:szCs w:val="24"/>
        </w:rPr>
      </w:pPr>
    </w:p>
    <w:p w14:paraId="7E64B3A1" w14:textId="4D36CD40" w:rsidR="00402B72" w:rsidRPr="00AE3C32" w:rsidRDefault="005A1822" w:rsidP="00AE3C32">
      <w:pPr>
        <w:jc w:val="both"/>
        <w:rPr>
          <w:rFonts w:ascii="Arial" w:hAnsi="Arial" w:cs="Arial"/>
          <w:sz w:val="24"/>
          <w:szCs w:val="24"/>
        </w:rPr>
      </w:pPr>
      <w:r>
        <w:rPr>
          <w:rFonts w:ascii="Arial" w:hAnsi="Arial" w:cs="Arial"/>
          <w:sz w:val="24"/>
          <w:szCs w:val="24"/>
        </w:rPr>
        <w:t xml:space="preserve">The Northern Ireland case </w:t>
      </w:r>
      <w:r w:rsidRPr="00175308">
        <w:rPr>
          <w:rFonts w:ascii="Arial" w:hAnsi="Arial" w:cs="Arial"/>
          <w:sz w:val="24"/>
          <w:szCs w:val="24"/>
        </w:rPr>
        <w:t>JR159 [2021]</w:t>
      </w:r>
      <w:r w:rsidRPr="008F1797">
        <w:rPr>
          <w:rFonts w:ascii="Arial" w:hAnsi="Arial" w:cs="Arial"/>
          <w:i/>
          <w:sz w:val="24"/>
          <w:szCs w:val="24"/>
        </w:rPr>
        <w:t xml:space="preserve"> </w:t>
      </w:r>
      <w:r w:rsidRPr="00C7471B">
        <w:rPr>
          <w:rFonts w:ascii="Arial" w:hAnsi="Arial" w:cs="Arial"/>
          <w:sz w:val="24"/>
          <w:szCs w:val="24"/>
        </w:rPr>
        <w:t>NIQB 68</w:t>
      </w:r>
      <w:r w:rsidR="00402B72">
        <w:rPr>
          <w:rFonts w:ascii="Arial" w:hAnsi="Arial" w:cs="Arial"/>
          <w:sz w:val="24"/>
          <w:szCs w:val="24"/>
        </w:rPr>
        <w:t xml:space="preserve"> illustrates th</w:t>
      </w:r>
      <w:r w:rsidR="00872339">
        <w:rPr>
          <w:rFonts w:ascii="Arial" w:hAnsi="Arial" w:cs="Arial"/>
          <w:sz w:val="24"/>
          <w:szCs w:val="24"/>
        </w:rPr>
        <w:t>at t</w:t>
      </w:r>
      <w:r w:rsidR="004D57C0">
        <w:rPr>
          <w:rFonts w:ascii="Arial" w:hAnsi="Arial" w:cs="Arial"/>
          <w:sz w:val="24"/>
          <w:szCs w:val="24"/>
        </w:rPr>
        <w:t xml:space="preserve">ype of case that would have been </w:t>
      </w:r>
      <w:r w:rsidR="00972B1D">
        <w:rPr>
          <w:rFonts w:ascii="Arial" w:hAnsi="Arial" w:cs="Arial"/>
          <w:sz w:val="24"/>
          <w:szCs w:val="24"/>
        </w:rPr>
        <w:t>difficult</w:t>
      </w:r>
      <w:r w:rsidR="004D57C0">
        <w:rPr>
          <w:rFonts w:ascii="Arial" w:hAnsi="Arial" w:cs="Arial"/>
          <w:sz w:val="24"/>
          <w:szCs w:val="24"/>
        </w:rPr>
        <w:t xml:space="preserve"> to progress </w:t>
      </w:r>
      <w:r w:rsidR="00D81398">
        <w:rPr>
          <w:rFonts w:ascii="Arial" w:hAnsi="Arial" w:cs="Arial"/>
          <w:sz w:val="24"/>
          <w:szCs w:val="24"/>
        </w:rPr>
        <w:t xml:space="preserve">given the above requirement to </w:t>
      </w:r>
      <w:r w:rsidR="001116F5">
        <w:rPr>
          <w:rFonts w:ascii="Arial" w:hAnsi="Arial" w:cs="Arial"/>
          <w:sz w:val="24"/>
          <w:szCs w:val="24"/>
        </w:rPr>
        <w:t>“</w:t>
      </w:r>
      <w:r w:rsidR="00D81398">
        <w:rPr>
          <w:rFonts w:ascii="Arial" w:hAnsi="Arial" w:cs="Arial"/>
          <w:sz w:val="24"/>
          <w:szCs w:val="24"/>
        </w:rPr>
        <w:t>have suffered</w:t>
      </w:r>
      <w:r w:rsidR="001116F5">
        <w:rPr>
          <w:rFonts w:ascii="Arial" w:hAnsi="Arial" w:cs="Arial"/>
          <w:sz w:val="24"/>
          <w:szCs w:val="24"/>
        </w:rPr>
        <w:t>”</w:t>
      </w:r>
      <w:r w:rsidR="00D81398">
        <w:rPr>
          <w:rFonts w:ascii="Arial" w:hAnsi="Arial" w:cs="Arial"/>
          <w:sz w:val="24"/>
          <w:szCs w:val="24"/>
        </w:rPr>
        <w:t xml:space="preserve"> a significant disadvantage </w:t>
      </w:r>
      <w:r w:rsidR="004D57C0">
        <w:rPr>
          <w:rFonts w:ascii="Arial" w:hAnsi="Arial" w:cs="Arial"/>
          <w:sz w:val="24"/>
          <w:szCs w:val="24"/>
        </w:rPr>
        <w:t xml:space="preserve">under the new proposed </w:t>
      </w:r>
      <w:r w:rsidR="00D81398">
        <w:rPr>
          <w:rFonts w:ascii="Arial" w:hAnsi="Arial" w:cs="Arial"/>
          <w:sz w:val="24"/>
          <w:szCs w:val="24"/>
        </w:rPr>
        <w:t>“</w:t>
      </w:r>
      <w:r w:rsidR="004D57C0">
        <w:rPr>
          <w:rFonts w:ascii="Arial" w:hAnsi="Arial" w:cs="Arial"/>
          <w:sz w:val="24"/>
          <w:szCs w:val="24"/>
        </w:rPr>
        <w:t>permissions stage</w:t>
      </w:r>
      <w:r w:rsidR="00D81398">
        <w:rPr>
          <w:rFonts w:ascii="Arial" w:hAnsi="Arial" w:cs="Arial"/>
          <w:sz w:val="24"/>
          <w:szCs w:val="24"/>
        </w:rPr>
        <w:t>”</w:t>
      </w:r>
      <w:r w:rsidR="00872339">
        <w:rPr>
          <w:rFonts w:ascii="Arial" w:hAnsi="Arial" w:cs="Arial"/>
          <w:sz w:val="24"/>
          <w:szCs w:val="24"/>
        </w:rPr>
        <w:t xml:space="preserve">. </w:t>
      </w:r>
      <w:r w:rsidR="00402B72" w:rsidRPr="00C7471B">
        <w:rPr>
          <w:rFonts w:ascii="Arial" w:eastAsia="Times New Roman" w:hAnsi="Arial" w:cs="Arial"/>
          <w:sz w:val="24"/>
          <w:szCs w:val="24"/>
        </w:rPr>
        <w:t>The Applicant was born prematurely and was due to start primary school in September 2021.</w:t>
      </w:r>
      <w:r w:rsidR="00402B72">
        <w:rPr>
          <w:rFonts w:ascii="Arial" w:eastAsia="Times New Roman" w:hAnsi="Arial" w:cs="Arial"/>
          <w:sz w:val="24"/>
          <w:szCs w:val="24"/>
        </w:rPr>
        <w:t>T</w:t>
      </w:r>
      <w:r w:rsidR="00402B72" w:rsidRPr="00C7471B">
        <w:rPr>
          <w:rFonts w:ascii="Arial" w:eastAsia="Times New Roman" w:hAnsi="Arial" w:cs="Arial"/>
          <w:sz w:val="24"/>
          <w:szCs w:val="24"/>
        </w:rPr>
        <w:t>he Applicant’s parents were concerned that the child was not ready for primary school and wished to defer this for a year.</w:t>
      </w:r>
      <w:r w:rsidR="00687441">
        <w:rPr>
          <w:rFonts w:ascii="Arial" w:eastAsia="Times New Roman" w:hAnsi="Arial" w:cs="Arial"/>
          <w:sz w:val="24"/>
          <w:szCs w:val="24"/>
        </w:rPr>
        <w:t xml:space="preserve"> </w:t>
      </w:r>
      <w:r w:rsidR="00402B72" w:rsidRPr="00C7471B">
        <w:rPr>
          <w:rFonts w:ascii="Arial" w:eastAsia="Times New Roman" w:hAnsi="Arial" w:cs="Arial"/>
          <w:sz w:val="24"/>
          <w:szCs w:val="24"/>
        </w:rPr>
        <w:t>The education legislation did not allow for deferrals.</w:t>
      </w:r>
      <w:r w:rsidR="00B04859">
        <w:rPr>
          <w:rFonts w:ascii="Arial" w:eastAsia="Times New Roman" w:hAnsi="Arial" w:cs="Arial"/>
          <w:sz w:val="24"/>
          <w:szCs w:val="24"/>
        </w:rPr>
        <w:t xml:space="preserve"> </w:t>
      </w:r>
      <w:r w:rsidR="00402B72" w:rsidRPr="00C7471B">
        <w:rPr>
          <w:rFonts w:ascii="Arial" w:eastAsia="Times New Roman" w:hAnsi="Arial" w:cs="Arial"/>
          <w:sz w:val="24"/>
          <w:szCs w:val="24"/>
        </w:rPr>
        <w:t>The court found that there was a breach of Article 8 ECHR. The court found that the statutory scheme was disproportionate in its operation by reason of its lack of flexibility and, thus, its incapacity to deal adequately with a case where requiring a child to commence full-time education at the current compulsory school starting age is clearly and demonstrably contrary to that child’s best interests and unjustified by the aims pursued by the legislation.</w:t>
      </w:r>
    </w:p>
    <w:p w14:paraId="1A351649" w14:textId="47319273" w:rsidR="00CB610D" w:rsidRPr="00BD0CDC" w:rsidRDefault="00C15A04" w:rsidP="00065A26">
      <w:pPr>
        <w:rPr>
          <w:rFonts w:ascii="Arial" w:hAnsi="Arial" w:cs="Arial"/>
          <w:sz w:val="24"/>
          <w:szCs w:val="24"/>
        </w:rPr>
      </w:pPr>
      <w:r>
        <w:rPr>
          <w:rFonts w:ascii="Arial" w:hAnsi="Arial" w:cs="Arial"/>
          <w:sz w:val="24"/>
          <w:szCs w:val="24"/>
        </w:rPr>
        <w:t>T</w:t>
      </w:r>
      <w:r w:rsidR="00C22B5D">
        <w:rPr>
          <w:rFonts w:ascii="Arial" w:hAnsi="Arial" w:cs="Arial"/>
          <w:sz w:val="24"/>
          <w:szCs w:val="24"/>
        </w:rPr>
        <w:t>hese proposals will</w:t>
      </w:r>
      <w:r w:rsidR="00CB610D" w:rsidRPr="00CB610D">
        <w:rPr>
          <w:rFonts w:ascii="Arial" w:hAnsi="Arial" w:cs="Arial"/>
          <w:sz w:val="24"/>
          <w:szCs w:val="24"/>
        </w:rPr>
        <w:t xml:space="preserve"> be detrimental for child claimants. Children are not in control of their cases. Children rely on the adults around them to bring claims on their behalf and to successfully navigate the requirements of instructing a solicitor; obtaining funding and bringing proceedings. The more hurdles that are placed in their way, the more likely they are not to succeed in what may well be a meritorious claim</w:t>
      </w:r>
      <w:r w:rsidR="00166EFD" w:rsidRPr="00CB610D">
        <w:rPr>
          <w:rFonts w:ascii="Arial" w:hAnsi="Arial" w:cs="Arial"/>
          <w:sz w:val="24"/>
          <w:szCs w:val="24"/>
        </w:rPr>
        <w:t xml:space="preserve">. </w:t>
      </w:r>
      <w:r w:rsidR="00CB610D" w:rsidRPr="00CB610D">
        <w:rPr>
          <w:rFonts w:ascii="Arial" w:hAnsi="Arial" w:cs="Arial"/>
          <w:sz w:val="24"/>
          <w:szCs w:val="24"/>
        </w:rPr>
        <w:t>Whilst this is likely to affect all human rights claimants, the negative impact is likely to be more significant for children given their reliance on others to protect their rights.</w:t>
      </w:r>
    </w:p>
    <w:p w14:paraId="54F0CFA3" w14:textId="77777777" w:rsidR="00A05DE0" w:rsidRPr="00BD0CDC" w:rsidRDefault="00C80EE1" w:rsidP="00065A26">
      <w:pPr>
        <w:rPr>
          <w:rFonts w:ascii="Arial" w:hAnsi="Arial" w:cs="Arial"/>
          <w:b/>
          <w:bCs/>
          <w:sz w:val="24"/>
          <w:szCs w:val="24"/>
        </w:rPr>
      </w:pPr>
      <w:r w:rsidRPr="00BD0CDC">
        <w:rPr>
          <w:rFonts w:ascii="Arial" w:hAnsi="Arial" w:cs="Arial"/>
          <w:b/>
          <w:bCs/>
          <w:sz w:val="24"/>
          <w:szCs w:val="24"/>
        </w:rPr>
        <w:t>Qualified</w:t>
      </w:r>
      <w:r w:rsidR="00A05DE0" w:rsidRPr="00BD0CDC">
        <w:rPr>
          <w:rFonts w:ascii="Arial" w:hAnsi="Arial" w:cs="Arial"/>
          <w:b/>
          <w:bCs/>
          <w:sz w:val="24"/>
          <w:szCs w:val="24"/>
        </w:rPr>
        <w:t xml:space="preserve"> and limited rights</w:t>
      </w:r>
    </w:p>
    <w:p w14:paraId="109D0DC8" w14:textId="5102CBDD" w:rsidR="0015513F" w:rsidRPr="00BD0CDC" w:rsidRDefault="008632AD" w:rsidP="00065A26">
      <w:pPr>
        <w:rPr>
          <w:rFonts w:ascii="Arial" w:hAnsi="Arial" w:cs="Arial"/>
          <w:sz w:val="24"/>
          <w:szCs w:val="24"/>
        </w:rPr>
      </w:pPr>
      <w:r w:rsidRPr="00BD0CDC">
        <w:rPr>
          <w:rFonts w:ascii="Arial" w:hAnsi="Arial" w:cs="Arial"/>
          <w:sz w:val="24"/>
          <w:szCs w:val="24"/>
        </w:rPr>
        <w:t>We</w:t>
      </w:r>
      <w:r w:rsidR="00C97D29" w:rsidRPr="00BD0CDC">
        <w:rPr>
          <w:rFonts w:ascii="Arial" w:hAnsi="Arial" w:cs="Arial"/>
          <w:sz w:val="24"/>
          <w:szCs w:val="24"/>
        </w:rPr>
        <w:t xml:space="preserve"> fundamentally disagree that the </w:t>
      </w:r>
      <w:r w:rsidR="00AD0B80" w:rsidRPr="00BD0CDC">
        <w:rPr>
          <w:rFonts w:ascii="Arial" w:hAnsi="Arial" w:cs="Arial"/>
          <w:sz w:val="24"/>
          <w:szCs w:val="24"/>
        </w:rPr>
        <w:t>principle of ‘</w:t>
      </w:r>
      <w:r w:rsidRPr="00BD0CDC">
        <w:rPr>
          <w:rFonts w:ascii="Arial" w:hAnsi="Arial" w:cs="Arial"/>
          <w:sz w:val="24"/>
          <w:szCs w:val="24"/>
        </w:rPr>
        <w:t>proportionality</w:t>
      </w:r>
      <w:r w:rsidR="00AD0B80" w:rsidRPr="00BD0CDC">
        <w:rPr>
          <w:rFonts w:ascii="Arial" w:hAnsi="Arial" w:cs="Arial"/>
          <w:sz w:val="24"/>
          <w:szCs w:val="24"/>
        </w:rPr>
        <w:t xml:space="preserve">’, which underpins </w:t>
      </w:r>
      <w:r w:rsidR="00481A8E" w:rsidRPr="00BD0CDC">
        <w:rPr>
          <w:rFonts w:ascii="Arial" w:hAnsi="Arial" w:cs="Arial"/>
          <w:sz w:val="24"/>
          <w:szCs w:val="24"/>
        </w:rPr>
        <w:t xml:space="preserve">decision making </w:t>
      </w:r>
      <w:r w:rsidR="009A219C" w:rsidRPr="00BD0CDC">
        <w:rPr>
          <w:rFonts w:ascii="Arial" w:hAnsi="Arial" w:cs="Arial"/>
          <w:sz w:val="24"/>
          <w:szCs w:val="24"/>
        </w:rPr>
        <w:t xml:space="preserve">in relation to </w:t>
      </w:r>
      <w:r w:rsidR="00FF59FA" w:rsidRPr="00BD0CDC">
        <w:rPr>
          <w:rFonts w:ascii="Arial" w:hAnsi="Arial" w:cs="Arial"/>
          <w:sz w:val="24"/>
          <w:szCs w:val="24"/>
        </w:rPr>
        <w:t>qualified rights under the ECHR (i.e. Articles 8-11)</w:t>
      </w:r>
      <w:r w:rsidR="00C53493" w:rsidRPr="00BD0CDC">
        <w:rPr>
          <w:rFonts w:ascii="Arial" w:hAnsi="Arial" w:cs="Arial"/>
          <w:sz w:val="24"/>
          <w:szCs w:val="24"/>
        </w:rPr>
        <w:t xml:space="preserve">, </w:t>
      </w:r>
      <w:r w:rsidR="009062CB" w:rsidRPr="00BD0CDC">
        <w:rPr>
          <w:rFonts w:ascii="Arial" w:hAnsi="Arial" w:cs="Arial"/>
          <w:sz w:val="24"/>
          <w:szCs w:val="24"/>
        </w:rPr>
        <w:t>h</w:t>
      </w:r>
      <w:r w:rsidR="00C53493" w:rsidRPr="00BD0CDC">
        <w:rPr>
          <w:rFonts w:ascii="Arial" w:hAnsi="Arial" w:cs="Arial"/>
          <w:sz w:val="24"/>
          <w:szCs w:val="24"/>
        </w:rPr>
        <w:t>as “created uncertaint</w:t>
      </w:r>
      <w:r w:rsidR="006B38E3" w:rsidRPr="00BD0CDC">
        <w:rPr>
          <w:rFonts w:ascii="Arial" w:hAnsi="Arial" w:cs="Arial"/>
          <w:sz w:val="24"/>
          <w:szCs w:val="24"/>
        </w:rPr>
        <w:t xml:space="preserve">y”. </w:t>
      </w:r>
      <w:r w:rsidR="00087928" w:rsidRPr="00BD0CDC">
        <w:rPr>
          <w:rFonts w:ascii="Arial" w:hAnsi="Arial" w:cs="Arial"/>
          <w:sz w:val="24"/>
          <w:szCs w:val="24"/>
        </w:rPr>
        <w:t xml:space="preserve">We are also of the view that courts are </w:t>
      </w:r>
      <w:r w:rsidR="006F0193" w:rsidRPr="00BD0CDC">
        <w:rPr>
          <w:rFonts w:ascii="Arial" w:hAnsi="Arial" w:cs="Arial"/>
          <w:sz w:val="24"/>
          <w:szCs w:val="24"/>
        </w:rPr>
        <w:t xml:space="preserve">inherently capable of </w:t>
      </w:r>
      <w:r w:rsidR="00BB00EB" w:rsidRPr="00BD0CDC">
        <w:rPr>
          <w:rFonts w:ascii="Arial" w:hAnsi="Arial" w:cs="Arial"/>
          <w:sz w:val="24"/>
          <w:szCs w:val="24"/>
        </w:rPr>
        <w:t xml:space="preserve">balancing competing rights in difficult cases </w:t>
      </w:r>
      <w:r w:rsidR="006349CB" w:rsidRPr="00BD0CDC">
        <w:rPr>
          <w:rFonts w:ascii="Arial" w:hAnsi="Arial" w:cs="Arial"/>
          <w:sz w:val="24"/>
          <w:szCs w:val="24"/>
        </w:rPr>
        <w:t>without the need for</w:t>
      </w:r>
      <w:r w:rsidR="00087928" w:rsidRPr="00BD0CDC">
        <w:rPr>
          <w:rFonts w:ascii="Arial" w:hAnsi="Arial" w:cs="Arial"/>
          <w:sz w:val="24"/>
          <w:szCs w:val="24"/>
        </w:rPr>
        <w:t xml:space="preserve"> statutory guidance</w:t>
      </w:r>
      <w:r w:rsidR="00932ED4" w:rsidRPr="00BD0CDC">
        <w:rPr>
          <w:rFonts w:ascii="Arial" w:hAnsi="Arial" w:cs="Arial"/>
          <w:sz w:val="24"/>
          <w:szCs w:val="24"/>
        </w:rPr>
        <w:t>.</w:t>
      </w:r>
      <w:r w:rsidR="00087928" w:rsidRPr="00BD0CDC">
        <w:rPr>
          <w:rFonts w:ascii="Arial" w:hAnsi="Arial" w:cs="Arial"/>
          <w:sz w:val="24"/>
          <w:szCs w:val="24"/>
        </w:rPr>
        <w:t xml:space="preserve"> </w:t>
      </w:r>
    </w:p>
    <w:p w14:paraId="285D6F06" w14:textId="732E17EC" w:rsidR="009F43EE" w:rsidRPr="00BD0CDC" w:rsidRDefault="00DD1AB6" w:rsidP="00065A26">
      <w:pPr>
        <w:rPr>
          <w:rFonts w:ascii="Arial" w:hAnsi="Arial" w:cs="Arial"/>
          <w:sz w:val="24"/>
          <w:szCs w:val="24"/>
        </w:rPr>
      </w:pPr>
      <w:r w:rsidRPr="00BD0CDC">
        <w:rPr>
          <w:rFonts w:ascii="Arial" w:hAnsi="Arial" w:cs="Arial"/>
          <w:sz w:val="24"/>
          <w:szCs w:val="24"/>
        </w:rPr>
        <w:t xml:space="preserve">We note </w:t>
      </w:r>
      <w:r w:rsidR="00845C79" w:rsidRPr="00BD0CDC">
        <w:rPr>
          <w:rFonts w:ascii="Arial" w:hAnsi="Arial" w:cs="Arial"/>
          <w:sz w:val="24"/>
          <w:szCs w:val="24"/>
        </w:rPr>
        <w:t xml:space="preserve">the rationale behind proposals in relation to qualified rights stem from perceived ‘judicial extension’ of </w:t>
      </w:r>
      <w:r w:rsidR="00CA56AD" w:rsidRPr="00BD0CDC">
        <w:rPr>
          <w:rFonts w:ascii="Arial" w:hAnsi="Arial" w:cs="Arial"/>
          <w:sz w:val="24"/>
          <w:szCs w:val="24"/>
        </w:rPr>
        <w:t>ECHR rights.</w:t>
      </w:r>
      <w:r w:rsidR="00663E39" w:rsidRPr="00BD0CDC">
        <w:rPr>
          <w:rFonts w:ascii="Arial" w:hAnsi="Arial" w:cs="Arial"/>
          <w:sz w:val="24"/>
          <w:szCs w:val="24"/>
        </w:rPr>
        <w:t xml:space="preserve"> </w:t>
      </w:r>
      <w:r w:rsidR="002B2A56" w:rsidRPr="00BD0CDC">
        <w:rPr>
          <w:rFonts w:ascii="Arial" w:hAnsi="Arial" w:cs="Arial"/>
          <w:sz w:val="24"/>
          <w:szCs w:val="24"/>
        </w:rPr>
        <w:t>T</w:t>
      </w:r>
      <w:r w:rsidR="00663E39" w:rsidRPr="00BD0CDC">
        <w:rPr>
          <w:rFonts w:ascii="Arial" w:hAnsi="Arial" w:cs="Arial"/>
          <w:sz w:val="24"/>
          <w:szCs w:val="24"/>
        </w:rPr>
        <w:t xml:space="preserve">he </w:t>
      </w:r>
      <w:r w:rsidR="00301F2F">
        <w:rPr>
          <w:rFonts w:ascii="Arial" w:hAnsi="Arial" w:cs="Arial"/>
          <w:sz w:val="24"/>
          <w:szCs w:val="24"/>
        </w:rPr>
        <w:t>c</w:t>
      </w:r>
      <w:r w:rsidR="00663E39" w:rsidRPr="00BD0CDC">
        <w:rPr>
          <w:rFonts w:ascii="Arial" w:hAnsi="Arial" w:cs="Arial"/>
          <w:sz w:val="24"/>
          <w:szCs w:val="24"/>
        </w:rPr>
        <w:t xml:space="preserve">onsultation paper provides little </w:t>
      </w:r>
      <w:r w:rsidR="00000C4D" w:rsidRPr="00BD0CDC">
        <w:rPr>
          <w:rFonts w:ascii="Arial" w:hAnsi="Arial" w:cs="Arial"/>
          <w:sz w:val="24"/>
          <w:szCs w:val="24"/>
        </w:rPr>
        <w:t>to support this assertion. We believe this mischaracterises</w:t>
      </w:r>
      <w:r w:rsidR="00357632" w:rsidRPr="00BD0CDC">
        <w:rPr>
          <w:rFonts w:ascii="Arial" w:hAnsi="Arial" w:cs="Arial"/>
          <w:sz w:val="24"/>
          <w:szCs w:val="24"/>
        </w:rPr>
        <w:t xml:space="preserve"> the often</w:t>
      </w:r>
      <w:r w:rsidR="00000C4D" w:rsidRPr="00BD0CDC">
        <w:rPr>
          <w:rFonts w:ascii="Arial" w:hAnsi="Arial" w:cs="Arial"/>
          <w:sz w:val="24"/>
          <w:szCs w:val="24"/>
        </w:rPr>
        <w:t xml:space="preserve"> </w:t>
      </w:r>
      <w:r w:rsidR="00AA3287" w:rsidRPr="00BD0CDC">
        <w:rPr>
          <w:rFonts w:ascii="Arial" w:hAnsi="Arial" w:cs="Arial"/>
          <w:sz w:val="24"/>
          <w:szCs w:val="24"/>
        </w:rPr>
        <w:t xml:space="preserve">difficult and </w:t>
      </w:r>
      <w:r w:rsidR="00AA3287" w:rsidRPr="00BD0CDC">
        <w:rPr>
          <w:rFonts w:ascii="Arial" w:hAnsi="Arial" w:cs="Arial"/>
          <w:sz w:val="24"/>
          <w:szCs w:val="24"/>
        </w:rPr>
        <w:lastRenderedPageBreak/>
        <w:t xml:space="preserve">nuanced balancing exercise which courts undertake when </w:t>
      </w:r>
      <w:r w:rsidR="002119E4" w:rsidRPr="00BD0CDC">
        <w:rPr>
          <w:rFonts w:ascii="Arial" w:hAnsi="Arial" w:cs="Arial"/>
          <w:sz w:val="24"/>
          <w:szCs w:val="24"/>
        </w:rPr>
        <w:t xml:space="preserve">considering cases involving qualified rights, which of course, will involve competing rights. </w:t>
      </w:r>
    </w:p>
    <w:p w14:paraId="0A3DEC67" w14:textId="417AEB39" w:rsidR="004F5D23" w:rsidRDefault="00221DA9" w:rsidP="00B9044A">
      <w:pPr>
        <w:spacing w:line="257" w:lineRule="auto"/>
        <w:rPr>
          <w:rFonts w:ascii="Arial" w:eastAsia="Arial" w:hAnsi="Arial" w:cs="Arial"/>
          <w:sz w:val="24"/>
          <w:szCs w:val="24"/>
          <w:lang w:val="en-US"/>
        </w:rPr>
      </w:pPr>
      <w:r w:rsidRPr="00D01C97">
        <w:rPr>
          <w:rFonts w:ascii="Arial" w:hAnsi="Arial" w:cs="Arial"/>
          <w:sz w:val="24"/>
          <w:szCs w:val="24"/>
        </w:rPr>
        <w:t xml:space="preserve">Nowhere </w:t>
      </w:r>
      <w:r w:rsidR="0066223A" w:rsidRPr="00D01C97">
        <w:rPr>
          <w:rFonts w:ascii="Arial" w:hAnsi="Arial" w:cs="Arial"/>
          <w:sz w:val="24"/>
          <w:szCs w:val="24"/>
        </w:rPr>
        <w:t xml:space="preserve">is this delicate balance more pronounced than in cases involving </w:t>
      </w:r>
      <w:r w:rsidR="00871083" w:rsidRPr="00D01C97">
        <w:rPr>
          <w:rFonts w:ascii="Arial" w:hAnsi="Arial" w:cs="Arial"/>
          <w:sz w:val="24"/>
          <w:szCs w:val="24"/>
        </w:rPr>
        <w:t xml:space="preserve">children’s right to a private and family life under Article 8 ECHR. </w:t>
      </w:r>
      <w:r w:rsidR="003670B6" w:rsidRPr="00D01C97">
        <w:rPr>
          <w:rFonts w:ascii="Arial" w:hAnsi="Arial" w:cs="Arial"/>
          <w:sz w:val="24"/>
          <w:szCs w:val="24"/>
        </w:rPr>
        <w:t>We have referred to the UK Supreme Court’s judgment</w:t>
      </w:r>
      <w:r w:rsidR="00B01F75" w:rsidRPr="00D01C97">
        <w:rPr>
          <w:rFonts w:ascii="Arial" w:hAnsi="Arial" w:cs="Arial"/>
          <w:sz w:val="24"/>
          <w:szCs w:val="24"/>
        </w:rPr>
        <w:t xml:space="preserve"> in</w:t>
      </w:r>
      <w:r w:rsidR="00061B77" w:rsidRPr="00D01C97">
        <w:rPr>
          <w:rFonts w:ascii="Arial" w:hAnsi="Arial" w:cs="Arial"/>
          <w:sz w:val="24"/>
          <w:szCs w:val="24"/>
        </w:rPr>
        <w:t xml:space="preserve"> </w:t>
      </w:r>
      <w:r w:rsidR="00B25E82" w:rsidRPr="00D01C97">
        <w:rPr>
          <w:rFonts w:ascii="Arial" w:hAnsi="Arial" w:cs="Arial"/>
          <w:sz w:val="24"/>
          <w:szCs w:val="24"/>
        </w:rPr>
        <w:t>ZH (Tanzania) v Secretary of State for the Home Department</w:t>
      </w:r>
      <w:r w:rsidR="00B25E82" w:rsidRPr="00D01C97">
        <w:rPr>
          <w:rStyle w:val="FootnoteReference"/>
          <w:rFonts w:ascii="Arial" w:hAnsi="Arial" w:cs="Arial"/>
          <w:sz w:val="24"/>
          <w:szCs w:val="24"/>
        </w:rPr>
        <w:footnoteReference w:id="43"/>
      </w:r>
      <w:r w:rsidR="009C73C8" w:rsidRPr="00D01C97">
        <w:rPr>
          <w:rFonts w:ascii="Arial" w:hAnsi="Arial" w:cs="Arial"/>
          <w:sz w:val="24"/>
          <w:szCs w:val="24"/>
        </w:rPr>
        <w:t xml:space="preserve"> </w:t>
      </w:r>
      <w:r w:rsidR="00B01F75" w:rsidRPr="00D01C97">
        <w:rPr>
          <w:rFonts w:ascii="Arial" w:hAnsi="Arial" w:cs="Arial"/>
          <w:sz w:val="24"/>
          <w:szCs w:val="24"/>
        </w:rPr>
        <w:t xml:space="preserve">above, which we </w:t>
      </w:r>
      <w:r w:rsidR="00554AB1" w:rsidRPr="00D01C97">
        <w:rPr>
          <w:rFonts w:ascii="Arial" w:hAnsi="Arial" w:cs="Arial"/>
          <w:sz w:val="24"/>
          <w:szCs w:val="24"/>
        </w:rPr>
        <w:t xml:space="preserve">consider </w:t>
      </w:r>
      <w:r w:rsidR="0099377D" w:rsidRPr="00D01C97">
        <w:rPr>
          <w:rFonts w:ascii="Arial" w:hAnsi="Arial" w:cs="Arial"/>
          <w:sz w:val="24"/>
          <w:szCs w:val="24"/>
        </w:rPr>
        <w:t>demonstrates</w:t>
      </w:r>
      <w:r w:rsidR="00B9044A" w:rsidRPr="00D01C97">
        <w:rPr>
          <w:rFonts w:ascii="Arial" w:hAnsi="Arial" w:cs="Arial"/>
          <w:sz w:val="24"/>
          <w:szCs w:val="24"/>
        </w:rPr>
        <w:t xml:space="preserve"> </w:t>
      </w:r>
      <w:r w:rsidR="00284DD6" w:rsidRPr="00AE3C32">
        <w:rPr>
          <w:rFonts w:ascii="Arial" w:eastAsia="Arial" w:hAnsi="Arial" w:cs="Arial"/>
          <w:sz w:val="24"/>
          <w:szCs w:val="24"/>
          <w:lang w:val="en-US"/>
        </w:rPr>
        <w:t xml:space="preserve">how </w:t>
      </w:r>
      <w:r w:rsidR="006326A8" w:rsidRPr="00AE3C32">
        <w:rPr>
          <w:rFonts w:ascii="Arial" w:eastAsia="Arial" w:hAnsi="Arial" w:cs="Arial"/>
          <w:sz w:val="24"/>
          <w:szCs w:val="24"/>
          <w:lang w:val="en-US"/>
        </w:rPr>
        <w:t>a proper</w:t>
      </w:r>
      <w:r w:rsidR="00B9044A" w:rsidRPr="00AE3C32">
        <w:rPr>
          <w:rFonts w:ascii="Arial" w:eastAsia="Arial" w:hAnsi="Arial" w:cs="Arial"/>
          <w:sz w:val="24"/>
          <w:szCs w:val="24"/>
          <w:lang w:val="en-US"/>
        </w:rPr>
        <w:t xml:space="preserve"> balancing exercise</w:t>
      </w:r>
      <w:r w:rsidR="00284DD6" w:rsidRPr="00AE3C32">
        <w:rPr>
          <w:rFonts w:ascii="Arial" w:eastAsia="Arial" w:hAnsi="Arial" w:cs="Arial"/>
          <w:sz w:val="24"/>
          <w:szCs w:val="24"/>
          <w:lang w:val="en-US"/>
        </w:rPr>
        <w:t xml:space="preserve"> can</w:t>
      </w:r>
      <w:r w:rsidR="00B9044A" w:rsidRPr="00AE3C32">
        <w:rPr>
          <w:rFonts w:ascii="Arial" w:eastAsia="Arial" w:hAnsi="Arial" w:cs="Arial"/>
          <w:sz w:val="24"/>
          <w:szCs w:val="24"/>
          <w:lang w:val="en-US"/>
        </w:rPr>
        <w:t xml:space="preserve"> ensure that the particular circumstances of </w:t>
      </w:r>
      <w:r w:rsidR="006326A8" w:rsidRPr="00AE3C32">
        <w:rPr>
          <w:rFonts w:ascii="Arial" w:eastAsia="Arial" w:hAnsi="Arial" w:cs="Arial"/>
          <w:sz w:val="24"/>
          <w:szCs w:val="24"/>
          <w:lang w:val="en-US"/>
        </w:rPr>
        <w:t>a</w:t>
      </w:r>
      <w:r w:rsidR="00B9044A" w:rsidRPr="00AE3C32">
        <w:rPr>
          <w:rFonts w:ascii="Arial" w:eastAsia="Arial" w:hAnsi="Arial" w:cs="Arial"/>
          <w:sz w:val="24"/>
          <w:szCs w:val="24"/>
          <w:lang w:val="en-US"/>
        </w:rPr>
        <w:t xml:space="preserve"> case and the family’s lives are </w:t>
      </w:r>
      <w:r w:rsidR="004F5D23">
        <w:rPr>
          <w:rFonts w:ascii="Arial" w:eastAsia="Arial" w:hAnsi="Arial" w:cs="Arial"/>
          <w:sz w:val="24"/>
          <w:szCs w:val="24"/>
          <w:lang w:val="en-US"/>
        </w:rPr>
        <w:t>fully</w:t>
      </w:r>
      <w:r w:rsidR="00B9044A" w:rsidRPr="00AE3C32">
        <w:rPr>
          <w:rFonts w:ascii="Arial" w:eastAsia="Arial" w:hAnsi="Arial" w:cs="Arial"/>
          <w:sz w:val="24"/>
          <w:szCs w:val="24"/>
          <w:lang w:val="en-US"/>
        </w:rPr>
        <w:t xml:space="preserve"> considered</w:t>
      </w:r>
      <w:r w:rsidR="004F5D23">
        <w:rPr>
          <w:rFonts w:ascii="Arial" w:eastAsia="Arial" w:hAnsi="Arial" w:cs="Arial"/>
          <w:sz w:val="24"/>
          <w:szCs w:val="24"/>
          <w:lang w:val="en-US"/>
        </w:rPr>
        <w:t>, including the best interests of the child.</w:t>
      </w:r>
      <w:r w:rsidR="006326A8" w:rsidRPr="00AE3C32">
        <w:rPr>
          <w:rFonts w:ascii="Arial" w:eastAsia="Arial" w:hAnsi="Arial" w:cs="Arial"/>
          <w:sz w:val="24"/>
          <w:szCs w:val="24"/>
          <w:lang w:val="en-US"/>
        </w:rPr>
        <w:t xml:space="preserve"> </w:t>
      </w:r>
    </w:p>
    <w:p w14:paraId="5E5B2AB0" w14:textId="109889D2" w:rsidR="002F51A0" w:rsidRPr="00B83455" w:rsidRDefault="004F5D23" w:rsidP="00B9044A">
      <w:pPr>
        <w:spacing w:line="257" w:lineRule="auto"/>
        <w:rPr>
          <w:rFonts w:ascii="Arial" w:eastAsia="Arial" w:hAnsi="Arial" w:cs="Arial"/>
          <w:sz w:val="24"/>
          <w:szCs w:val="24"/>
          <w:lang w:val="en-US"/>
        </w:rPr>
      </w:pPr>
      <w:r w:rsidRPr="00B83455">
        <w:rPr>
          <w:rFonts w:ascii="Arial" w:eastAsia="Arial" w:hAnsi="Arial" w:cs="Arial"/>
          <w:sz w:val="24"/>
          <w:szCs w:val="24"/>
          <w:lang w:val="en-US"/>
        </w:rPr>
        <w:t xml:space="preserve">We </w:t>
      </w:r>
      <w:r w:rsidR="007E10AC" w:rsidRPr="00B83455">
        <w:rPr>
          <w:rFonts w:ascii="Arial" w:eastAsia="Arial" w:hAnsi="Arial" w:cs="Arial"/>
          <w:sz w:val="24"/>
          <w:szCs w:val="24"/>
          <w:lang w:val="en-US"/>
        </w:rPr>
        <w:t>believe</w:t>
      </w:r>
      <w:r w:rsidRPr="00B83455">
        <w:rPr>
          <w:rFonts w:ascii="Arial" w:eastAsia="Arial" w:hAnsi="Arial" w:cs="Arial"/>
          <w:sz w:val="24"/>
          <w:szCs w:val="24"/>
          <w:lang w:val="en-US"/>
        </w:rPr>
        <w:t xml:space="preserve"> that </w:t>
      </w:r>
      <w:r w:rsidR="002D3655" w:rsidRPr="00B83455">
        <w:rPr>
          <w:rFonts w:ascii="Arial" w:eastAsia="Arial" w:hAnsi="Arial" w:cs="Arial"/>
          <w:sz w:val="24"/>
          <w:szCs w:val="24"/>
          <w:lang w:val="en-US"/>
        </w:rPr>
        <w:t xml:space="preserve">guidance or rules </w:t>
      </w:r>
      <w:r w:rsidR="00175308" w:rsidRPr="00B83455">
        <w:rPr>
          <w:rFonts w:ascii="Arial" w:eastAsia="Arial" w:hAnsi="Arial" w:cs="Arial"/>
          <w:sz w:val="24"/>
          <w:szCs w:val="24"/>
          <w:lang w:val="en-US"/>
        </w:rPr>
        <w:t>which limit</w:t>
      </w:r>
      <w:r w:rsidR="002D3655" w:rsidRPr="00B83455">
        <w:rPr>
          <w:rFonts w:ascii="Arial" w:eastAsia="Arial" w:hAnsi="Arial" w:cs="Arial"/>
          <w:sz w:val="24"/>
          <w:szCs w:val="24"/>
          <w:lang w:val="en-US"/>
        </w:rPr>
        <w:t xml:space="preserve"> how courts </w:t>
      </w:r>
      <w:r w:rsidR="001F718A" w:rsidRPr="00B83455">
        <w:rPr>
          <w:rFonts w:ascii="Arial" w:eastAsia="Arial" w:hAnsi="Arial" w:cs="Arial"/>
          <w:sz w:val="24"/>
          <w:szCs w:val="24"/>
          <w:lang w:val="en-US"/>
        </w:rPr>
        <w:t xml:space="preserve">ought to carry out </w:t>
      </w:r>
      <w:r w:rsidR="00053B61" w:rsidRPr="00B83455">
        <w:rPr>
          <w:rFonts w:ascii="Arial" w:eastAsia="Arial" w:hAnsi="Arial" w:cs="Arial"/>
          <w:sz w:val="24"/>
          <w:szCs w:val="24"/>
          <w:lang w:val="en-US"/>
        </w:rPr>
        <w:t>balancing</w:t>
      </w:r>
      <w:r w:rsidR="00932C52" w:rsidRPr="00B83455">
        <w:rPr>
          <w:rFonts w:ascii="Arial" w:eastAsia="Arial" w:hAnsi="Arial" w:cs="Arial"/>
          <w:sz w:val="24"/>
          <w:szCs w:val="24"/>
          <w:lang w:val="en-US"/>
        </w:rPr>
        <w:t xml:space="preserve"> of rights</w:t>
      </w:r>
      <w:r w:rsidR="00C77332" w:rsidRPr="00B83455">
        <w:rPr>
          <w:rFonts w:ascii="Arial" w:eastAsia="Arial" w:hAnsi="Arial" w:cs="Arial"/>
          <w:sz w:val="24"/>
          <w:szCs w:val="24"/>
          <w:lang w:val="en-US"/>
        </w:rPr>
        <w:t xml:space="preserve"> could </w:t>
      </w:r>
      <w:r w:rsidR="00ED73CA" w:rsidRPr="00B83455">
        <w:rPr>
          <w:rFonts w:ascii="Arial" w:eastAsia="Arial" w:hAnsi="Arial" w:cs="Arial"/>
          <w:sz w:val="24"/>
          <w:szCs w:val="24"/>
          <w:lang w:val="en-US"/>
        </w:rPr>
        <w:t xml:space="preserve">unduly constrain </w:t>
      </w:r>
      <w:r w:rsidR="00BA6B4E" w:rsidRPr="00B83455">
        <w:rPr>
          <w:rFonts w:ascii="Arial" w:eastAsia="Arial" w:hAnsi="Arial" w:cs="Arial"/>
          <w:sz w:val="24"/>
          <w:szCs w:val="24"/>
          <w:lang w:val="en-US"/>
        </w:rPr>
        <w:t xml:space="preserve">courts and prevent </w:t>
      </w:r>
      <w:r w:rsidR="00630F95" w:rsidRPr="00B83455">
        <w:rPr>
          <w:rFonts w:ascii="Arial" w:eastAsia="Arial" w:hAnsi="Arial" w:cs="Arial"/>
          <w:sz w:val="24"/>
          <w:szCs w:val="24"/>
          <w:lang w:val="en-US"/>
        </w:rPr>
        <w:t xml:space="preserve">them from considering and giving weight to </w:t>
      </w:r>
      <w:r w:rsidR="00932C52" w:rsidRPr="00B83455">
        <w:rPr>
          <w:rFonts w:ascii="Arial" w:eastAsia="Arial" w:hAnsi="Arial" w:cs="Arial"/>
          <w:sz w:val="24"/>
          <w:szCs w:val="24"/>
          <w:lang w:val="en-US"/>
        </w:rPr>
        <w:t>all relevant factors</w:t>
      </w:r>
      <w:r w:rsidR="00B84CA0" w:rsidRPr="00B83455">
        <w:rPr>
          <w:rFonts w:ascii="Arial" w:eastAsia="Arial" w:hAnsi="Arial" w:cs="Arial"/>
          <w:sz w:val="24"/>
          <w:szCs w:val="24"/>
          <w:lang w:val="en-US"/>
        </w:rPr>
        <w:t xml:space="preserve"> in a case</w:t>
      </w:r>
      <w:r w:rsidR="003F4C61" w:rsidRPr="00B83455">
        <w:rPr>
          <w:rFonts w:ascii="Arial" w:eastAsia="Arial" w:hAnsi="Arial" w:cs="Arial"/>
          <w:sz w:val="24"/>
          <w:szCs w:val="24"/>
          <w:lang w:val="en-US"/>
        </w:rPr>
        <w:t>, including the rights of children</w:t>
      </w:r>
      <w:r w:rsidR="00932C52" w:rsidRPr="00B83455">
        <w:rPr>
          <w:rFonts w:ascii="Arial" w:eastAsia="Arial" w:hAnsi="Arial" w:cs="Arial"/>
          <w:sz w:val="24"/>
          <w:szCs w:val="24"/>
          <w:lang w:val="en-US"/>
        </w:rPr>
        <w:t xml:space="preserve">. </w:t>
      </w:r>
    </w:p>
    <w:p w14:paraId="2E74A2EA" w14:textId="04702C2B" w:rsidR="00F87546" w:rsidRPr="00B83455" w:rsidRDefault="002F51A0" w:rsidP="00B9044A">
      <w:pPr>
        <w:spacing w:line="257" w:lineRule="auto"/>
        <w:rPr>
          <w:rFonts w:ascii="Arial" w:eastAsia="Arial" w:hAnsi="Arial" w:cs="Arial"/>
          <w:sz w:val="24"/>
          <w:szCs w:val="24"/>
          <w:lang w:val="en-US"/>
        </w:rPr>
      </w:pPr>
      <w:r w:rsidRPr="00B83455">
        <w:rPr>
          <w:rFonts w:ascii="Arial" w:eastAsia="Arial" w:hAnsi="Arial" w:cs="Arial"/>
          <w:sz w:val="24"/>
          <w:szCs w:val="24"/>
          <w:lang w:val="en-US"/>
        </w:rPr>
        <w:t>I</w:t>
      </w:r>
      <w:r w:rsidR="00932C52" w:rsidRPr="00B83455">
        <w:rPr>
          <w:rFonts w:ascii="Arial" w:eastAsia="Arial" w:hAnsi="Arial" w:cs="Arial"/>
          <w:sz w:val="24"/>
          <w:szCs w:val="24"/>
          <w:lang w:val="en-US"/>
        </w:rPr>
        <w:t xml:space="preserve">n a recent case </w:t>
      </w:r>
      <w:r w:rsidR="00600187" w:rsidRPr="00B83455">
        <w:rPr>
          <w:rFonts w:ascii="Arial" w:eastAsia="Arial" w:hAnsi="Arial" w:cs="Arial"/>
          <w:sz w:val="24"/>
          <w:szCs w:val="24"/>
          <w:lang w:val="en-US"/>
        </w:rPr>
        <w:t>before the European Court of Human Rights,</w:t>
      </w:r>
      <w:r w:rsidR="00524C6A" w:rsidRPr="00B83455">
        <w:rPr>
          <w:rStyle w:val="FootnoteReference"/>
          <w:rFonts w:ascii="Arial" w:eastAsia="Arial" w:hAnsi="Arial" w:cs="Arial"/>
          <w:sz w:val="24"/>
          <w:szCs w:val="24"/>
          <w:lang w:val="en-US"/>
        </w:rPr>
        <w:footnoteReference w:id="44"/>
      </w:r>
      <w:r w:rsidR="00600187" w:rsidRPr="00B83455">
        <w:rPr>
          <w:rFonts w:ascii="Arial" w:eastAsia="Arial" w:hAnsi="Arial" w:cs="Arial"/>
          <w:sz w:val="24"/>
          <w:szCs w:val="24"/>
          <w:lang w:val="en-US"/>
        </w:rPr>
        <w:t xml:space="preserve"> the </w:t>
      </w:r>
      <w:r w:rsidR="00DF4150" w:rsidRPr="00B83455">
        <w:rPr>
          <w:rFonts w:ascii="Arial" w:eastAsia="Arial" w:hAnsi="Arial" w:cs="Arial"/>
          <w:sz w:val="24"/>
          <w:szCs w:val="24"/>
          <w:lang w:val="en-US"/>
        </w:rPr>
        <w:t xml:space="preserve">Court held that the </w:t>
      </w:r>
      <w:r w:rsidR="00BF3841" w:rsidRPr="00B83455">
        <w:rPr>
          <w:rFonts w:ascii="Arial" w:eastAsia="Arial" w:hAnsi="Arial" w:cs="Arial"/>
          <w:sz w:val="24"/>
          <w:szCs w:val="24"/>
          <w:lang w:val="en-US"/>
        </w:rPr>
        <w:t xml:space="preserve">deportation of a </w:t>
      </w:r>
      <w:r w:rsidR="00D86EB7" w:rsidRPr="00B83455">
        <w:rPr>
          <w:rFonts w:ascii="Arial" w:eastAsia="Arial" w:hAnsi="Arial" w:cs="Arial"/>
          <w:sz w:val="24"/>
          <w:szCs w:val="24"/>
          <w:lang w:val="en-US"/>
        </w:rPr>
        <w:t xml:space="preserve">Nigerian national had breached </w:t>
      </w:r>
      <w:r w:rsidR="00317D76" w:rsidRPr="00B83455">
        <w:rPr>
          <w:rFonts w:ascii="Arial" w:eastAsia="Arial" w:hAnsi="Arial" w:cs="Arial"/>
          <w:sz w:val="24"/>
          <w:szCs w:val="24"/>
          <w:lang w:val="en-US"/>
        </w:rPr>
        <w:t xml:space="preserve">his Article 8 rights. In reaching this conclusion, the Court found that the Upper Tribunal </w:t>
      </w:r>
      <w:r w:rsidR="00C042CB" w:rsidRPr="00B83455">
        <w:rPr>
          <w:rFonts w:ascii="Arial" w:eastAsia="Arial" w:hAnsi="Arial" w:cs="Arial"/>
          <w:sz w:val="24"/>
          <w:szCs w:val="24"/>
          <w:lang w:val="en-US"/>
        </w:rPr>
        <w:t xml:space="preserve">had merely applied the Immigration Rules </w:t>
      </w:r>
      <w:r w:rsidR="00287EB1" w:rsidRPr="00B83455">
        <w:rPr>
          <w:rFonts w:ascii="Arial" w:eastAsia="Arial" w:hAnsi="Arial" w:cs="Arial"/>
          <w:sz w:val="24"/>
          <w:szCs w:val="24"/>
          <w:lang w:val="en-US"/>
        </w:rPr>
        <w:t xml:space="preserve">without carrying </w:t>
      </w:r>
      <w:r w:rsidR="00651F19" w:rsidRPr="00B83455">
        <w:rPr>
          <w:rFonts w:ascii="Arial" w:eastAsia="Arial" w:hAnsi="Arial" w:cs="Arial"/>
          <w:sz w:val="24"/>
          <w:szCs w:val="24"/>
          <w:lang w:val="en-US"/>
        </w:rPr>
        <w:t xml:space="preserve">out a </w:t>
      </w:r>
      <w:r w:rsidR="008D72D5" w:rsidRPr="00B83455">
        <w:rPr>
          <w:rFonts w:ascii="Arial" w:eastAsia="Arial" w:hAnsi="Arial" w:cs="Arial"/>
          <w:sz w:val="24"/>
          <w:szCs w:val="24"/>
          <w:lang w:val="en-US"/>
        </w:rPr>
        <w:t>full</w:t>
      </w:r>
      <w:r w:rsidR="00D05D52" w:rsidRPr="00B83455">
        <w:rPr>
          <w:rFonts w:ascii="Arial" w:eastAsia="Arial" w:hAnsi="Arial" w:cs="Arial"/>
          <w:sz w:val="24"/>
          <w:szCs w:val="24"/>
          <w:lang w:val="en-US"/>
        </w:rPr>
        <w:t xml:space="preserve"> </w:t>
      </w:r>
      <w:r w:rsidR="00E84C07" w:rsidRPr="00B83455">
        <w:rPr>
          <w:rFonts w:ascii="Arial" w:eastAsia="Arial" w:hAnsi="Arial" w:cs="Arial"/>
          <w:sz w:val="24"/>
          <w:szCs w:val="24"/>
          <w:lang w:val="en-US"/>
        </w:rPr>
        <w:t>balancing exercise</w:t>
      </w:r>
      <w:r w:rsidR="00AA7010" w:rsidRPr="00B83455">
        <w:rPr>
          <w:rFonts w:ascii="Arial" w:eastAsia="Arial" w:hAnsi="Arial" w:cs="Arial"/>
          <w:sz w:val="24"/>
          <w:szCs w:val="24"/>
          <w:lang w:val="en-US"/>
        </w:rPr>
        <w:t xml:space="preserve"> under Article 8</w:t>
      </w:r>
      <w:r w:rsidR="008A69CF" w:rsidRPr="00B83455">
        <w:rPr>
          <w:rFonts w:ascii="Arial" w:eastAsia="Arial" w:hAnsi="Arial" w:cs="Arial"/>
          <w:sz w:val="24"/>
          <w:szCs w:val="24"/>
          <w:lang w:val="en-US"/>
        </w:rPr>
        <w:t>. This</w:t>
      </w:r>
      <w:r w:rsidR="00A521C4" w:rsidRPr="00B83455">
        <w:rPr>
          <w:rFonts w:ascii="Arial" w:eastAsia="Arial" w:hAnsi="Arial" w:cs="Arial"/>
          <w:sz w:val="24"/>
          <w:szCs w:val="24"/>
          <w:lang w:val="en-US"/>
        </w:rPr>
        <w:t xml:space="preserve"> meant that the Tribunal failed to</w:t>
      </w:r>
      <w:r w:rsidR="00AA7010" w:rsidRPr="00B83455">
        <w:rPr>
          <w:rFonts w:ascii="Arial" w:eastAsia="Arial" w:hAnsi="Arial" w:cs="Arial"/>
          <w:sz w:val="24"/>
          <w:szCs w:val="24"/>
          <w:lang w:val="en-US"/>
        </w:rPr>
        <w:t xml:space="preserve"> properly consid</w:t>
      </w:r>
      <w:r w:rsidR="00A07259" w:rsidRPr="00B83455">
        <w:rPr>
          <w:rFonts w:ascii="Arial" w:eastAsia="Arial" w:hAnsi="Arial" w:cs="Arial"/>
          <w:sz w:val="24"/>
          <w:szCs w:val="24"/>
          <w:lang w:val="en-US"/>
        </w:rPr>
        <w:t>e</w:t>
      </w:r>
      <w:r w:rsidR="00D91922" w:rsidRPr="00B83455">
        <w:rPr>
          <w:rFonts w:ascii="Arial" w:eastAsia="Arial" w:hAnsi="Arial" w:cs="Arial"/>
          <w:sz w:val="24"/>
          <w:szCs w:val="24"/>
          <w:lang w:val="en-US"/>
        </w:rPr>
        <w:t>r</w:t>
      </w:r>
      <w:r w:rsidR="00A07259" w:rsidRPr="00B83455">
        <w:rPr>
          <w:rFonts w:ascii="Arial" w:eastAsia="Arial" w:hAnsi="Arial" w:cs="Arial"/>
          <w:sz w:val="24"/>
          <w:szCs w:val="24"/>
          <w:lang w:val="en-US"/>
        </w:rPr>
        <w:t xml:space="preserve"> the best interests of the </w:t>
      </w:r>
      <w:r w:rsidR="00524C6A" w:rsidRPr="00B83455">
        <w:rPr>
          <w:rFonts w:ascii="Arial" w:eastAsia="Arial" w:hAnsi="Arial" w:cs="Arial"/>
          <w:sz w:val="24"/>
          <w:szCs w:val="24"/>
          <w:lang w:val="en-US"/>
        </w:rPr>
        <w:t>applicant’s children</w:t>
      </w:r>
      <w:r w:rsidR="008A69CF" w:rsidRPr="00B83455">
        <w:rPr>
          <w:rFonts w:ascii="Arial" w:eastAsia="Arial" w:hAnsi="Arial" w:cs="Arial"/>
          <w:sz w:val="24"/>
          <w:szCs w:val="24"/>
          <w:lang w:val="en-US"/>
        </w:rPr>
        <w:t xml:space="preserve"> </w:t>
      </w:r>
      <w:r w:rsidR="0019284C" w:rsidRPr="00B83455">
        <w:rPr>
          <w:rFonts w:ascii="Arial" w:eastAsia="Arial" w:hAnsi="Arial" w:cs="Arial"/>
          <w:sz w:val="24"/>
          <w:szCs w:val="24"/>
          <w:lang w:val="en-US"/>
        </w:rPr>
        <w:t>when</w:t>
      </w:r>
      <w:r w:rsidR="008A69CF" w:rsidRPr="00B83455">
        <w:rPr>
          <w:rFonts w:ascii="Arial" w:eastAsia="Arial" w:hAnsi="Arial" w:cs="Arial"/>
          <w:sz w:val="24"/>
          <w:szCs w:val="24"/>
          <w:lang w:val="en-US"/>
        </w:rPr>
        <w:t xml:space="preserve"> </w:t>
      </w:r>
      <w:r w:rsidR="0019284C" w:rsidRPr="00B83455">
        <w:rPr>
          <w:rFonts w:ascii="Arial" w:eastAsia="Arial" w:hAnsi="Arial" w:cs="Arial"/>
          <w:sz w:val="24"/>
          <w:szCs w:val="24"/>
          <w:lang w:val="en-US"/>
        </w:rPr>
        <w:t>determining</w:t>
      </w:r>
      <w:r w:rsidR="008A69CF" w:rsidRPr="00B83455">
        <w:rPr>
          <w:rFonts w:ascii="Arial" w:eastAsia="Arial" w:hAnsi="Arial" w:cs="Arial"/>
          <w:sz w:val="24"/>
          <w:szCs w:val="24"/>
          <w:lang w:val="en-US"/>
        </w:rPr>
        <w:t xml:space="preserve"> whether his </w:t>
      </w:r>
      <w:r w:rsidR="0019284C" w:rsidRPr="00B83455">
        <w:rPr>
          <w:rFonts w:ascii="Arial" w:eastAsia="Arial" w:hAnsi="Arial" w:cs="Arial"/>
          <w:sz w:val="24"/>
          <w:szCs w:val="24"/>
          <w:lang w:val="en-US"/>
        </w:rPr>
        <w:t xml:space="preserve">deportation was proportionate. </w:t>
      </w:r>
    </w:p>
    <w:p w14:paraId="087C7787" w14:textId="4724992B" w:rsidR="0018752A" w:rsidRPr="00BD0CDC" w:rsidRDefault="00712CFE" w:rsidP="00EE6F95">
      <w:pPr>
        <w:rPr>
          <w:rFonts w:ascii="Arial" w:hAnsi="Arial" w:cs="Arial"/>
          <w:sz w:val="24"/>
          <w:szCs w:val="24"/>
        </w:rPr>
      </w:pPr>
      <w:r w:rsidRPr="00BD0CDC">
        <w:rPr>
          <w:rFonts w:ascii="Arial" w:hAnsi="Arial" w:cs="Arial"/>
          <w:sz w:val="24"/>
          <w:szCs w:val="24"/>
        </w:rPr>
        <w:t>We also note the evidence of</w:t>
      </w:r>
      <w:r w:rsidR="00F73E5A" w:rsidRPr="00BD0CDC">
        <w:rPr>
          <w:rFonts w:ascii="Arial" w:hAnsi="Arial" w:cs="Arial"/>
          <w:sz w:val="24"/>
          <w:szCs w:val="24"/>
        </w:rPr>
        <w:t xml:space="preserve"> the European Court of Human Rights, which </w:t>
      </w:r>
      <w:r w:rsidR="009930B0" w:rsidRPr="00BD0CDC">
        <w:rPr>
          <w:rFonts w:ascii="Arial" w:hAnsi="Arial" w:cs="Arial"/>
          <w:sz w:val="24"/>
          <w:szCs w:val="24"/>
        </w:rPr>
        <w:t xml:space="preserve">further demonstrates that national courts are </w:t>
      </w:r>
      <w:r w:rsidR="00782573" w:rsidRPr="00BD0CDC">
        <w:rPr>
          <w:rFonts w:ascii="Arial" w:hAnsi="Arial" w:cs="Arial"/>
          <w:sz w:val="24"/>
          <w:szCs w:val="24"/>
        </w:rPr>
        <w:t xml:space="preserve">generally striking the correct balance </w:t>
      </w:r>
      <w:r w:rsidR="006F505D" w:rsidRPr="00BD0CDC">
        <w:rPr>
          <w:rFonts w:ascii="Arial" w:hAnsi="Arial" w:cs="Arial"/>
          <w:sz w:val="24"/>
          <w:szCs w:val="24"/>
        </w:rPr>
        <w:t>when dealing with</w:t>
      </w:r>
      <w:r w:rsidR="00782573" w:rsidRPr="00BD0CDC">
        <w:rPr>
          <w:rFonts w:ascii="Arial" w:hAnsi="Arial" w:cs="Arial"/>
          <w:sz w:val="24"/>
          <w:szCs w:val="24"/>
        </w:rPr>
        <w:t xml:space="preserve"> qualified rights</w:t>
      </w:r>
      <w:r w:rsidR="00F73E5A" w:rsidRPr="00BD0CDC">
        <w:rPr>
          <w:rFonts w:ascii="Arial" w:hAnsi="Arial" w:cs="Arial"/>
          <w:sz w:val="24"/>
          <w:szCs w:val="24"/>
        </w:rPr>
        <w:t>:</w:t>
      </w:r>
    </w:p>
    <w:p w14:paraId="12939A17" w14:textId="3E343E1F" w:rsidR="00B36E3A" w:rsidRPr="00BD0CDC" w:rsidRDefault="00F73E5A" w:rsidP="00AE3C32">
      <w:pPr>
        <w:ind w:left="720"/>
        <w:rPr>
          <w:rFonts w:ascii="Arial" w:hAnsi="Arial" w:cs="Arial"/>
          <w:sz w:val="24"/>
          <w:szCs w:val="24"/>
        </w:rPr>
      </w:pPr>
      <w:r w:rsidRPr="00BD0CDC">
        <w:rPr>
          <w:rFonts w:ascii="Arial" w:hAnsi="Arial" w:cs="Arial"/>
          <w:sz w:val="24"/>
          <w:szCs w:val="24"/>
        </w:rPr>
        <w:t>“Analysis of Strasbourg case-law by UK domestic courts and in particular its superior courts shows an in-depth understanding of the Court’s case-law. This has been significantly reinforced and built up over the last twenty years since the coming into force of the Human Rights Act</w:t>
      </w:r>
      <w:r w:rsidR="002C19E0" w:rsidRPr="00BD0CDC">
        <w:rPr>
          <w:rFonts w:ascii="Arial" w:hAnsi="Arial" w:cs="Arial"/>
          <w:sz w:val="24"/>
          <w:szCs w:val="24"/>
        </w:rPr>
        <w:t xml:space="preserve"> […] The fact that there are so few violations found against the UK would also argue in favour of the fact that the UK courts are successfully applying the Convention at the domestic level.”</w:t>
      </w:r>
    </w:p>
    <w:p w14:paraId="6B4544CE" w14:textId="5217BB3F" w:rsidR="00EC5A90" w:rsidRPr="00BD0CDC" w:rsidRDefault="0C788A5D" w:rsidP="0C788A5D">
      <w:pPr>
        <w:spacing w:line="257" w:lineRule="auto"/>
        <w:rPr>
          <w:rFonts w:ascii="Arial" w:eastAsia="Arial" w:hAnsi="Arial" w:cs="Arial"/>
          <w:b/>
          <w:bCs/>
          <w:sz w:val="24"/>
          <w:szCs w:val="24"/>
          <w:lang w:val="en-US"/>
        </w:rPr>
      </w:pPr>
      <w:r w:rsidRPr="0C788A5D">
        <w:rPr>
          <w:rFonts w:ascii="Arial" w:eastAsia="Arial" w:hAnsi="Arial" w:cs="Arial"/>
          <w:b/>
          <w:bCs/>
          <w:sz w:val="24"/>
          <w:szCs w:val="24"/>
          <w:lang w:val="en-US"/>
        </w:rPr>
        <w:t xml:space="preserve">Rights and responsibilities </w:t>
      </w:r>
    </w:p>
    <w:p w14:paraId="77BE874E" w14:textId="340BA15C" w:rsidR="00EC5A90" w:rsidRPr="00BD0CDC" w:rsidRDefault="00E773FD" w:rsidP="0C788A5D">
      <w:pPr>
        <w:spacing w:line="257" w:lineRule="auto"/>
        <w:rPr>
          <w:rFonts w:ascii="Arial" w:eastAsia="Arial" w:hAnsi="Arial" w:cs="Arial"/>
          <w:sz w:val="24"/>
          <w:szCs w:val="24"/>
        </w:rPr>
      </w:pPr>
      <w:r>
        <w:rPr>
          <w:rFonts w:ascii="Arial" w:eastAsia="Arial" w:hAnsi="Arial" w:cs="Arial"/>
          <w:sz w:val="24"/>
          <w:szCs w:val="24"/>
        </w:rPr>
        <w:t xml:space="preserve">The consultation document </w:t>
      </w:r>
      <w:r w:rsidR="0C788A5D" w:rsidRPr="0C788A5D">
        <w:rPr>
          <w:rFonts w:ascii="Arial" w:eastAsia="Arial" w:hAnsi="Arial" w:cs="Arial"/>
          <w:sz w:val="24"/>
          <w:szCs w:val="24"/>
        </w:rPr>
        <w:t>states an intention to ensure the system strikes “the proper balance of rights and responsibilities</w:t>
      </w:r>
      <w:r w:rsidR="006A3EB4">
        <w:rPr>
          <w:rFonts w:ascii="Arial" w:eastAsia="Arial" w:hAnsi="Arial" w:cs="Arial"/>
          <w:sz w:val="24"/>
          <w:szCs w:val="24"/>
        </w:rPr>
        <w:t>”</w:t>
      </w:r>
      <w:r w:rsidR="0C788A5D" w:rsidRPr="0C788A5D">
        <w:rPr>
          <w:rFonts w:ascii="Arial" w:eastAsia="Arial" w:hAnsi="Arial" w:cs="Arial"/>
          <w:sz w:val="24"/>
          <w:szCs w:val="24"/>
        </w:rPr>
        <w:t>.</w:t>
      </w:r>
      <w:r w:rsidR="008B09D1">
        <w:rPr>
          <w:rStyle w:val="FootnoteReference"/>
          <w:rFonts w:ascii="Arial" w:eastAsia="Arial" w:hAnsi="Arial" w:cs="Arial"/>
          <w:sz w:val="24"/>
          <w:szCs w:val="24"/>
        </w:rPr>
        <w:footnoteReference w:id="45"/>
      </w:r>
      <w:r w:rsidR="0C788A5D" w:rsidRPr="0C788A5D">
        <w:rPr>
          <w:rFonts w:ascii="Arial" w:eastAsia="Arial" w:hAnsi="Arial" w:cs="Arial"/>
          <w:sz w:val="24"/>
          <w:szCs w:val="24"/>
        </w:rPr>
        <w:t xml:space="preserve"> However, human rights are universal and unconditional. They are </w:t>
      </w:r>
      <w:r w:rsidR="008B09D1">
        <w:rPr>
          <w:rFonts w:ascii="Arial" w:eastAsia="Arial" w:hAnsi="Arial" w:cs="Arial"/>
          <w:sz w:val="24"/>
          <w:szCs w:val="24"/>
        </w:rPr>
        <w:t>an</w:t>
      </w:r>
      <w:r w:rsidR="008B09D1" w:rsidRPr="0C788A5D">
        <w:rPr>
          <w:rFonts w:ascii="Arial" w:eastAsia="Arial" w:hAnsi="Arial" w:cs="Arial"/>
          <w:sz w:val="24"/>
          <w:szCs w:val="24"/>
        </w:rPr>
        <w:t xml:space="preserve"> </w:t>
      </w:r>
      <w:r w:rsidR="0C788A5D" w:rsidRPr="0C788A5D">
        <w:rPr>
          <w:rFonts w:ascii="Arial" w:eastAsia="Arial" w:hAnsi="Arial" w:cs="Arial"/>
          <w:sz w:val="24"/>
          <w:szCs w:val="24"/>
        </w:rPr>
        <w:t>inherent part of being a human and do not require certain conditions or responsibilities to be satisfied in order to apply to everyone. Legislation that sets out the fundamental basis of any human rights simply spells out these rights; the rights are inherently applicable to all however they are written down or spoken about.</w:t>
      </w:r>
    </w:p>
    <w:p w14:paraId="1799A477" w14:textId="3325F822" w:rsidR="00EC5A90" w:rsidRPr="00BD0CDC" w:rsidRDefault="0C788A5D" w:rsidP="0C788A5D">
      <w:pPr>
        <w:spacing w:line="257" w:lineRule="auto"/>
        <w:rPr>
          <w:rFonts w:ascii="Arial" w:eastAsia="Arial" w:hAnsi="Arial" w:cs="Arial"/>
          <w:sz w:val="24"/>
          <w:szCs w:val="24"/>
        </w:rPr>
      </w:pPr>
      <w:r w:rsidRPr="0C788A5D">
        <w:rPr>
          <w:rFonts w:ascii="Arial" w:eastAsia="Arial" w:hAnsi="Arial" w:cs="Arial"/>
          <w:sz w:val="24"/>
          <w:szCs w:val="24"/>
        </w:rPr>
        <w:t xml:space="preserve">Human rights are the freedoms and protections to which all people are entitled. Human rights are universal: this means that we are all equally entitled to our human rights. Human rights are inalienable: this means they should not be taken away, except in specific situations and according to a process. All human rights are also </w:t>
      </w:r>
      <w:r w:rsidRPr="0C788A5D">
        <w:rPr>
          <w:rFonts w:ascii="Arial" w:eastAsia="Arial" w:hAnsi="Arial" w:cs="Arial"/>
          <w:sz w:val="24"/>
          <w:szCs w:val="24"/>
        </w:rPr>
        <w:lastRenderedPageBreak/>
        <w:t>indivisible and interdependent. This means that one right cannot be experienced fully without experiencing all the other rights.</w:t>
      </w:r>
    </w:p>
    <w:p w14:paraId="34BB046F" w14:textId="073552DE" w:rsidR="00EC5A90" w:rsidRPr="00BD0CDC" w:rsidRDefault="0C788A5D" w:rsidP="0C788A5D">
      <w:pPr>
        <w:spacing w:line="257" w:lineRule="auto"/>
        <w:rPr>
          <w:rFonts w:ascii="Arial" w:eastAsia="Arial" w:hAnsi="Arial" w:cs="Arial"/>
          <w:sz w:val="24"/>
          <w:szCs w:val="24"/>
        </w:rPr>
      </w:pPr>
      <w:r w:rsidRPr="0C788A5D">
        <w:rPr>
          <w:rFonts w:ascii="Arial" w:eastAsia="Arial" w:hAnsi="Arial" w:cs="Arial"/>
          <w:sz w:val="24"/>
          <w:szCs w:val="24"/>
        </w:rPr>
        <w:t xml:space="preserve">The statements throughout </w:t>
      </w:r>
      <w:r w:rsidR="009E7880">
        <w:rPr>
          <w:rFonts w:ascii="Arial" w:eastAsia="Arial" w:hAnsi="Arial" w:cs="Arial"/>
          <w:sz w:val="24"/>
          <w:szCs w:val="24"/>
        </w:rPr>
        <w:t xml:space="preserve">the consultation document </w:t>
      </w:r>
      <w:r w:rsidR="00B46262">
        <w:rPr>
          <w:rFonts w:ascii="Arial" w:eastAsia="Arial" w:hAnsi="Arial" w:cs="Arial"/>
          <w:sz w:val="24"/>
          <w:szCs w:val="24"/>
        </w:rPr>
        <w:t>concerning</w:t>
      </w:r>
      <w:r w:rsidRPr="0C788A5D">
        <w:rPr>
          <w:rFonts w:ascii="Arial" w:eastAsia="Arial" w:hAnsi="Arial" w:cs="Arial"/>
          <w:sz w:val="24"/>
          <w:szCs w:val="24"/>
        </w:rPr>
        <w:t xml:space="preserve"> rights and responsibilities are therefore at odds with the </w:t>
      </w:r>
      <w:r w:rsidR="00AF3157">
        <w:rPr>
          <w:rFonts w:ascii="Arial" w:eastAsia="Arial" w:hAnsi="Arial" w:cs="Arial"/>
          <w:sz w:val="24"/>
          <w:szCs w:val="24"/>
        </w:rPr>
        <w:t>commitment</w:t>
      </w:r>
      <w:r w:rsidR="00AF3157" w:rsidRPr="0C788A5D">
        <w:rPr>
          <w:rFonts w:ascii="Arial" w:eastAsia="Arial" w:hAnsi="Arial" w:cs="Arial"/>
          <w:sz w:val="24"/>
          <w:szCs w:val="24"/>
        </w:rPr>
        <w:t xml:space="preserve"> </w:t>
      </w:r>
      <w:r w:rsidRPr="0C788A5D">
        <w:rPr>
          <w:rFonts w:ascii="Arial" w:eastAsia="Arial" w:hAnsi="Arial" w:cs="Arial"/>
          <w:sz w:val="24"/>
          <w:szCs w:val="24"/>
        </w:rPr>
        <w:t>that the Government will “remain faithful to the basic principles of human rights”</w:t>
      </w:r>
      <w:r w:rsidR="00AF3157">
        <w:rPr>
          <w:rFonts w:ascii="Arial" w:eastAsia="Arial" w:hAnsi="Arial" w:cs="Arial"/>
          <w:sz w:val="24"/>
          <w:szCs w:val="24"/>
        </w:rPr>
        <w:t>.</w:t>
      </w:r>
      <w:r w:rsidR="00AF3157">
        <w:rPr>
          <w:rStyle w:val="FootnoteReference"/>
          <w:rFonts w:ascii="Arial" w:eastAsia="Arial" w:hAnsi="Arial" w:cs="Arial"/>
          <w:sz w:val="24"/>
          <w:szCs w:val="24"/>
        </w:rPr>
        <w:footnoteReference w:id="46"/>
      </w:r>
      <w:r w:rsidRPr="0C788A5D">
        <w:rPr>
          <w:rFonts w:ascii="Arial" w:eastAsia="Arial" w:hAnsi="Arial" w:cs="Arial"/>
          <w:sz w:val="24"/>
          <w:szCs w:val="24"/>
        </w:rPr>
        <w:t xml:space="preserve"> </w:t>
      </w:r>
    </w:p>
    <w:p w14:paraId="4A72E59B" w14:textId="23B8BA8F" w:rsidR="00A61893" w:rsidRDefault="0C788A5D" w:rsidP="0C788A5D">
      <w:pPr>
        <w:spacing w:line="257" w:lineRule="auto"/>
        <w:rPr>
          <w:rFonts w:ascii="Arial" w:eastAsia="Arial" w:hAnsi="Arial" w:cs="Arial"/>
          <w:sz w:val="24"/>
          <w:szCs w:val="24"/>
        </w:rPr>
      </w:pPr>
      <w:r w:rsidRPr="0C788A5D">
        <w:rPr>
          <w:rFonts w:ascii="Arial" w:eastAsia="Arial" w:hAnsi="Arial" w:cs="Arial"/>
          <w:sz w:val="24"/>
          <w:szCs w:val="24"/>
        </w:rPr>
        <w:t xml:space="preserve">It is the “responsibility” of state parties to give effect to any rights from the treaties they have signed and ratified. This is confirmed in the preamble text of the </w:t>
      </w:r>
      <w:r w:rsidR="00C30FF2">
        <w:rPr>
          <w:rFonts w:ascii="Arial" w:eastAsia="Arial" w:hAnsi="Arial" w:cs="Arial"/>
          <w:sz w:val="24"/>
          <w:szCs w:val="24"/>
        </w:rPr>
        <w:t>ECHR</w:t>
      </w:r>
      <w:r w:rsidRPr="0C788A5D">
        <w:rPr>
          <w:rFonts w:ascii="Arial" w:eastAsia="Arial" w:hAnsi="Arial" w:cs="Arial"/>
          <w:sz w:val="24"/>
          <w:szCs w:val="24"/>
        </w:rPr>
        <w:t xml:space="preserve">: </w:t>
      </w:r>
    </w:p>
    <w:p w14:paraId="03B1E284" w14:textId="6FDB4855" w:rsidR="00EC5A90" w:rsidRPr="00AE3C32" w:rsidRDefault="0C788A5D" w:rsidP="00AE3C32">
      <w:pPr>
        <w:spacing w:line="257" w:lineRule="auto"/>
        <w:ind w:left="720"/>
        <w:rPr>
          <w:rFonts w:ascii="Arial" w:eastAsia="Arial" w:hAnsi="Arial" w:cs="Arial"/>
          <w:sz w:val="24"/>
          <w:szCs w:val="24"/>
        </w:rPr>
      </w:pPr>
      <w:r w:rsidRPr="00A61893">
        <w:rPr>
          <w:rFonts w:ascii="Arial" w:eastAsia="Arial" w:hAnsi="Arial" w:cs="Arial"/>
          <w:sz w:val="24"/>
          <w:szCs w:val="24"/>
        </w:rPr>
        <w:t>“</w:t>
      </w:r>
      <w:r w:rsidRPr="00AE3C32">
        <w:rPr>
          <w:rFonts w:ascii="Arial" w:eastAsia="Arial" w:hAnsi="Arial" w:cs="Arial"/>
          <w:sz w:val="24"/>
          <w:szCs w:val="24"/>
        </w:rPr>
        <w:t>Affirming that the High Contracting Parties, in accordance with the principle of subsidiarity, have the primary responsibility to secure the rights and freedoms defined in this Convention and the Protocols thereto”.</w:t>
      </w:r>
    </w:p>
    <w:p w14:paraId="54194C41" w14:textId="6F542C0E" w:rsidR="00EC5A90" w:rsidRPr="00BD0CDC" w:rsidRDefault="0C788A5D" w:rsidP="0C788A5D">
      <w:pPr>
        <w:spacing w:line="257" w:lineRule="auto"/>
        <w:rPr>
          <w:rFonts w:ascii="Arial" w:eastAsia="Arial" w:hAnsi="Arial" w:cs="Arial"/>
          <w:sz w:val="24"/>
          <w:szCs w:val="24"/>
        </w:rPr>
      </w:pPr>
      <w:r w:rsidRPr="0C788A5D">
        <w:rPr>
          <w:rFonts w:ascii="Arial" w:eastAsia="Arial" w:hAnsi="Arial" w:cs="Arial"/>
          <w:sz w:val="24"/>
          <w:szCs w:val="24"/>
        </w:rPr>
        <w:t xml:space="preserve">The only other references to responsibilities in the Convention </w:t>
      </w:r>
      <w:r w:rsidR="00620B71">
        <w:rPr>
          <w:rFonts w:ascii="Arial" w:eastAsia="Arial" w:hAnsi="Arial" w:cs="Arial"/>
          <w:sz w:val="24"/>
          <w:szCs w:val="24"/>
        </w:rPr>
        <w:t>ECHR</w:t>
      </w:r>
      <w:r w:rsidR="00620B71" w:rsidRPr="0C788A5D">
        <w:rPr>
          <w:rFonts w:ascii="Arial" w:eastAsia="Arial" w:hAnsi="Arial" w:cs="Arial"/>
          <w:sz w:val="24"/>
          <w:szCs w:val="24"/>
        </w:rPr>
        <w:t xml:space="preserve"> </w:t>
      </w:r>
      <w:r w:rsidRPr="0C788A5D">
        <w:rPr>
          <w:rFonts w:ascii="Arial" w:eastAsia="Arial" w:hAnsi="Arial" w:cs="Arial"/>
          <w:sz w:val="24"/>
          <w:szCs w:val="24"/>
        </w:rPr>
        <w:t xml:space="preserve">are in respect of qualified rights, such as freedom of expression under </w:t>
      </w:r>
      <w:r w:rsidR="003D0594">
        <w:rPr>
          <w:rFonts w:ascii="Arial" w:eastAsia="Arial" w:hAnsi="Arial" w:cs="Arial"/>
          <w:sz w:val="24"/>
          <w:szCs w:val="24"/>
        </w:rPr>
        <w:t>A</w:t>
      </w:r>
      <w:r w:rsidRPr="0C788A5D">
        <w:rPr>
          <w:rFonts w:ascii="Arial" w:eastAsia="Arial" w:hAnsi="Arial" w:cs="Arial"/>
          <w:sz w:val="24"/>
          <w:szCs w:val="24"/>
        </w:rPr>
        <w:t xml:space="preserve">rticle 10. Others have duties and responsibilities towards each other in the exercise of this right </w:t>
      </w:r>
      <w:r w:rsidR="003D0594">
        <w:rPr>
          <w:rFonts w:ascii="Arial" w:eastAsia="Arial" w:hAnsi="Arial" w:cs="Arial"/>
          <w:sz w:val="24"/>
          <w:szCs w:val="24"/>
        </w:rPr>
        <w:t xml:space="preserve">because of </w:t>
      </w:r>
      <w:r w:rsidRPr="0C788A5D">
        <w:rPr>
          <w:rFonts w:ascii="Arial" w:eastAsia="Arial" w:hAnsi="Arial" w:cs="Arial"/>
          <w:sz w:val="24"/>
          <w:szCs w:val="24"/>
        </w:rPr>
        <w:t>the ability for free speech to impact others’ human rights. This does not appear to be what the proposals refer to in terms of responsibilities however</w:t>
      </w:r>
      <w:r w:rsidR="003D0594">
        <w:rPr>
          <w:rFonts w:ascii="Arial" w:eastAsia="Arial" w:hAnsi="Arial" w:cs="Arial"/>
          <w:sz w:val="24"/>
          <w:szCs w:val="24"/>
        </w:rPr>
        <w:t xml:space="preserve">. </w:t>
      </w:r>
      <w:r w:rsidR="000A10CB">
        <w:rPr>
          <w:rFonts w:ascii="Arial" w:eastAsia="Arial" w:hAnsi="Arial" w:cs="Arial"/>
          <w:sz w:val="24"/>
          <w:szCs w:val="24"/>
        </w:rPr>
        <w:t xml:space="preserve">Instead, the examples set out </w:t>
      </w:r>
      <w:r w:rsidRPr="0C788A5D">
        <w:rPr>
          <w:rFonts w:ascii="Arial" w:eastAsia="Arial" w:hAnsi="Arial" w:cs="Arial"/>
          <w:sz w:val="24"/>
          <w:szCs w:val="24"/>
        </w:rPr>
        <w:t>primarily refer to “flagrant disregard” for others’ rights through the commission of crimes. The proposals throughout use examples of extreme cases that appear to have been hand-picked for political advantage or point scoring, such as claims made by serving prisoner</w:t>
      </w:r>
      <w:r w:rsidR="00622AA9">
        <w:rPr>
          <w:rFonts w:ascii="Arial" w:eastAsia="Arial" w:hAnsi="Arial" w:cs="Arial"/>
          <w:sz w:val="24"/>
          <w:szCs w:val="24"/>
        </w:rPr>
        <w:t>s</w:t>
      </w:r>
      <w:r w:rsidRPr="0C788A5D">
        <w:rPr>
          <w:rFonts w:ascii="Arial" w:eastAsia="Arial" w:hAnsi="Arial" w:cs="Arial"/>
          <w:sz w:val="24"/>
          <w:szCs w:val="24"/>
        </w:rPr>
        <w:t xml:space="preserve"> or in relation to prisoners’ voting rights. </w:t>
      </w:r>
    </w:p>
    <w:p w14:paraId="238571DB" w14:textId="015E6EF9" w:rsidR="00BC38F3" w:rsidRDefault="0C788A5D" w:rsidP="0C788A5D">
      <w:pPr>
        <w:spacing w:line="257" w:lineRule="auto"/>
        <w:rPr>
          <w:rFonts w:ascii="Arial" w:eastAsia="Arial" w:hAnsi="Arial" w:cs="Arial"/>
          <w:sz w:val="24"/>
          <w:szCs w:val="24"/>
        </w:rPr>
      </w:pPr>
      <w:r w:rsidRPr="0C788A5D">
        <w:rPr>
          <w:rFonts w:ascii="Arial" w:eastAsia="Arial" w:hAnsi="Arial" w:cs="Arial"/>
          <w:sz w:val="24"/>
          <w:szCs w:val="24"/>
        </w:rPr>
        <w:t xml:space="preserve">Similarly, in the UNCRC, responsibilities </w:t>
      </w:r>
      <w:r w:rsidR="00BC38F3">
        <w:rPr>
          <w:rFonts w:ascii="Arial" w:eastAsia="Arial" w:hAnsi="Arial" w:cs="Arial"/>
          <w:sz w:val="24"/>
          <w:szCs w:val="24"/>
        </w:rPr>
        <w:t xml:space="preserve">are </w:t>
      </w:r>
      <w:r w:rsidRPr="0C788A5D">
        <w:rPr>
          <w:rFonts w:ascii="Arial" w:eastAsia="Arial" w:hAnsi="Arial" w:cs="Arial"/>
          <w:sz w:val="24"/>
          <w:szCs w:val="24"/>
        </w:rPr>
        <w:t xml:space="preserve">only mentioned in respect of parents and the </w:t>
      </w:r>
      <w:r w:rsidR="009D32B0">
        <w:rPr>
          <w:rFonts w:ascii="Arial" w:eastAsia="Arial" w:hAnsi="Arial" w:cs="Arial"/>
          <w:sz w:val="24"/>
          <w:szCs w:val="24"/>
        </w:rPr>
        <w:t>S</w:t>
      </w:r>
      <w:r w:rsidRPr="0C788A5D">
        <w:rPr>
          <w:rFonts w:ascii="Arial" w:eastAsia="Arial" w:hAnsi="Arial" w:cs="Arial"/>
          <w:sz w:val="24"/>
          <w:szCs w:val="24"/>
        </w:rPr>
        <w:t>tate</w:t>
      </w:r>
      <w:r w:rsidR="009D32B0">
        <w:rPr>
          <w:rFonts w:ascii="Arial" w:eastAsia="Arial" w:hAnsi="Arial" w:cs="Arial"/>
          <w:sz w:val="24"/>
          <w:szCs w:val="24"/>
        </w:rPr>
        <w:t>:</w:t>
      </w:r>
      <w:r w:rsidR="00BC38F3">
        <w:rPr>
          <w:rFonts w:ascii="Arial" w:eastAsia="Arial" w:hAnsi="Arial" w:cs="Arial"/>
          <w:sz w:val="24"/>
          <w:szCs w:val="24"/>
        </w:rPr>
        <w:t xml:space="preserve"> </w:t>
      </w:r>
    </w:p>
    <w:p w14:paraId="0E3DBEB6" w14:textId="5F2A3A08" w:rsidR="00EC5A90" w:rsidRPr="00AE3C32" w:rsidRDefault="0C788A5D" w:rsidP="00AE3C32">
      <w:pPr>
        <w:spacing w:line="257" w:lineRule="auto"/>
        <w:ind w:left="720"/>
        <w:rPr>
          <w:rFonts w:ascii="Arial" w:eastAsia="Arial" w:hAnsi="Arial" w:cs="Arial"/>
          <w:sz w:val="24"/>
          <w:szCs w:val="24"/>
        </w:rPr>
      </w:pPr>
      <w:r w:rsidRPr="00BC38F3">
        <w:rPr>
          <w:rFonts w:ascii="Arial" w:eastAsia="Arial" w:hAnsi="Arial" w:cs="Arial"/>
          <w:sz w:val="24"/>
          <w:szCs w:val="24"/>
        </w:rPr>
        <w:t xml:space="preserve"> “</w:t>
      </w:r>
      <w:r w:rsidRPr="00AE3C32">
        <w:rPr>
          <w:rFonts w:ascii="Arial" w:eastAsia="Arial" w:hAnsi="Arial" w:cs="Arial"/>
          <w:sz w:val="24"/>
          <w:szCs w:val="24"/>
        </w:rPr>
        <w:t xml:space="preserve">Governments must respect the rights and responsibilities of parents and carers to direct and guide their children as they grow up, so that they can enjoy their rights properly” </w:t>
      </w:r>
      <w:r w:rsidRPr="00BC38F3">
        <w:rPr>
          <w:rFonts w:ascii="Arial" w:eastAsia="Arial" w:hAnsi="Arial" w:cs="Arial"/>
          <w:sz w:val="24"/>
          <w:szCs w:val="24"/>
        </w:rPr>
        <w:t>and in article 18 “</w:t>
      </w:r>
      <w:r w:rsidRPr="00AE3C32">
        <w:rPr>
          <w:rFonts w:ascii="Arial" w:eastAsia="Arial" w:hAnsi="Arial" w:cs="Arial"/>
          <w:sz w:val="24"/>
          <w:szCs w:val="24"/>
        </w:rPr>
        <w:t>Both parents share responsibility for bringing up their child and should always consider what is best for the child. Governments must support parents by giving them the help they need, especially if the child’s parents work”</w:t>
      </w:r>
      <w:r w:rsidR="009D32B0">
        <w:rPr>
          <w:rFonts w:ascii="Arial" w:eastAsia="Arial" w:hAnsi="Arial" w:cs="Arial"/>
          <w:sz w:val="24"/>
          <w:szCs w:val="24"/>
        </w:rPr>
        <w:t xml:space="preserve"> (Article 5 UNCRC)</w:t>
      </w:r>
      <w:r w:rsidRPr="00AE3C32">
        <w:rPr>
          <w:rFonts w:ascii="Arial" w:eastAsia="Arial" w:hAnsi="Arial" w:cs="Arial"/>
          <w:sz w:val="24"/>
          <w:szCs w:val="24"/>
        </w:rPr>
        <w:t>.</w:t>
      </w:r>
    </w:p>
    <w:p w14:paraId="516D5165" w14:textId="73158AAF" w:rsidR="00EC5A90" w:rsidRPr="00721CA0" w:rsidRDefault="0C788A5D" w:rsidP="0C788A5D">
      <w:pPr>
        <w:spacing w:line="257" w:lineRule="auto"/>
        <w:rPr>
          <w:rFonts w:ascii="Arial" w:eastAsia="Arial" w:hAnsi="Arial" w:cs="Arial"/>
          <w:sz w:val="24"/>
          <w:szCs w:val="24"/>
        </w:rPr>
      </w:pPr>
      <w:r w:rsidRPr="00721CA0">
        <w:rPr>
          <w:rFonts w:ascii="Arial" w:eastAsia="Arial" w:hAnsi="Arial" w:cs="Arial"/>
          <w:sz w:val="24"/>
          <w:szCs w:val="24"/>
        </w:rPr>
        <w:t xml:space="preserve">Paragraph 125 of the proposals refers to rights having been “decoupled from our responsibilities as citizens” with reference to the </w:t>
      </w:r>
      <w:r w:rsidR="00AA5549">
        <w:rPr>
          <w:rFonts w:ascii="Arial" w:eastAsia="Arial" w:hAnsi="Arial" w:cs="Arial"/>
          <w:sz w:val="24"/>
          <w:szCs w:val="24"/>
        </w:rPr>
        <w:t>ECHR</w:t>
      </w:r>
      <w:r w:rsidR="00AA5549" w:rsidRPr="00721CA0">
        <w:rPr>
          <w:rFonts w:ascii="Arial" w:eastAsia="Arial" w:hAnsi="Arial" w:cs="Arial"/>
          <w:sz w:val="24"/>
          <w:szCs w:val="24"/>
        </w:rPr>
        <w:t xml:space="preserve"> </w:t>
      </w:r>
      <w:r w:rsidRPr="00721CA0">
        <w:rPr>
          <w:rFonts w:ascii="Arial" w:eastAsia="Arial" w:hAnsi="Arial" w:cs="Arial"/>
          <w:sz w:val="24"/>
          <w:szCs w:val="24"/>
        </w:rPr>
        <w:t xml:space="preserve">and to Article 29 of the UN Declaration of Human Rights, the latter of which apparently making the notion of responsibilities “explicit”. Duties in the community are not the same as an explicit reference to responsibilities going hand in hand with the enjoyment of rights however. Many human rights, including in the </w:t>
      </w:r>
      <w:r w:rsidR="00A840F4">
        <w:rPr>
          <w:rFonts w:ascii="Arial" w:eastAsia="Arial" w:hAnsi="Arial" w:cs="Arial"/>
          <w:sz w:val="24"/>
          <w:szCs w:val="24"/>
        </w:rPr>
        <w:t>ECHR</w:t>
      </w:r>
      <w:r w:rsidRPr="00721CA0">
        <w:rPr>
          <w:rFonts w:ascii="Arial" w:eastAsia="Arial" w:hAnsi="Arial" w:cs="Arial"/>
          <w:sz w:val="24"/>
          <w:szCs w:val="24"/>
        </w:rPr>
        <w:t xml:space="preserve">, are qualified rights that can be curtailed to some degree in the pursuit of others’ enjoyment of their own rights or states having to exercise necessary duties. This does not however equate to responsibilities on individual citizens, and since as far back as 1948, international jurisprudence has made it clear that some rights cannot be limited at all, and others can be limited only under certain conditions: restrictions can only be prescribed by law; they must serve one of the purposes listed by international law; and they must be </w:t>
      </w:r>
      <w:r w:rsidR="00AC6F6E">
        <w:rPr>
          <w:rFonts w:ascii="Arial" w:eastAsia="Arial" w:hAnsi="Arial" w:cs="Arial"/>
          <w:sz w:val="24"/>
          <w:szCs w:val="24"/>
        </w:rPr>
        <w:t>proportionate</w:t>
      </w:r>
      <w:r w:rsidR="00AC6F6E" w:rsidRPr="00721CA0">
        <w:rPr>
          <w:rFonts w:ascii="Arial" w:eastAsia="Arial" w:hAnsi="Arial" w:cs="Arial"/>
          <w:sz w:val="24"/>
          <w:szCs w:val="24"/>
        </w:rPr>
        <w:t xml:space="preserve"> </w:t>
      </w:r>
      <w:r w:rsidRPr="00721CA0">
        <w:rPr>
          <w:rFonts w:ascii="Arial" w:eastAsia="Arial" w:hAnsi="Arial" w:cs="Arial"/>
          <w:sz w:val="24"/>
          <w:szCs w:val="24"/>
        </w:rPr>
        <w:t>to the purpose in terms of their severity and intensity.</w:t>
      </w:r>
    </w:p>
    <w:p w14:paraId="6F8F1C68" w14:textId="58083497" w:rsidR="00EC5A90" w:rsidRPr="00BD0CDC" w:rsidRDefault="0C788A5D" w:rsidP="0C788A5D">
      <w:pPr>
        <w:spacing w:line="257" w:lineRule="auto"/>
        <w:rPr>
          <w:rFonts w:ascii="Arial" w:eastAsia="Arial" w:hAnsi="Arial" w:cs="Arial"/>
          <w:sz w:val="24"/>
          <w:szCs w:val="24"/>
        </w:rPr>
      </w:pPr>
      <w:r w:rsidRPr="0C788A5D">
        <w:rPr>
          <w:rFonts w:ascii="Arial" w:eastAsia="Arial" w:hAnsi="Arial" w:cs="Arial"/>
          <w:sz w:val="24"/>
          <w:szCs w:val="24"/>
        </w:rPr>
        <w:lastRenderedPageBreak/>
        <w:t xml:space="preserve">Whilst the substantive rights in the ECHR are to be retained in any new Bill of Rights, the exercise of those rights appears to be intended to be curtailed based on conduct and behaviours, or “responsibilities” as the paper describes it. </w:t>
      </w:r>
    </w:p>
    <w:p w14:paraId="375E2BE5" w14:textId="345F8BE6" w:rsidR="00EC5A90" w:rsidRPr="00BD0CDC" w:rsidRDefault="0C788A5D" w:rsidP="0C788A5D">
      <w:pPr>
        <w:spacing w:line="257" w:lineRule="auto"/>
        <w:rPr>
          <w:rFonts w:ascii="Arial" w:eastAsia="Arial" w:hAnsi="Arial" w:cs="Arial"/>
          <w:sz w:val="24"/>
          <w:szCs w:val="24"/>
          <w:lang w:val="en-US"/>
        </w:rPr>
      </w:pPr>
      <w:r w:rsidRPr="0C788A5D">
        <w:rPr>
          <w:rFonts w:ascii="Arial" w:eastAsia="Arial" w:hAnsi="Arial" w:cs="Arial"/>
          <w:sz w:val="24"/>
          <w:szCs w:val="24"/>
          <w:lang w:val="en-US"/>
        </w:rPr>
        <w:t xml:space="preserve">In addition, </w:t>
      </w:r>
      <w:r w:rsidR="00C1156B">
        <w:rPr>
          <w:rFonts w:ascii="Arial" w:eastAsia="Arial" w:hAnsi="Arial" w:cs="Arial"/>
          <w:sz w:val="24"/>
          <w:szCs w:val="24"/>
          <w:lang w:val="en-US"/>
        </w:rPr>
        <w:t>at</w:t>
      </w:r>
      <w:r w:rsidRPr="0C788A5D">
        <w:rPr>
          <w:rFonts w:ascii="Arial" w:eastAsia="Arial" w:hAnsi="Arial" w:cs="Arial"/>
          <w:sz w:val="24"/>
          <w:szCs w:val="24"/>
          <w:lang w:val="en-US"/>
        </w:rPr>
        <w:t xml:space="preserve"> paragraph 112, the proposal is to leave in place the aspects of the </w:t>
      </w:r>
      <w:r w:rsidRPr="302A4DFF">
        <w:rPr>
          <w:rFonts w:ascii="Arial" w:eastAsia="Arial" w:hAnsi="Arial" w:cs="Arial"/>
          <w:sz w:val="24"/>
          <w:szCs w:val="24"/>
          <w:lang w:val="en-US"/>
        </w:rPr>
        <w:t>Human</w:t>
      </w:r>
      <w:r w:rsidRPr="537C6406">
        <w:rPr>
          <w:rFonts w:ascii="Arial" w:eastAsia="Arial" w:hAnsi="Arial" w:cs="Arial"/>
          <w:sz w:val="24"/>
          <w:szCs w:val="24"/>
          <w:lang w:val="en-US"/>
        </w:rPr>
        <w:t xml:space="preserve"> Rights Act</w:t>
      </w:r>
      <w:r w:rsidRPr="0C788A5D">
        <w:rPr>
          <w:rFonts w:ascii="Arial" w:eastAsia="Arial" w:hAnsi="Arial" w:cs="Arial"/>
          <w:sz w:val="24"/>
          <w:szCs w:val="24"/>
          <w:lang w:val="en-US"/>
        </w:rPr>
        <w:t xml:space="preserve"> that “have not proved problematic in practice”. It is neither ethical nor appropriate to ‘pick and choose’ which aspects of human rights are palatable or politically advantageous; human rights are indivisible and all encompassing.</w:t>
      </w:r>
    </w:p>
    <w:p w14:paraId="62397E0A" w14:textId="1D2C4BED" w:rsidR="00EC5A90" w:rsidRPr="00BD0CDC" w:rsidRDefault="0C788A5D" w:rsidP="0C788A5D">
      <w:pPr>
        <w:spacing w:line="257" w:lineRule="auto"/>
        <w:rPr>
          <w:rFonts w:ascii="Arial" w:eastAsia="Arial" w:hAnsi="Arial" w:cs="Arial"/>
          <w:sz w:val="24"/>
          <w:szCs w:val="24"/>
        </w:rPr>
      </w:pPr>
      <w:r w:rsidRPr="0C788A5D">
        <w:rPr>
          <w:rFonts w:ascii="Arial" w:eastAsia="Arial" w:hAnsi="Arial" w:cs="Arial"/>
          <w:sz w:val="24"/>
          <w:szCs w:val="24"/>
        </w:rPr>
        <w:t xml:space="preserve">Underpinning our concerns regarding this narrative is a concern for access to justice for the most vulnerable, including children, if the ability to even commence a claim is unfairly curtailed. </w:t>
      </w:r>
    </w:p>
    <w:p w14:paraId="5878A1CC" w14:textId="77777777" w:rsidR="00065A26" w:rsidRDefault="00065A26" w:rsidP="009A49F3">
      <w:pPr>
        <w:rPr>
          <w:rFonts w:ascii="Arial" w:hAnsi="Arial" w:cs="Arial"/>
          <w:sz w:val="24"/>
          <w:szCs w:val="24"/>
        </w:rPr>
      </w:pPr>
    </w:p>
    <w:p w14:paraId="5418092A" w14:textId="6D5C3AD8" w:rsidR="00CF25DF" w:rsidRPr="00186556" w:rsidRDefault="00CF25DF" w:rsidP="009A49F3">
      <w:r>
        <w:rPr>
          <w:rFonts w:ascii="Arial" w:hAnsi="Arial" w:cs="Arial"/>
          <w:sz w:val="24"/>
          <w:szCs w:val="24"/>
        </w:rPr>
        <w:t xml:space="preserve">For the reasons above, we are of the view that the </w:t>
      </w:r>
      <w:r w:rsidRPr="00BD0CDC">
        <w:rPr>
          <w:rFonts w:ascii="Arial" w:hAnsi="Arial" w:cs="Arial"/>
          <w:sz w:val="24"/>
          <w:szCs w:val="24"/>
        </w:rPr>
        <w:t>proposals set out in th</w:t>
      </w:r>
      <w:r>
        <w:rPr>
          <w:rFonts w:ascii="Arial" w:hAnsi="Arial" w:cs="Arial"/>
          <w:sz w:val="24"/>
          <w:szCs w:val="24"/>
        </w:rPr>
        <w:t xml:space="preserve">e </w:t>
      </w:r>
      <w:r w:rsidRPr="00BD0CDC">
        <w:rPr>
          <w:rFonts w:ascii="Arial" w:hAnsi="Arial" w:cs="Arial"/>
          <w:sz w:val="24"/>
          <w:szCs w:val="24"/>
        </w:rPr>
        <w:t>consultation paper will significantly weaken the protection of children’s rights in the UK.</w:t>
      </w:r>
      <w:r>
        <w:rPr>
          <w:rFonts w:ascii="Arial" w:hAnsi="Arial" w:cs="Arial"/>
          <w:sz w:val="24"/>
          <w:szCs w:val="24"/>
        </w:rPr>
        <w:t xml:space="preserve"> We</w:t>
      </w:r>
      <w:r w:rsidR="00BC3D4E">
        <w:rPr>
          <w:rFonts w:ascii="Arial" w:hAnsi="Arial" w:cs="Arial"/>
          <w:sz w:val="24"/>
          <w:szCs w:val="24"/>
        </w:rPr>
        <w:t xml:space="preserve"> therefore</w:t>
      </w:r>
      <w:r>
        <w:rPr>
          <w:rFonts w:ascii="Arial" w:hAnsi="Arial" w:cs="Arial"/>
          <w:sz w:val="24"/>
          <w:szCs w:val="24"/>
        </w:rPr>
        <w:t xml:space="preserve"> recommend that the </w:t>
      </w:r>
      <w:r w:rsidR="00FE39DB">
        <w:rPr>
          <w:rFonts w:ascii="Arial" w:hAnsi="Arial" w:cs="Arial"/>
          <w:sz w:val="24"/>
          <w:szCs w:val="24"/>
        </w:rPr>
        <w:t xml:space="preserve">Human Rights Act be maintained in its current form. </w:t>
      </w:r>
    </w:p>
    <w:p w14:paraId="13BF5DAC" w14:textId="77777777" w:rsidR="00065A26" w:rsidRPr="00BD0CDC" w:rsidRDefault="00065A26" w:rsidP="009A49F3">
      <w:pPr>
        <w:rPr>
          <w:rFonts w:ascii="Arial" w:hAnsi="Arial" w:cs="Arial"/>
          <w:sz w:val="24"/>
          <w:szCs w:val="24"/>
        </w:rPr>
      </w:pPr>
    </w:p>
    <w:p w14:paraId="36373708" w14:textId="5AB358FF" w:rsidR="0016514F" w:rsidRPr="0016514F" w:rsidRDefault="0016514F" w:rsidP="0016514F">
      <w:pPr>
        <w:rPr>
          <w:rFonts w:ascii="Arial" w:hAnsi="Arial" w:cs="Arial"/>
          <w:sz w:val="24"/>
          <w:szCs w:val="24"/>
        </w:rPr>
      </w:pPr>
      <w:r w:rsidRPr="0016514F">
        <w:rPr>
          <w:rFonts w:ascii="Arial" w:hAnsi="Arial" w:cs="Arial"/>
          <w:sz w:val="24"/>
          <w:szCs w:val="24"/>
        </w:rPr>
        <w:t xml:space="preserve">Bruce Adamson </w:t>
      </w:r>
    </w:p>
    <w:p w14:paraId="7F46ED84" w14:textId="77777777" w:rsidR="0016514F" w:rsidRPr="00B61D83" w:rsidRDefault="0016514F" w:rsidP="0016514F">
      <w:pPr>
        <w:rPr>
          <w:rFonts w:ascii="Arial" w:hAnsi="Arial" w:cs="Arial"/>
          <w:b/>
          <w:bCs/>
          <w:sz w:val="24"/>
          <w:szCs w:val="24"/>
        </w:rPr>
      </w:pPr>
      <w:r w:rsidRPr="00B61D83">
        <w:rPr>
          <w:rFonts w:ascii="Arial" w:hAnsi="Arial" w:cs="Arial"/>
          <w:b/>
          <w:bCs/>
          <w:sz w:val="24"/>
          <w:szCs w:val="24"/>
        </w:rPr>
        <w:t xml:space="preserve">Children and Young People’s Commissioner Scotland </w:t>
      </w:r>
    </w:p>
    <w:p w14:paraId="07EBB642" w14:textId="0B700D9A" w:rsidR="00DF6EC6" w:rsidRPr="0016514F" w:rsidRDefault="00F63069" w:rsidP="0016514F">
      <w:pPr>
        <w:rPr>
          <w:rFonts w:ascii="Arial" w:hAnsi="Arial" w:cs="Arial"/>
          <w:sz w:val="24"/>
          <w:szCs w:val="24"/>
        </w:rPr>
      </w:pPr>
      <w:r w:rsidRPr="00F63069">
        <w:rPr>
          <w:rFonts w:ascii="Arial" w:hAnsi="Arial" w:cs="Arial"/>
          <w:noProof/>
          <w:sz w:val="24"/>
          <w:szCs w:val="24"/>
        </w:rPr>
        <w:drawing>
          <wp:inline distT="0" distB="0" distL="0" distR="0" wp14:anchorId="3690BD58" wp14:editId="69BCBB1F">
            <wp:extent cx="1343025" cy="809625"/>
            <wp:effectExtent l="0" t="0" r="9525"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4"/>
                    <a:stretch>
                      <a:fillRect/>
                    </a:stretch>
                  </pic:blipFill>
                  <pic:spPr>
                    <a:xfrm>
                      <a:off x="0" y="0"/>
                      <a:ext cx="1343025" cy="809625"/>
                    </a:xfrm>
                    <a:prstGeom prst="rect">
                      <a:avLst/>
                    </a:prstGeom>
                  </pic:spPr>
                </pic:pic>
              </a:graphicData>
            </a:graphic>
          </wp:inline>
        </w:drawing>
      </w:r>
    </w:p>
    <w:p w14:paraId="4CE907A2" w14:textId="77777777" w:rsidR="0016514F" w:rsidRPr="0016514F" w:rsidRDefault="0016514F" w:rsidP="0016514F">
      <w:pPr>
        <w:rPr>
          <w:rFonts w:ascii="Arial" w:hAnsi="Arial" w:cs="Arial"/>
          <w:sz w:val="24"/>
          <w:szCs w:val="24"/>
        </w:rPr>
      </w:pPr>
      <w:r w:rsidRPr="0016514F">
        <w:rPr>
          <w:rFonts w:ascii="Arial" w:hAnsi="Arial" w:cs="Arial"/>
          <w:sz w:val="24"/>
          <w:szCs w:val="24"/>
        </w:rPr>
        <w:t xml:space="preserve">Koulla Yiasouma </w:t>
      </w:r>
    </w:p>
    <w:p w14:paraId="0047D36E" w14:textId="4B80D458" w:rsidR="00FB0943" w:rsidRDefault="0016514F" w:rsidP="0016514F">
      <w:pPr>
        <w:rPr>
          <w:rFonts w:ascii="Arial" w:hAnsi="Arial" w:cs="Arial"/>
          <w:b/>
          <w:bCs/>
          <w:sz w:val="24"/>
          <w:szCs w:val="24"/>
        </w:rPr>
      </w:pPr>
      <w:r w:rsidRPr="00B61D83">
        <w:rPr>
          <w:rFonts w:ascii="Arial" w:hAnsi="Arial" w:cs="Arial"/>
          <w:b/>
          <w:bCs/>
          <w:sz w:val="24"/>
          <w:szCs w:val="24"/>
        </w:rPr>
        <w:t xml:space="preserve">Northern Irish Commissioner for Children and Young People </w:t>
      </w:r>
      <w:r w:rsidR="00FB0943" w:rsidRPr="00FB0943">
        <w:rPr>
          <w:rFonts w:ascii="Arial" w:hAnsi="Arial" w:cs="Arial"/>
          <w:b/>
          <w:bCs/>
          <w:noProof/>
          <w:sz w:val="24"/>
          <w:szCs w:val="24"/>
        </w:rPr>
        <w:drawing>
          <wp:inline distT="0" distB="0" distL="0" distR="0" wp14:anchorId="091D464C" wp14:editId="431E95B8">
            <wp:extent cx="2038350" cy="485775"/>
            <wp:effectExtent l="0" t="0" r="0" b="952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5"/>
                    <a:stretch>
                      <a:fillRect/>
                    </a:stretch>
                  </pic:blipFill>
                  <pic:spPr>
                    <a:xfrm>
                      <a:off x="0" y="0"/>
                      <a:ext cx="2038350" cy="485775"/>
                    </a:xfrm>
                    <a:prstGeom prst="rect">
                      <a:avLst/>
                    </a:prstGeom>
                  </pic:spPr>
                </pic:pic>
              </a:graphicData>
            </a:graphic>
          </wp:inline>
        </w:drawing>
      </w:r>
    </w:p>
    <w:p w14:paraId="63A6F897" w14:textId="77777777" w:rsidR="00497E8B" w:rsidRPr="00B61D83" w:rsidRDefault="00497E8B" w:rsidP="0016514F">
      <w:pPr>
        <w:rPr>
          <w:rFonts w:ascii="Arial" w:hAnsi="Arial" w:cs="Arial"/>
          <w:b/>
          <w:bCs/>
          <w:sz w:val="24"/>
          <w:szCs w:val="24"/>
        </w:rPr>
      </w:pPr>
    </w:p>
    <w:p w14:paraId="085C6351" w14:textId="07639C97" w:rsidR="0016514F" w:rsidRDefault="00ED55D7" w:rsidP="0016514F">
      <w:pPr>
        <w:rPr>
          <w:rFonts w:ascii="Arial" w:hAnsi="Arial" w:cs="Arial"/>
          <w:sz w:val="24"/>
          <w:szCs w:val="24"/>
        </w:rPr>
      </w:pPr>
      <w:r>
        <w:rPr>
          <w:rFonts w:ascii="Arial" w:hAnsi="Arial" w:cs="Arial"/>
          <w:sz w:val="24"/>
          <w:szCs w:val="24"/>
        </w:rPr>
        <w:t xml:space="preserve">Professor </w:t>
      </w:r>
      <w:r w:rsidR="0016514F" w:rsidRPr="0016514F">
        <w:rPr>
          <w:rFonts w:ascii="Arial" w:hAnsi="Arial" w:cs="Arial"/>
          <w:sz w:val="24"/>
          <w:szCs w:val="24"/>
        </w:rPr>
        <w:t xml:space="preserve">Sally Holland </w:t>
      </w:r>
    </w:p>
    <w:p w14:paraId="0B46553F" w14:textId="72858C18" w:rsidR="0016514F" w:rsidRPr="00B61D83" w:rsidRDefault="0016514F" w:rsidP="0016514F">
      <w:pPr>
        <w:rPr>
          <w:rFonts w:ascii="Arial" w:hAnsi="Arial" w:cs="Arial"/>
          <w:b/>
          <w:bCs/>
          <w:sz w:val="24"/>
          <w:szCs w:val="24"/>
        </w:rPr>
      </w:pPr>
      <w:r w:rsidRPr="00B61D83">
        <w:rPr>
          <w:rFonts w:ascii="Arial" w:hAnsi="Arial" w:cs="Arial"/>
          <w:b/>
          <w:bCs/>
          <w:sz w:val="24"/>
          <w:szCs w:val="24"/>
        </w:rPr>
        <w:t xml:space="preserve">Comisiynydd Plant Cymru/Children’s Commissioner for Wales </w:t>
      </w:r>
    </w:p>
    <w:p w14:paraId="2440F9E7" w14:textId="0AAAD29B" w:rsidR="0016514F" w:rsidRPr="0016514F" w:rsidRDefault="004E07D2" w:rsidP="0016514F">
      <w:pPr>
        <w:rPr>
          <w:rFonts w:ascii="Arial" w:hAnsi="Arial" w:cs="Arial"/>
          <w:sz w:val="24"/>
          <w:szCs w:val="24"/>
        </w:rPr>
      </w:pPr>
      <w:r w:rsidRPr="004E07D2">
        <w:rPr>
          <w:rFonts w:ascii="Arial" w:hAnsi="Arial" w:cs="Arial"/>
          <w:noProof/>
          <w:sz w:val="24"/>
          <w:szCs w:val="24"/>
        </w:rPr>
        <w:drawing>
          <wp:inline distT="0" distB="0" distL="0" distR="0" wp14:anchorId="565E39F5" wp14:editId="77E25EEE">
            <wp:extent cx="1981200" cy="64770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6"/>
                    <a:stretch>
                      <a:fillRect/>
                    </a:stretch>
                  </pic:blipFill>
                  <pic:spPr>
                    <a:xfrm>
                      <a:off x="0" y="0"/>
                      <a:ext cx="1981200" cy="647700"/>
                    </a:xfrm>
                    <a:prstGeom prst="rect">
                      <a:avLst/>
                    </a:prstGeom>
                  </pic:spPr>
                </pic:pic>
              </a:graphicData>
            </a:graphic>
          </wp:inline>
        </w:drawing>
      </w:r>
    </w:p>
    <w:p w14:paraId="5B245C5D" w14:textId="77777777" w:rsidR="00065A26" w:rsidRPr="00BD0CDC" w:rsidRDefault="00065A26" w:rsidP="009A49F3">
      <w:pPr>
        <w:rPr>
          <w:rFonts w:ascii="Arial" w:hAnsi="Arial" w:cs="Arial"/>
          <w:sz w:val="24"/>
          <w:szCs w:val="24"/>
        </w:rPr>
      </w:pPr>
    </w:p>
    <w:p w14:paraId="7BD46E46" w14:textId="77777777" w:rsidR="00065A26" w:rsidRPr="00BD0CDC" w:rsidRDefault="00065A26" w:rsidP="009A49F3">
      <w:pPr>
        <w:rPr>
          <w:rFonts w:ascii="Arial" w:hAnsi="Arial" w:cs="Arial"/>
          <w:sz w:val="24"/>
          <w:szCs w:val="24"/>
        </w:rPr>
      </w:pPr>
    </w:p>
    <w:p w14:paraId="338FF64E" w14:textId="77777777" w:rsidR="003E4EDC" w:rsidRPr="003E4EDC" w:rsidRDefault="003E4EDC" w:rsidP="003E4EDC">
      <w:pPr>
        <w:rPr>
          <w:rFonts w:ascii="Arial" w:hAnsi="Arial" w:cs="Arial"/>
          <w:sz w:val="24"/>
          <w:szCs w:val="24"/>
        </w:rPr>
      </w:pPr>
    </w:p>
    <w:sectPr w:rsidR="003E4EDC" w:rsidRPr="003E4EDC">
      <w:headerReference w:type="default" r:id="rId1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9D99" w14:textId="77777777" w:rsidR="00097B0C" w:rsidRDefault="00097B0C" w:rsidP="00BB15CE">
      <w:pPr>
        <w:spacing w:after="0" w:line="240" w:lineRule="auto"/>
      </w:pPr>
      <w:r>
        <w:separator/>
      </w:r>
    </w:p>
  </w:endnote>
  <w:endnote w:type="continuationSeparator" w:id="0">
    <w:p w14:paraId="4B739402" w14:textId="77777777" w:rsidR="00097B0C" w:rsidRDefault="00097B0C" w:rsidP="00BB15CE">
      <w:pPr>
        <w:spacing w:after="0" w:line="240" w:lineRule="auto"/>
      </w:pPr>
      <w:r>
        <w:continuationSeparator/>
      </w:r>
    </w:p>
  </w:endnote>
  <w:endnote w:type="continuationNotice" w:id="1">
    <w:p w14:paraId="63D228D7" w14:textId="77777777" w:rsidR="00097B0C" w:rsidRDefault="00097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E0E3BB2" w14:paraId="404DA324" w14:textId="77777777" w:rsidTr="2E0E3BB2">
      <w:tc>
        <w:tcPr>
          <w:tcW w:w="3005" w:type="dxa"/>
        </w:tcPr>
        <w:p w14:paraId="549BCBD2" w14:textId="7BEE1ADE" w:rsidR="2E0E3BB2" w:rsidRDefault="2E0E3BB2" w:rsidP="2E0E3BB2">
          <w:pPr>
            <w:pStyle w:val="Header"/>
            <w:ind w:left="-115"/>
          </w:pPr>
        </w:p>
      </w:tc>
      <w:tc>
        <w:tcPr>
          <w:tcW w:w="3005" w:type="dxa"/>
        </w:tcPr>
        <w:p w14:paraId="7AAD014F" w14:textId="74AE9C51" w:rsidR="2E0E3BB2" w:rsidRDefault="2E0E3BB2" w:rsidP="2E0E3BB2">
          <w:pPr>
            <w:pStyle w:val="Header"/>
            <w:jc w:val="center"/>
          </w:pPr>
        </w:p>
      </w:tc>
      <w:tc>
        <w:tcPr>
          <w:tcW w:w="3005" w:type="dxa"/>
        </w:tcPr>
        <w:p w14:paraId="04BD9DD5" w14:textId="030E873C" w:rsidR="2E0E3BB2" w:rsidRDefault="2E0E3BB2" w:rsidP="2E0E3BB2">
          <w:pPr>
            <w:pStyle w:val="Header"/>
            <w:ind w:right="-115"/>
            <w:jc w:val="right"/>
          </w:pPr>
        </w:p>
      </w:tc>
    </w:tr>
  </w:tbl>
  <w:p w14:paraId="77E4A9D0" w14:textId="62B36913" w:rsidR="00D658A3" w:rsidRDefault="00D65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79BB" w14:textId="77777777" w:rsidR="00097B0C" w:rsidRDefault="00097B0C" w:rsidP="00BB15CE">
      <w:pPr>
        <w:spacing w:after="0" w:line="240" w:lineRule="auto"/>
      </w:pPr>
      <w:r>
        <w:separator/>
      </w:r>
    </w:p>
  </w:footnote>
  <w:footnote w:type="continuationSeparator" w:id="0">
    <w:p w14:paraId="445267BD" w14:textId="77777777" w:rsidR="00097B0C" w:rsidRDefault="00097B0C" w:rsidP="00BB15CE">
      <w:pPr>
        <w:spacing w:after="0" w:line="240" w:lineRule="auto"/>
      </w:pPr>
      <w:r>
        <w:continuationSeparator/>
      </w:r>
    </w:p>
  </w:footnote>
  <w:footnote w:type="continuationNotice" w:id="1">
    <w:p w14:paraId="6680BC05" w14:textId="77777777" w:rsidR="00097B0C" w:rsidRDefault="00097B0C">
      <w:pPr>
        <w:spacing w:after="0" w:line="240" w:lineRule="auto"/>
      </w:pPr>
    </w:p>
  </w:footnote>
  <w:footnote w:id="2">
    <w:p w14:paraId="02209E7E" w14:textId="2E4E59B6" w:rsidR="004D708B" w:rsidRPr="00AE3C32" w:rsidRDefault="004D708B">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w:t>
      </w:r>
      <w:r w:rsidRPr="00AE3C32">
        <w:rPr>
          <w:rFonts w:ascii="Arial" w:hAnsi="Arial" w:cs="Arial"/>
        </w:rPr>
        <w:t xml:space="preserve">See The Children’s Commissioner for Wales Act and Regulations 2001; </w:t>
      </w:r>
      <w:r w:rsidR="00D40264" w:rsidRPr="00AE3C32">
        <w:rPr>
          <w:rFonts w:ascii="Arial" w:hAnsi="Arial" w:cs="Arial"/>
        </w:rPr>
        <w:t>Commissioner for Children and Young People (Scotland) Act</w:t>
      </w:r>
      <w:r w:rsidR="009D1D95">
        <w:rPr>
          <w:rFonts w:ascii="Arial" w:hAnsi="Arial" w:cs="Arial"/>
        </w:rPr>
        <w:t xml:space="preserve"> 2003</w:t>
      </w:r>
      <w:r w:rsidR="00D40264" w:rsidRPr="00E16C7A">
        <w:rPr>
          <w:rFonts w:ascii="Arial" w:hAnsi="Arial" w:cs="Arial"/>
        </w:rPr>
        <w:t xml:space="preserve">; and </w:t>
      </w:r>
      <w:r w:rsidR="008E3E38" w:rsidRPr="00E16C7A">
        <w:rPr>
          <w:rFonts w:ascii="Arial" w:hAnsi="Arial" w:cs="Arial"/>
        </w:rPr>
        <w:t>The Commissioner for Children and Young People Order (Northern Ireland) 2003</w:t>
      </w:r>
    </w:p>
  </w:footnote>
  <w:footnote w:id="3">
    <w:p w14:paraId="422ACB48" w14:textId="78F5D8A0" w:rsidR="00EB56D4" w:rsidRPr="00EB56D4" w:rsidRDefault="00F17A06" w:rsidP="00517F39">
      <w:pPr>
        <w:pStyle w:val="Heading3"/>
        <w:shd w:val="clear" w:color="auto" w:fill="FFFFFF"/>
        <w:rPr>
          <w:rFonts w:ascii="Verdana" w:eastAsia="Times New Roman" w:hAnsi="Verdana" w:cs="Times New Roman"/>
          <w:color w:val="262626"/>
          <w:sz w:val="28"/>
          <w:szCs w:val="28"/>
          <w:lang w:eastAsia="en-GB"/>
        </w:rPr>
      </w:pPr>
      <w:r>
        <w:rPr>
          <w:rStyle w:val="FootnoteReference"/>
        </w:rPr>
        <w:footnoteRef/>
      </w:r>
      <w:r>
        <w:t xml:space="preserve"> </w:t>
      </w:r>
      <w:r w:rsidR="004013BA" w:rsidRPr="00517F39">
        <w:rPr>
          <w:rFonts w:ascii="Arial" w:eastAsiaTheme="minorHAnsi" w:hAnsi="Arial" w:cs="Arial"/>
          <w:color w:val="auto"/>
          <w:sz w:val="20"/>
          <w:szCs w:val="20"/>
        </w:rPr>
        <w:t>Principles relating to the Status of National Institutions (The Paris Principles)</w:t>
      </w:r>
      <w:r w:rsidR="00EB56D4" w:rsidRPr="00517F39">
        <w:rPr>
          <w:rFonts w:ascii="Arial" w:eastAsiaTheme="minorHAnsi" w:hAnsi="Arial" w:cs="Arial"/>
          <w:color w:val="auto"/>
          <w:sz w:val="20"/>
          <w:szCs w:val="20"/>
        </w:rPr>
        <w:t xml:space="preserve"> </w:t>
      </w:r>
      <w:r w:rsidR="00890DCD">
        <w:rPr>
          <w:rFonts w:ascii="Arial" w:eastAsiaTheme="minorHAnsi" w:hAnsi="Arial" w:cs="Arial"/>
          <w:color w:val="auto"/>
          <w:sz w:val="20"/>
          <w:szCs w:val="20"/>
        </w:rPr>
        <w:t>a</w:t>
      </w:r>
      <w:r w:rsidR="00EB56D4" w:rsidRPr="00517F39">
        <w:rPr>
          <w:rFonts w:ascii="Arial" w:eastAsiaTheme="minorHAnsi" w:hAnsi="Arial" w:cs="Arial"/>
          <w:color w:val="auto"/>
          <w:sz w:val="20"/>
          <w:szCs w:val="20"/>
        </w:rPr>
        <w:t xml:space="preserve">dopted by General Assembly resolution 48/134 of 20 December 1993; and </w:t>
      </w:r>
      <w:r w:rsidR="00890DCD">
        <w:rPr>
          <w:rFonts w:ascii="Arial" w:eastAsiaTheme="minorHAnsi" w:hAnsi="Arial" w:cs="Arial"/>
          <w:color w:val="auto"/>
          <w:sz w:val="20"/>
          <w:szCs w:val="20"/>
        </w:rPr>
        <w:t xml:space="preserve">Committee on the Rights of the Child </w:t>
      </w:r>
      <w:r w:rsidR="00890DCD" w:rsidRPr="00517F39">
        <w:rPr>
          <w:rFonts w:ascii="Arial" w:eastAsiaTheme="minorHAnsi" w:hAnsi="Arial" w:cs="Arial"/>
          <w:color w:val="auto"/>
          <w:sz w:val="20"/>
          <w:szCs w:val="20"/>
        </w:rPr>
        <w:t xml:space="preserve">General </w:t>
      </w:r>
      <w:r w:rsidR="00890DCD">
        <w:rPr>
          <w:rFonts w:ascii="Arial" w:eastAsiaTheme="minorHAnsi" w:hAnsi="Arial" w:cs="Arial"/>
          <w:color w:val="auto"/>
          <w:sz w:val="20"/>
          <w:szCs w:val="20"/>
        </w:rPr>
        <w:t>C</w:t>
      </w:r>
      <w:r w:rsidR="00890DCD" w:rsidRPr="00517F39">
        <w:rPr>
          <w:rFonts w:ascii="Arial" w:eastAsiaTheme="minorHAnsi" w:hAnsi="Arial" w:cs="Arial"/>
          <w:color w:val="auto"/>
          <w:sz w:val="20"/>
          <w:szCs w:val="20"/>
        </w:rPr>
        <w:t>omment no. 2 (2002)</w:t>
      </w:r>
      <w:r w:rsidR="00517F39">
        <w:rPr>
          <w:rFonts w:ascii="Arial" w:eastAsiaTheme="minorHAnsi" w:hAnsi="Arial" w:cs="Arial"/>
          <w:color w:val="auto"/>
          <w:sz w:val="20"/>
          <w:szCs w:val="20"/>
        </w:rPr>
        <w:t>:</w:t>
      </w:r>
      <w:r w:rsidR="00890DCD">
        <w:rPr>
          <w:rFonts w:ascii="Arial" w:eastAsiaTheme="minorHAnsi" w:hAnsi="Arial" w:cs="Arial"/>
          <w:color w:val="auto"/>
          <w:sz w:val="20"/>
          <w:szCs w:val="20"/>
        </w:rPr>
        <w:t xml:space="preserve"> </w:t>
      </w:r>
      <w:r w:rsidR="00890DCD" w:rsidRPr="00517F39">
        <w:rPr>
          <w:rFonts w:ascii="Arial" w:eastAsiaTheme="minorHAnsi" w:hAnsi="Arial" w:cs="Arial"/>
          <w:color w:val="auto"/>
          <w:sz w:val="20"/>
          <w:szCs w:val="20"/>
        </w:rPr>
        <w:t>The role of independent national human rights institutions in the promotion and protection of the rights of the child</w:t>
      </w:r>
    </w:p>
    <w:p w14:paraId="75782D64" w14:textId="7EC5591A" w:rsidR="004013BA" w:rsidRPr="004013BA" w:rsidRDefault="004013BA" w:rsidP="00517F39">
      <w:pPr>
        <w:pStyle w:val="Heading2"/>
        <w:shd w:val="clear" w:color="auto" w:fill="FFFFFF"/>
        <w:rPr>
          <w:rFonts w:ascii="Verdana" w:eastAsia="Times New Roman" w:hAnsi="Verdana" w:cs="Times New Roman"/>
          <w:color w:val="0072C6"/>
          <w:sz w:val="35"/>
          <w:szCs w:val="35"/>
          <w:lang w:eastAsia="en-GB"/>
        </w:rPr>
      </w:pPr>
    </w:p>
    <w:p w14:paraId="25CA9642" w14:textId="1E724845" w:rsidR="00F17A06" w:rsidRDefault="00F17A06">
      <w:pPr>
        <w:pStyle w:val="FootnoteText"/>
      </w:pPr>
    </w:p>
  </w:footnote>
  <w:footnote w:id="4">
    <w:p w14:paraId="48BF46DD" w14:textId="77777777" w:rsidR="008C41D8" w:rsidRPr="00E16C7A" w:rsidRDefault="008C41D8" w:rsidP="008C41D8">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A v United Kingdom, application no. 25599/94</w:t>
      </w:r>
    </w:p>
  </w:footnote>
  <w:footnote w:id="5">
    <w:p w14:paraId="6D0E696B" w14:textId="77777777" w:rsidR="008C41D8" w:rsidRPr="00E16C7A" w:rsidRDefault="008C41D8" w:rsidP="008C41D8">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The Children (Equal Protection from Assault) (Scotland) Act 2019</w:t>
      </w:r>
    </w:p>
  </w:footnote>
  <w:footnote w:id="6">
    <w:p w14:paraId="5CEF259B" w14:textId="77777777" w:rsidR="008C41D8" w:rsidRPr="00E16C7A" w:rsidRDefault="008C41D8" w:rsidP="008C41D8">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Children (Abolition of Defence of Reasonable Punishment) (Wales) Act 2020</w:t>
      </w:r>
    </w:p>
  </w:footnote>
  <w:footnote w:id="7">
    <w:p w14:paraId="308D02A2" w14:textId="13E1A5DE" w:rsidR="009C32F1" w:rsidRPr="00E16C7A" w:rsidRDefault="009C32F1">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Joint Committee on Human Rights, </w:t>
      </w:r>
      <w:r w:rsidR="002A603D" w:rsidRPr="00E16C7A">
        <w:rPr>
          <w:rFonts w:ascii="Arial" w:hAnsi="Arial" w:cs="Arial"/>
        </w:rPr>
        <w:t>The Government’s Independent Review of the Human Rights Act</w:t>
      </w:r>
      <w:r w:rsidR="003848A5" w:rsidRPr="00E16C7A">
        <w:rPr>
          <w:rFonts w:ascii="Arial" w:hAnsi="Arial" w:cs="Arial"/>
        </w:rPr>
        <w:t xml:space="preserve">, Third Report of Session 2021–22, </w:t>
      </w:r>
      <w:r w:rsidR="00376BC1" w:rsidRPr="00E16C7A">
        <w:rPr>
          <w:rFonts w:ascii="Arial" w:hAnsi="Arial" w:cs="Arial"/>
        </w:rPr>
        <w:t xml:space="preserve">Published on 8 July 2021, Paragraph </w:t>
      </w:r>
      <w:r w:rsidR="00A55A98" w:rsidRPr="00E16C7A">
        <w:rPr>
          <w:rFonts w:ascii="Arial" w:hAnsi="Arial" w:cs="Arial"/>
        </w:rPr>
        <w:t xml:space="preserve">237. Available at: </w:t>
      </w:r>
      <w:hyperlink r:id="rId1" w:history="1">
        <w:r w:rsidR="00A55A98" w:rsidRPr="00E16C7A">
          <w:rPr>
            <w:rStyle w:val="Hyperlink"/>
            <w:rFonts w:ascii="Arial" w:hAnsi="Arial" w:cs="Arial"/>
          </w:rPr>
          <w:t>https://committees.parliament.uk/publications/6592/documents/71259/default/</w:t>
        </w:r>
      </w:hyperlink>
      <w:r w:rsidR="00A55A98" w:rsidRPr="00E16C7A">
        <w:rPr>
          <w:rFonts w:ascii="Arial" w:hAnsi="Arial" w:cs="Arial"/>
        </w:rPr>
        <w:t xml:space="preserve"> </w:t>
      </w:r>
    </w:p>
  </w:footnote>
  <w:footnote w:id="8">
    <w:p w14:paraId="57BBA551" w14:textId="5BA70D90" w:rsidR="00CC45D5" w:rsidRPr="00E16C7A" w:rsidRDefault="00CC45D5">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w:t>
      </w:r>
      <w:hyperlink r:id="rId2" w:history="1">
        <w:r w:rsidR="00C60621" w:rsidRPr="00E16C7A">
          <w:rPr>
            <w:rStyle w:val="Hyperlink"/>
            <w:rFonts w:ascii="Arial" w:hAnsi="Arial" w:cs="Arial"/>
          </w:rPr>
          <w:t>https://www.gov.scot/news/next-step-towards-scottish-human-rights-bill/</w:t>
        </w:r>
      </w:hyperlink>
      <w:r w:rsidR="00C60621" w:rsidRPr="00E16C7A">
        <w:rPr>
          <w:rFonts w:ascii="Arial" w:hAnsi="Arial" w:cs="Arial"/>
        </w:rPr>
        <w:t xml:space="preserve"> </w:t>
      </w:r>
    </w:p>
  </w:footnote>
  <w:footnote w:id="9">
    <w:p w14:paraId="00EE9041" w14:textId="77777777" w:rsidR="008C390E" w:rsidRPr="00E16C7A" w:rsidRDefault="008C390E" w:rsidP="008C390E">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We agree with the written evidence from Article 39, HRA0017. </w:t>
      </w:r>
      <w:hyperlink r:id="rId3" w:history="1">
        <w:r w:rsidRPr="00E16C7A">
          <w:rPr>
            <w:rStyle w:val="Hyperlink"/>
            <w:rFonts w:ascii="Arial" w:hAnsi="Arial" w:cs="Arial"/>
          </w:rPr>
          <w:t>https://committees.parliament.uk/writtenevidence/22958/pdf/</w:t>
        </w:r>
      </w:hyperlink>
      <w:r w:rsidRPr="00E16C7A">
        <w:rPr>
          <w:rFonts w:ascii="Arial" w:hAnsi="Arial" w:cs="Arial"/>
        </w:rPr>
        <w:t xml:space="preserve"> </w:t>
      </w:r>
    </w:p>
  </w:footnote>
  <w:footnote w:id="10">
    <w:p w14:paraId="7E34E7CA" w14:textId="77777777" w:rsidR="00F77BC8" w:rsidRPr="00E16C7A" w:rsidRDefault="00F77BC8" w:rsidP="00F77BC8">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Human Rights Act Reform: A Modern Bill of Rights – consultation, published 14 December 2021. Available at: </w:t>
      </w:r>
      <w:hyperlink r:id="rId4" w:history="1">
        <w:r w:rsidRPr="00E16C7A">
          <w:rPr>
            <w:rStyle w:val="Hyperlink"/>
            <w:rFonts w:ascii="Arial" w:hAnsi="Arial" w:cs="Arial"/>
          </w:rPr>
          <w:t>https://www.gov.uk/government/consultations/human-rights-act-reform-a-modern-bill-of-rights</w:t>
        </w:r>
      </w:hyperlink>
    </w:p>
  </w:footnote>
  <w:footnote w:id="11">
    <w:p w14:paraId="0C72B020" w14:textId="77777777" w:rsidR="00765ACF" w:rsidRPr="00AE3C32" w:rsidRDefault="00765ACF" w:rsidP="00765ACF">
      <w:pPr>
        <w:pStyle w:val="FootnoteText"/>
        <w:rPr>
          <w:rFonts w:ascii="Arial" w:hAnsi="Arial" w:cs="Arial"/>
        </w:rPr>
      </w:pPr>
      <w:r w:rsidRPr="00AE3C32">
        <w:rPr>
          <w:rStyle w:val="FootnoteReference"/>
          <w:rFonts w:ascii="Arial" w:hAnsi="Arial" w:cs="Arial"/>
        </w:rPr>
        <w:footnoteRef/>
      </w:r>
      <w:r w:rsidRPr="00AE3C32">
        <w:rPr>
          <w:rFonts w:ascii="Arial" w:hAnsi="Arial" w:cs="Arial"/>
        </w:rPr>
        <w:t xml:space="preserve"> </w:t>
      </w:r>
      <w:r w:rsidRPr="00E16C7A">
        <w:rPr>
          <w:rFonts w:ascii="Arial" w:hAnsi="Arial" w:cs="Arial"/>
        </w:rPr>
        <w:t>NIO, 1998, The Belfast (Good Friday) Agreement 1998, Paragraph 3 of the of the ‘Rights, Safeguards and Equality of Opportunity’ section.</w:t>
      </w:r>
    </w:p>
  </w:footnote>
  <w:footnote w:id="12">
    <w:p w14:paraId="26DB78FE" w14:textId="77777777" w:rsidR="00765ACF" w:rsidRPr="00AE3C32" w:rsidRDefault="00765ACF" w:rsidP="00765ACF">
      <w:pPr>
        <w:pStyle w:val="FootnoteText"/>
        <w:rPr>
          <w:rFonts w:ascii="Arial" w:hAnsi="Arial" w:cs="Arial"/>
        </w:rPr>
      </w:pPr>
      <w:r w:rsidRPr="00AE3C32">
        <w:rPr>
          <w:rStyle w:val="FootnoteReference"/>
          <w:rFonts w:ascii="Arial" w:hAnsi="Arial" w:cs="Arial"/>
        </w:rPr>
        <w:footnoteRef/>
      </w:r>
      <w:r w:rsidRPr="00AE3C32">
        <w:rPr>
          <w:rFonts w:ascii="Arial" w:hAnsi="Arial" w:cs="Arial"/>
        </w:rPr>
        <w:t xml:space="preserve"> </w:t>
      </w:r>
      <w:r w:rsidRPr="00E16C7A">
        <w:rPr>
          <w:rFonts w:ascii="Arial" w:hAnsi="Arial" w:cs="Arial"/>
        </w:rPr>
        <w:t>Consultation document p14</w:t>
      </w:r>
    </w:p>
  </w:footnote>
  <w:footnote w:id="13">
    <w:p w14:paraId="0A72EA80" w14:textId="276C516F" w:rsidR="004031D9" w:rsidRPr="00AE3C32" w:rsidRDefault="004031D9">
      <w:pPr>
        <w:pStyle w:val="FootnoteText"/>
        <w:rPr>
          <w:rFonts w:ascii="Arial" w:hAnsi="Arial" w:cs="Arial"/>
        </w:rPr>
      </w:pPr>
      <w:r w:rsidRPr="00AE3C32">
        <w:rPr>
          <w:rStyle w:val="FootnoteReference"/>
          <w:rFonts w:ascii="Arial" w:hAnsi="Arial" w:cs="Arial"/>
        </w:rPr>
        <w:footnoteRef/>
      </w:r>
      <w:r w:rsidRPr="00AE3C32">
        <w:rPr>
          <w:rFonts w:ascii="Arial" w:hAnsi="Arial" w:cs="Arial"/>
        </w:rPr>
        <w:t xml:space="preserve"> </w:t>
      </w:r>
      <w:r w:rsidR="002012F8" w:rsidRPr="00AE3C32">
        <w:rPr>
          <w:rFonts w:ascii="Arial" w:hAnsi="Arial" w:cs="Arial"/>
        </w:rPr>
        <w:t xml:space="preserve">Judith Robertson, Oral evidence to the Joint Committee on Human Rights, The Government’s Independent Human Rights Act Review, HC 1161, 10 March 2021. Available here: </w:t>
      </w:r>
      <w:hyperlink r:id="rId5" w:history="1">
        <w:r w:rsidR="008D488F" w:rsidRPr="00AE3C32">
          <w:rPr>
            <w:rStyle w:val="Hyperlink"/>
            <w:rFonts w:ascii="Arial" w:hAnsi="Arial" w:cs="Arial"/>
          </w:rPr>
          <w:t>https://committees.parliament.uk/oralevidence/1871/html/</w:t>
        </w:r>
      </w:hyperlink>
      <w:r w:rsidR="008D488F" w:rsidRPr="00AE3C32">
        <w:rPr>
          <w:rFonts w:ascii="Arial" w:hAnsi="Arial" w:cs="Arial"/>
        </w:rPr>
        <w:t xml:space="preserve"> </w:t>
      </w:r>
    </w:p>
  </w:footnote>
  <w:footnote w:id="14">
    <w:p w14:paraId="595F73A2" w14:textId="329345A0" w:rsidR="004F2ADB" w:rsidRPr="00AE3C32" w:rsidRDefault="004F2ADB" w:rsidP="00BB3163">
      <w:pPr>
        <w:pStyle w:val="FootnoteText"/>
        <w:rPr>
          <w:rFonts w:ascii="Arial" w:hAnsi="Arial" w:cs="Arial"/>
        </w:rPr>
      </w:pPr>
      <w:r w:rsidRPr="00AE3C32">
        <w:rPr>
          <w:rStyle w:val="FootnoteReference"/>
          <w:rFonts w:ascii="Arial" w:hAnsi="Arial" w:cs="Arial"/>
        </w:rPr>
        <w:footnoteRef/>
      </w:r>
      <w:r w:rsidRPr="00AE3C32">
        <w:rPr>
          <w:rFonts w:ascii="Arial" w:hAnsi="Arial" w:cs="Arial"/>
        </w:rPr>
        <w:t xml:space="preserve"> </w:t>
      </w:r>
      <w:r w:rsidR="00BB3163" w:rsidRPr="00AE3C32">
        <w:rPr>
          <w:rFonts w:ascii="Arial" w:hAnsi="Arial" w:cs="Arial"/>
        </w:rPr>
        <w:t>See, C v Principal Reporter, 2010 Fam. L.R. 14 where a child was subject to a supervision requirement under the condition that contact with the mother was at the discretion of the child did not violate article 8 either, given the act’s extensive rights of review and appeal</w:t>
      </w:r>
    </w:p>
  </w:footnote>
  <w:footnote w:id="15">
    <w:p w14:paraId="7BDF8FBF" w14:textId="54E8613D" w:rsidR="0067582C" w:rsidRPr="00AE3C32" w:rsidRDefault="0067582C">
      <w:pPr>
        <w:pStyle w:val="FootnoteText"/>
        <w:rPr>
          <w:rFonts w:ascii="Arial" w:hAnsi="Arial" w:cs="Arial"/>
        </w:rPr>
      </w:pPr>
      <w:r w:rsidRPr="00AE3C32">
        <w:rPr>
          <w:rStyle w:val="FootnoteReference"/>
          <w:rFonts w:ascii="Arial" w:hAnsi="Arial" w:cs="Arial"/>
        </w:rPr>
        <w:footnoteRef/>
      </w:r>
      <w:r w:rsidRPr="00AE3C32">
        <w:rPr>
          <w:rFonts w:ascii="Arial" w:hAnsi="Arial" w:cs="Arial"/>
        </w:rPr>
        <w:t xml:space="preserve"> Scottish Human Rights Commission,</w:t>
      </w:r>
      <w:r w:rsidR="00F12527" w:rsidRPr="00AE3C32">
        <w:rPr>
          <w:rFonts w:ascii="Arial" w:hAnsi="Arial" w:cs="Arial"/>
        </w:rPr>
        <w:t xml:space="preserve"> Inquiry: 20 Years of the Human Rights Act 1998, September 2018. Available here: </w:t>
      </w:r>
      <w:hyperlink r:id="rId6" w:history="1">
        <w:r w:rsidR="00F12527" w:rsidRPr="00AE3C32">
          <w:rPr>
            <w:rStyle w:val="Hyperlink"/>
            <w:rFonts w:ascii="Arial" w:hAnsi="Arial" w:cs="Arial"/>
          </w:rPr>
          <w:t>https://www.scottishhumanrights.com/media/1796/shrc-submission-to-the-jchr-on-hra-1998-13-september-2018.pdf</w:t>
        </w:r>
      </w:hyperlink>
      <w:r w:rsidR="00F12527" w:rsidRPr="00AE3C32">
        <w:rPr>
          <w:rFonts w:ascii="Arial" w:hAnsi="Arial" w:cs="Arial"/>
        </w:rPr>
        <w:t xml:space="preserve"> </w:t>
      </w:r>
    </w:p>
  </w:footnote>
  <w:footnote w:id="16">
    <w:p w14:paraId="686A8605" w14:textId="0EA944B4" w:rsidR="009D3E42" w:rsidRPr="00AE3C32" w:rsidRDefault="009D3E42">
      <w:pPr>
        <w:pStyle w:val="FootnoteText"/>
        <w:rPr>
          <w:rFonts w:ascii="Arial" w:hAnsi="Arial" w:cs="Arial"/>
        </w:rPr>
      </w:pPr>
      <w:r w:rsidRPr="00AE3C32">
        <w:rPr>
          <w:rStyle w:val="FootnoteReference"/>
          <w:rFonts w:ascii="Arial" w:hAnsi="Arial" w:cs="Arial"/>
        </w:rPr>
        <w:footnoteRef/>
      </w:r>
      <w:r w:rsidRPr="00AE3C32">
        <w:rPr>
          <w:rFonts w:ascii="Arial" w:hAnsi="Arial" w:cs="Arial"/>
        </w:rPr>
        <w:t xml:space="preserve"> S v Miller 2001 SLT 531. See article by Kenneth Norrie, </w:t>
      </w:r>
      <w:r w:rsidR="007240DD" w:rsidRPr="00AE3C32">
        <w:rPr>
          <w:rFonts w:ascii="Arial" w:hAnsi="Arial" w:cs="Arial"/>
        </w:rPr>
        <w:t xml:space="preserve">Hearing and Speaking, 18 January 2010, Available here: </w:t>
      </w:r>
      <w:hyperlink r:id="rId7" w:history="1">
        <w:r w:rsidR="00A45ABE" w:rsidRPr="00FB1D9A">
          <w:rPr>
            <w:rStyle w:val="Hyperlink"/>
            <w:rFonts w:ascii="Arial" w:hAnsi="Arial" w:cs="Arial"/>
          </w:rPr>
          <w:t>https://www.lawscot.org.uk/members/journal/issues/vol-55-issue-01/hearing-and-speaking/</w:t>
        </w:r>
      </w:hyperlink>
      <w:r w:rsidR="00A45ABE">
        <w:rPr>
          <w:rFonts w:ascii="Arial" w:hAnsi="Arial" w:cs="Arial"/>
        </w:rPr>
        <w:t xml:space="preserve"> </w:t>
      </w:r>
      <w:r w:rsidR="00341A4A" w:rsidRPr="00AE3C32">
        <w:rPr>
          <w:rFonts w:ascii="Arial" w:hAnsi="Arial" w:cs="Arial"/>
        </w:rPr>
        <w:t xml:space="preserve"> </w:t>
      </w:r>
    </w:p>
  </w:footnote>
  <w:footnote w:id="17">
    <w:p w14:paraId="5BE12001" w14:textId="2CD12C82" w:rsidR="00B409B3" w:rsidRPr="00AE3C32" w:rsidRDefault="00B409B3">
      <w:pPr>
        <w:pStyle w:val="FootnoteText"/>
        <w:rPr>
          <w:rFonts w:ascii="Arial" w:hAnsi="Arial" w:cs="Arial"/>
        </w:rPr>
      </w:pPr>
      <w:r w:rsidRPr="00AE3C32">
        <w:rPr>
          <w:rStyle w:val="FootnoteReference"/>
          <w:rFonts w:ascii="Arial" w:hAnsi="Arial" w:cs="Arial"/>
        </w:rPr>
        <w:footnoteRef/>
      </w:r>
      <w:r w:rsidRPr="00AE3C32">
        <w:rPr>
          <w:rFonts w:ascii="Arial" w:hAnsi="Arial" w:cs="Arial"/>
        </w:rPr>
        <w:t xml:space="preserve"> K v Authority Reporter 2009 SLT 1019</w:t>
      </w:r>
    </w:p>
  </w:footnote>
  <w:footnote w:id="18">
    <w:p w14:paraId="1FD3D72D" w14:textId="45E357ED" w:rsidR="0064316D" w:rsidRPr="00AE3C32" w:rsidRDefault="0064316D">
      <w:pPr>
        <w:pStyle w:val="FootnoteText"/>
        <w:rPr>
          <w:rFonts w:ascii="Arial" w:hAnsi="Arial" w:cs="Arial"/>
        </w:rPr>
      </w:pPr>
      <w:r w:rsidRPr="00AE3C32">
        <w:rPr>
          <w:rStyle w:val="FootnoteReference"/>
          <w:rFonts w:ascii="Arial" w:hAnsi="Arial" w:cs="Arial"/>
        </w:rPr>
        <w:footnoteRef/>
      </w:r>
      <w:r w:rsidRPr="00AE3C32">
        <w:rPr>
          <w:rFonts w:ascii="Arial" w:hAnsi="Arial" w:cs="Arial"/>
        </w:rPr>
        <w:t xml:space="preserve"> ABC (Appellant) v Principal Reporter and another (Respondents) (Scotland), </w:t>
      </w:r>
      <w:r w:rsidR="00080C19" w:rsidRPr="00AE3C32">
        <w:rPr>
          <w:rFonts w:ascii="Arial" w:hAnsi="Arial" w:cs="Arial"/>
        </w:rPr>
        <w:t>[2020] UKSC 26</w:t>
      </w:r>
    </w:p>
  </w:footnote>
  <w:footnote w:id="19">
    <w:p w14:paraId="33FB1EC4" w14:textId="048B3BD2" w:rsidR="000772CE" w:rsidRPr="00AE3C32" w:rsidRDefault="000772CE">
      <w:pPr>
        <w:pStyle w:val="FootnoteText"/>
        <w:rPr>
          <w:rFonts w:ascii="Arial" w:hAnsi="Arial" w:cs="Arial"/>
        </w:rPr>
      </w:pPr>
      <w:r w:rsidRPr="00AE3C32">
        <w:rPr>
          <w:rStyle w:val="FootnoteReference"/>
          <w:rFonts w:ascii="Arial" w:hAnsi="Arial" w:cs="Arial"/>
        </w:rPr>
        <w:footnoteRef/>
      </w:r>
      <w:r w:rsidRPr="00AE3C32">
        <w:rPr>
          <w:rFonts w:ascii="Arial" w:hAnsi="Arial" w:cs="Arial"/>
        </w:rPr>
        <w:t xml:space="preserve"> Para 52</w:t>
      </w:r>
    </w:p>
  </w:footnote>
  <w:footnote w:id="20">
    <w:p w14:paraId="6DB63143" w14:textId="731DFABA" w:rsidR="0099225B" w:rsidRPr="00AE3C32" w:rsidRDefault="0099225B">
      <w:pPr>
        <w:pStyle w:val="FootnoteText"/>
        <w:rPr>
          <w:rFonts w:ascii="Arial" w:hAnsi="Arial" w:cs="Arial"/>
        </w:rPr>
      </w:pPr>
      <w:r w:rsidRPr="00AE3C32">
        <w:rPr>
          <w:rStyle w:val="FootnoteReference"/>
          <w:rFonts w:ascii="Arial" w:hAnsi="Arial" w:cs="Arial"/>
        </w:rPr>
        <w:footnoteRef/>
      </w:r>
      <w:r w:rsidRPr="00AE3C32">
        <w:rPr>
          <w:rFonts w:ascii="Arial" w:hAnsi="Arial" w:cs="Arial"/>
        </w:rPr>
        <w:t xml:space="preserve"> Stand Up for Siblings, Meeting siblings’ rights to participate in Children’s Hearings, 9 November 2020. Available here: </w:t>
      </w:r>
      <w:hyperlink r:id="rId8" w:anchor=":~:text=The%20new%20Children%20(Scotland)%20Act,section%2025%20of%20the%20Act" w:history="1">
        <w:r w:rsidR="00DE0CF3" w:rsidRPr="00AE3C32">
          <w:rPr>
            <w:rStyle w:val="Hyperlink"/>
            <w:rFonts w:ascii="Arial" w:hAnsi="Arial" w:cs="Arial"/>
          </w:rPr>
          <w:t>https://www.standupforsiblings.co.uk/2020/11/09/meetings-siblings-rights-to-participate-in-childrens-hearings/#:~:text=The%20new%20Children%20(Scotland)%20Act,section%2025%20of%20the%20Act</w:t>
        </w:r>
      </w:hyperlink>
      <w:r w:rsidR="00DE0CF3" w:rsidRPr="00AE3C32">
        <w:rPr>
          <w:rFonts w:ascii="Arial" w:hAnsi="Arial" w:cs="Arial"/>
        </w:rPr>
        <w:t xml:space="preserve">). </w:t>
      </w:r>
    </w:p>
  </w:footnote>
  <w:footnote w:id="21">
    <w:p w14:paraId="00A31295" w14:textId="1826F2C5" w:rsidR="00AF0908" w:rsidRPr="00AE3C32" w:rsidRDefault="00AF0908">
      <w:pPr>
        <w:pStyle w:val="FootnoteText"/>
        <w:rPr>
          <w:rFonts w:ascii="Arial" w:hAnsi="Arial" w:cs="Arial"/>
        </w:rPr>
      </w:pPr>
      <w:r w:rsidRPr="00AE3C32">
        <w:rPr>
          <w:rStyle w:val="FootnoteReference"/>
          <w:rFonts w:ascii="Arial" w:hAnsi="Arial" w:cs="Arial"/>
        </w:rPr>
        <w:footnoteRef/>
      </w:r>
      <w:r w:rsidRPr="00AE3C32">
        <w:rPr>
          <w:rFonts w:ascii="Arial" w:hAnsi="Arial" w:cs="Arial"/>
        </w:rPr>
        <w:t xml:space="preserve"> Amnesty International UK, A guide on the Consultation on Human Rights Act Reform. Available at: </w:t>
      </w:r>
      <w:hyperlink r:id="rId9" w:history="1">
        <w:r w:rsidR="00E27415" w:rsidRPr="00AE3C32">
          <w:rPr>
            <w:rStyle w:val="Hyperlink"/>
            <w:rFonts w:ascii="Arial" w:hAnsi="Arial" w:cs="Arial"/>
          </w:rPr>
          <w:t>https://www.amnesty.org.uk/files/2022-02/HRA%20Consultation%20FINAL.pdf?VersionId=mRklDIRm2sPbNw2o0iDFLIEZ_F3FoZ6c</w:t>
        </w:r>
      </w:hyperlink>
      <w:r w:rsidR="00E27415" w:rsidRPr="00AE3C32">
        <w:rPr>
          <w:rFonts w:ascii="Arial" w:hAnsi="Arial" w:cs="Arial"/>
        </w:rPr>
        <w:t xml:space="preserve"> </w:t>
      </w:r>
    </w:p>
  </w:footnote>
  <w:footnote w:id="22">
    <w:p w14:paraId="21F55B96" w14:textId="77777777" w:rsidR="00972272" w:rsidRPr="00AE3C32" w:rsidRDefault="00972272" w:rsidP="00972272">
      <w:pPr>
        <w:pStyle w:val="FootnoteText"/>
        <w:rPr>
          <w:rFonts w:ascii="Arial" w:hAnsi="Arial" w:cs="Arial"/>
        </w:rPr>
      </w:pPr>
      <w:r w:rsidRPr="00AE3C32">
        <w:rPr>
          <w:rStyle w:val="FootnoteReference"/>
          <w:rFonts w:ascii="Arial" w:hAnsi="Arial" w:cs="Arial"/>
        </w:rPr>
        <w:footnoteRef/>
      </w:r>
      <w:r w:rsidRPr="00AE3C32">
        <w:rPr>
          <w:rFonts w:ascii="Arial" w:hAnsi="Arial" w:cs="Arial"/>
        </w:rPr>
        <w:t xml:space="preserve"> See First Minister’s Advisory Group on Human Rights Leadership, Recommendations for a new human rights framework to improve people’s lives, Report to the</w:t>
      </w:r>
    </w:p>
    <w:p w14:paraId="5CC7510C" w14:textId="7A783269" w:rsidR="00972272" w:rsidRPr="00AE3C32" w:rsidRDefault="00972272" w:rsidP="00972272">
      <w:pPr>
        <w:pStyle w:val="FootnoteText"/>
        <w:rPr>
          <w:rFonts w:ascii="Arial" w:hAnsi="Arial" w:cs="Arial"/>
        </w:rPr>
      </w:pPr>
      <w:r w:rsidRPr="00AE3C32">
        <w:rPr>
          <w:rFonts w:ascii="Arial" w:hAnsi="Arial" w:cs="Arial"/>
        </w:rPr>
        <w:t xml:space="preserve"> First Minister, ‘FMAG Report’ (December 2018)</w:t>
      </w:r>
      <w:r w:rsidR="002406B0">
        <w:rPr>
          <w:rFonts w:ascii="Arial" w:hAnsi="Arial" w:cs="Arial"/>
        </w:rPr>
        <w:t>. A</w:t>
      </w:r>
      <w:r w:rsidRPr="00AE3C32">
        <w:rPr>
          <w:rFonts w:ascii="Arial" w:hAnsi="Arial" w:cs="Arial"/>
        </w:rPr>
        <w:t>vailable at</w:t>
      </w:r>
    </w:p>
    <w:p w14:paraId="2834E1C4" w14:textId="3A71B4A5" w:rsidR="00972272" w:rsidRPr="00AE3C32" w:rsidRDefault="00972272" w:rsidP="00972272">
      <w:pPr>
        <w:pStyle w:val="FootnoteText"/>
        <w:rPr>
          <w:rFonts w:ascii="Arial" w:hAnsi="Arial" w:cs="Arial"/>
        </w:rPr>
      </w:pPr>
      <w:r w:rsidRPr="00AE3C32">
        <w:rPr>
          <w:rFonts w:ascii="Arial" w:hAnsi="Arial" w:cs="Arial"/>
        </w:rPr>
        <w:t xml:space="preserve"> </w:t>
      </w:r>
      <w:hyperlink r:id="rId10" w:history="1">
        <w:r w:rsidRPr="00AE3C32">
          <w:rPr>
            <w:rStyle w:val="Hyperlink"/>
            <w:rFonts w:ascii="Arial" w:hAnsi="Arial" w:cs="Arial"/>
          </w:rPr>
          <w:t>http://humanrightsleadership.scot/wp-content/uploads/2018/12/First-Ministers-Advisory-Group-post-10th-December-update.pdf</w:t>
        </w:r>
      </w:hyperlink>
      <w:r w:rsidRPr="00AE3C32">
        <w:rPr>
          <w:rFonts w:ascii="Arial" w:hAnsi="Arial" w:cs="Arial"/>
        </w:rPr>
        <w:t xml:space="preserve"> </w:t>
      </w:r>
    </w:p>
  </w:footnote>
  <w:footnote w:id="23">
    <w:p w14:paraId="325C3EEE" w14:textId="0BF8FFE3" w:rsidR="00FA75D5" w:rsidRPr="00AE3C32" w:rsidRDefault="00FA75D5">
      <w:pPr>
        <w:pStyle w:val="FootnoteText"/>
        <w:rPr>
          <w:rFonts w:ascii="Arial" w:hAnsi="Arial" w:cs="Arial"/>
        </w:rPr>
      </w:pPr>
      <w:r w:rsidRPr="00AE3C32">
        <w:rPr>
          <w:rStyle w:val="FootnoteReference"/>
          <w:rFonts w:ascii="Arial" w:hAnsi="Arial" w:cs="Arial"/>
        </w:rPr>
        <w:footnoteRef/>
      </w:r>
      <w:r w:rsidRPr="00AE3C32">
        <w:rPr>
          <w:rFonts w:ascii="Arial" w:hAnsi="Arial" w:cs="Arial"/>
        </w:rPr>
        <w:t xml:space="preserve"> JC</w:t>
      </w:r>
      <w:r w:rsidR="008A467F" w:rsidRPr="00AE3C32">
        <w:rPr>
          <w:rFonts w:ascii="Arial" w:hAnsi="Arial" w:cs="Arial"/>
        </w:rPr>
        <w:t>HR Report, 8 July 2021, para 254. Available at</w:t>
      </w:r>
      <w:r w:rsidR="00A67F57" w:rsidRPr="00AE3C32">
        <w:rPr>
          <w:rFonts w:ascii="Arial" w:hAnsi="Arial" w:cs="Arial"/>
        </w:rPr>
        <w:t xml:space="preserve">: </w:t>
      </w:r>
      <w:hyperlink r:id="rId11" w:anchor="footnote-029" w:history="1">
        <w:r w:rsidR="00031059" w:rsidRPr="00AE3C32">
          <w:rPr>
            <w:rStyle w:val="Hyperlink"/>
            <w:rFonts w:ascii="Arial" w:hAnsi="Arial" w:cs="Arial"/>
          </w:rPr>
          <w:t>https://publications.parliament.uk/pa/jt5802/jtselect/jtrights/89/8913.htm#footnote-029</w:t>
        </w:r>
      </w:hyperlink>
      <w:r w:rsidR="00031059" w:rsidRPr="00AE3C32">
        <w:rPr>
          <w:rFonts w:ascii="Arial" w:hAnsi="Arial" w:cs="Arial"/>
        </w:rPr>
        <w:t xml:space="preserve">. See also Devolution and Human Rights Report, JUSTICE, </w:t>
      </w:r>
      <w:hyperlink r:id="rId12" w:history="1">
        <w:r w:rsidR="00F12BE7" w:rsidRPr="00AE3C32">
          <w:rPr>
            <w:rStyle w:val="Hyperlink"/>
            <w:rFonts w:ascii="Arial" w:hAnsi="Arial" w:cs="Arial"/>
          </w:rPr>
          <w:t>https://justice.org.uk/devolution-human-rights-2/</w:t>
        </w:r>
      </w:hyperlink>
      <w:r w:rsidR="00F12BE7" w:rsidRPr="00AE3C32">
        <w:rPr>
          <w:rFonts w:ascii="Arial" w:hAnsi="Arial" w:cs="Arial"/>
        </w:rPr>
        <w:t xml:space="preserve"> B</w:t>
      </w:r>
    </w:p>
  </w:footnote>
  <w:footnote w:id="24">
    <w:p w14:paraId="335A6D55" w14:textId="00C82243" w:rsidR="00167C07" w:rsidRPr="00AE3C32" w:rsidRDefault="00167C07">
      <w:pPr>
        <w:pStyle w:val="FootnoteText"/>
        <w:rPr>
          <w:rFonts w:ascii="Arial" w:hAnsi="Arial" w:cs="Arial"/>
        </w:rPr>
      </w:pPr>
      <w:r w:rsidRPr="00AE3C32">
        <w:rPr>
          <w:rStyle w:val="FootnoteReference"/>
          <w:rFonts w:ascii="Arial" w:hAnsi="Arial" w:cs="Arial"/>
        </w:rPr>
        <w:footnoteRef/>
      </w:r>
      <w:r w:rsidRPr="00AE3C32">
        <w:rPr>
          <w:rFonts w:ascii="Arial" w:hAnsi="Arial" w:cs="Arial"/>
        </w:rPr>
        <w:t xml:space="preserve"> Human Rights and Devolution: The Independent Review of the Human Rights Act: Implications for Scotland. A briefing paper for the Civil Society Brexit Project, by Professor Nicole Busby. Available at: </w:t>
      </w:r>
      <w:hyperlink r:id="rId13" w:history="1">
        <w:r w:rsidR="002D6EF5" w:rsidRPr="00AE3C32">
          <w:rPr>
            <w:rStyle w:val="Hyperlink"/>
            <w:rFonts w:ascii="Arial" w:hAnsi="Arial" w:cs="Arial"/>
          </w:rPr>
          <w:t>https://hrcscotland.org/wp-content/uploads/2021/02/Final-IRHRA-Nicole-Busby-January-2021.pdf</w:t>
        </w:r>
      </w:hyperlink>
      <w:r w:rsidR="002D6EF5" w:rsidRPr="00AE3C32">
        <w:rPr>
          <w:rFonts w:ascii="Arial" w:hAnsi="Arial" w:cs="Arial"/>
        </w:rPr>
        <w:t xml:space="preserve"> </w:t>
      </w:r>
    </w:p>
  </w:footnote>
  <w:footnote w:id="25">
    <w:p w14:paraId="2019745E" w14:textId="7A94CE35" w:rsidR="0C788A5D" w:rsidRPr="00E16C7A" w:rsidRDefault="0C788A5D" w:rsidP="00AE3C32">
      <w:pPr>
        <w:rPr>
          <w:rFonts w:ascii="Arial" w:hAnsi="Arial" w:cs="Arial"/>
          <w:sz w:val="20"/>
          <w:szCs w:val="20"/>
        </w:rPr>
      </w:pPr>
      <w:r w:rsidRPr="00AE3C32">
        <w:rPr>
          <w:rStyle w:val="FootnoteReference"/>
          <w:rFonts w:ascii="Arial" w:hAnsi="Arial" w:cs="Arial"/>
          <w:sz w:val="20"/>
          <w:szCs w:val="20"/>
        </w:rPr>
        <w:footnoteRef/>
      </w:r>
      <w:r w:rsidRPr="00AE3C32">
        <w:rPr>
          <w:rFonts w:ascii="Arial" w:hAnsi="Arial" w:cs="Arial"/>
          <w:sz w:val="20"/>
          <w:szCs w:val="20"/>
        </w:rPr>
        <w:t xml:space="preserve">   </w:t>
      </w:r>
      <w:hyperlink r:id="rId14">
        <w:r w:rsidRPr="00AE3C32">
          <w:rPr>
            <w:rStyle w:val="Hyperlink"/>
            <w:rFonts w:ascii="Arial" w:eastAsia="Calibri" w:hAnsi="Arial" w:cs="Arial"/>
            <w:sz w:val="20"/>
            <w:szCs w:val="20"/>
          </w:rPr>
          <w:t>https://gov.wales/devolved-nations-criticise-unwelcome-and-unnecessary-uk-government-plans-drop-human-rights-act</w:t>
        </w:r>
      </w:hyperlink>
      <w:r w:rsidRPr="00AE3C32">
        <w:rPr>
          <w:rFonts w:ascii="Arial" w:eastAsia="Calibri" w:hAnsi="Arial" w:cs="Arial"/>
          <w:sz w:val="20"/>
          <w:szCs w:val="20"/>
        </w:rPr>
        <w:t xml:space="preserve"> </w:t>
      </w:r>
    </w:p>
  </w:footnote>
  <w:footnote w:id="26">
    <w:p w14:paraId="00112780" w14:textId="2692DF2F" w:rsidR="006B050E" w:rsidRPr="00E16C7A" w:rsidRDefault="006B050E">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w:t>
      </w:r>
      <w:r w:rsidR="000C5044" w:rsidRPr="00E16C7A">
        <w:rPr>
          <w:rFonts w:ascii="Arial" w:hAnsi="Arial" w:cs="Arial"/>
        </w:rPr>
        <w:t>Lord Carnwath, Lecture on Human Rights Act reform – is it time for a new British Bill of Rights?</w:t>
      </w:r>
      <w:r w:rsidR="00764DFD" w:rsidRPr="00E16C7A">
        <w:rPr>
          <w:rFonts w:ascii="Arial" w:hAnsi="Arial" w:cs="Arial"/>
        </w:rPr>
        <w:t xml:space="preserve"> Lecture transcript available at: </w:t>
      </w:r>
      <w:hyperlink r:id="rId15" w:history="1">
        <w:r w:rsidR="00764DFD" w:rsidRPr="00E16C7A">
          <w:rPr>
            <w:rStyle w:val="Hyperlink"/>
            <w:rFonts w:ascii="Arial" w:hAnsi="Arial" w:cs="Arial"/>
          </w:rPr>
          <w:t>https://constitutionallawmatters.org/2022/02/lord-carnwath-lecture-on-human-rights-act-reform-is-it-time-for-a-new-british-bill-of-rights/</w:t>
        </w:r>
      </w:hyperlink>
      <w:r w:rsidR="00764DFD" w:rsidRPr="00E16C7A">
        <w:rPr>
          <w:rFonts w:ascii="Arial" w:hAnsi="Arial" w:cs="Arial"/>
        </w:rPr>
        <w:t xml:space="preserve"> </w:t>
      </w:r>
    </w:p>
  </w:footnote>
  <w:footnote w:id="27">
    <w:p w14:paraId="21E5021C" w14:textId="6D3CB657" w:rsidR="00D8775F" w:rsidRPr="00E16C7A" w:rsidRDefault="00D8775F">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w:t>
      </w:r>
      <w:r w:rsidR="00FC6805" w:rsidRPr="00E16C7A">
        <w:rPr>
          <w:rFonts w:ascii="Arial" w:hAnsi="Arial" w:cs="Arial"/>
        </w:rPr>
        <w:t>Baroness Hale of Richmond</w:t>
      </w:r>
      <w:r w:rsidR="007722F2" w:rsidRPr="00E16C7A">
        <w:rPr>
          <w:rFonts w:ascii="Arial" w:hAnsi="Arial" w:cs="Arial"/>
        </w:rPr>
        <w:t>, oral evidence to the Joint Committee on Human Rights</w:t>
      </w:r>
      <w:r w:rsidR="00B20D52" w:rsidRPr="00E16C7A">
        <w:rPr>
          <w:rFonts w:ascii="Arial" w:hAnsi="Arial" w:cs="Arial"/>
        </w:rPr>
        <w:t xml:space="preserve"> on the Government’s Independent Human Rights Act Review. Available at: </w:t>
      </w:r>
      <w:hyperlink r:id="rId16" w:history="1">
        <w:r w:rsidR="00B20D52" w:rsidRPr="00E16C7A">
          <w:rPr>
            <w:rStyle w:val="Hyperlink"/>
            <w:rFonts w:ascii="Arial" w:hAnsi="Arial" w:cs="Arial"/>
          </w:rPr>
          <w:t>https://committees.parliament.uk/oralevidence/1661/html/</w:t>
        </w:r>
      </w:hyperlink>
      <w:r w:rsidR="00B20D52" w:rsidRPr="00E16C7A">
        <w:rPr>
          <w:rFonts w:ascii="Arial" w:hAnsi="Arial" w:cs="Arial"/>
        </w:rPr>
        <w:t xml:space="preserve"> </w:t>
      </w:r>
    </w:p>
  </w:footnote>
  <w:footnote w:id="28">
    <w:p w14:paraId="2BA6CEDE" w14:textId="57E6E3F1" w:rsidR="00193367" w:rsidRPr="00E16C7A" w:rsidRDefault="00193367">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w:t>
      </w:r>
      <w:r w:rsidR="0015618C" w:rsidRPr="00E16C7A">
        <w:rPr>
          <w:rFonts w:ascii="Arial" w:hAnsi="Arial" w:cs="Arial"/>
        </w:rPr>
        <w:t xml:space="preserve">Written evidence from Judge Robert Spano, President of the European Court of Human Rights and Judge Tim Eicke (HRA0011). Available at: </w:t>
      </w:r>
      <w:hyperlink r:id="rId17" w:history="1">
        <w:r w:rsidR="0015618C" w:rsidRPr="00E16C7A">
          <w:rPr>
            <w:rStyle w:val="Hyperlink"/>
            <w:rFonts w:ascii="Arial" w:hAnsi="Arial" w:cs="Arial"/>
          </w:rPr>
          <w:t>https://committees.parliament.uk/writtenevidence/22906/html/</w:t>
        </w:r>
      </w:hyperlink>
      <w:r w:rsidRPr="00E16C7A">
        <w:rPr>
          <w:rFonts w:ascii="Arial" w:hAnsi="Arial" w:cs="Arial"/>
        </w:rPr>
        <w:t xml:space="preserve"> </w:t>
      </w:r>
    </w:p>
  </w:footnote>
  <w:footnote w:id="29">
    <w:p w14:paraId="2E625406" w14:textId="77777777" w:rsidR="00026420" w:rsidRPr="009E600F" w:rsidRDefault="00026420" w:rsidP="00026420">
      <w:pPr>
        <w:pStyle w:val="FootnoteText"/>
        <w:rPr>
          <w:rFonts w:ascii="Arial" w:hAnsi="Arial" w:cs="Arial"/>
        </w:rPr>
      </w:pPr>
      <w:r w:rsidRPr="009E600F">
        <w:rPr>
          <w:rStyle w:val="FootnoteReference"/>
          <w:rFonts w:ascii="Arial" w:hAnsi="Arial" w:cs="Arial"/>
        </w:rPr>
        <w:footnoteRef/>
      </w:r>
      <w:r w:rsidRPr="009E600F">
        <w:rPr>
          <w:rFonts w:ascii="Arial" w:hAnsi="Arial" w:cs="Arial"/>
        </w:rPr>
        <w:t xml:space="preserve"> See among many other examples, Strand Lobben and others v. Norway, [GC] application no. 37283/13 </w:t>
      </w:r>
    </w:p>
  </w:footnote>
  <w:footnote w:id="30">
    <w:p w14:paraId="7B819067" w14:textId="5A6CD1BC" w:rsidR="0C788A5D" w:rsidRPr="00AE3C32" w:rsidRDefault="0C788A5D" w:rsidP="0C788A5D">
      <w:pPr>
        <w:pStyle w:val="FootnoteText"/>
        <w:rPr>
          <w:rFonts w:ascii="Arial" w:eastAsia="Calibri" w:hAnsi="Arial" w:cs="Arial"/>
          <w:lang w:val="en-US"/>
        </w:rPr>
      </w:pPr>
      <w:r w:rsidRPr="00AE3C32">
        <w:rPr>
          <w:rStyle w:val="FootnoteReference"/>
          <w:rFonts w:ascii="Arial" w:hAnsi="Arial" w:cs="Arial"/>
        </w:rPr>
        <w:footnoteRef/>
      </w:r>
      <w:r w:rsidRPr="00AE3C32">
        <w:rPr>
          <w:rFonts w:ascii="Arial" w:hAnsi="Arial" w:cs="Arial"/>
        </w:rPr>
        <w:t xml:space="preserve"> </w:t>
      </w:r>
      <w:r w:rsidRPr="00AE3C32">
        <w:rPr>
          <w:rFonts w:ascii="Arial" w:eastAsia="Calibri" w:hAnsi="Arial" w:cs="Arial"/>
          <w:lang w:val="en-US"/>
        </w:rPr>
        <w:t xml:space="preserve">R (on the application of Williamson and others) v Secretary of State for Education and Employment and others [2005] UKHL 15 [84] </w:t>
      </w:r>
    </w:p>
  </w:footnote>
  <w:footnote w:id="31">
    <w:p w14:paraId="61F83CC3" w14:textId="3326D688" w:rsidR="0C788A5D" w:rsidRPr="00AE3C32" w:rsidRDefault="0C788A5D" w:rsidP="0C788A5D">
      <w:pPr>
        <w:spacing w:line="257" w:lineRule="auto"/>
        <w:rPr>
          <w:rFonts w:ascii="Arial" w:hAnsi="Arial" w:cs="Arial"/>
          <w:sz w:val="20"/>
          <w:szCs w:val="20"/>
        </w:rPr>
      </w:pPr>
      <w:r w:rsidRPr="00AE3C32">
        <w:rPr>
          <w:rStyle w:val="FootnoteReference"/>
          <w:rFonts w:ascii="Arial" w:hAnsi="Arial" w:cs="Arial"/>
          <w:sz w:val="20"/>
          <w:szCs w:val="20"/>
        </w:rPr>
        <w:footnoteRef/>
      </w:r>
      <w:r w:rsidRPr="00AE3C32">
        <w:rPr>
          <w:rFonts w:ascii="Arial" w:hAnsi="Arial" w:cs="Arial"/>
          <w:sz w:val="20"/>
          <w:szCs w:val="20"/>
        </w:rPr>
        <w:t xml:space="preserve"> </w:t>
      </w:r>
      <w:r w:rsidRPr="00AE3C32">
        <w:rPr>
          <w:rFonts w:ascii="Arial" w:eastAsia="Calibri" w:hAnsi="Arial" w:cs="Arial"/>
          <w:sz w:val="20"/>
          <w:szCs w:val="20"/>
        </w:rPr>
        <w:t>ZH (Tanzania) v Secretary of State for the Home Department [2011] UKSC 4</w:t>
      </w:r>
    </w:p>
    <w:p w14:paraId="1F36F44A" w14:textId="1131C6EC" w:rsidR="0C788A5D" w:rsidRPr="00AE3C32" w:rsidRDefault="0C788A5D" w:rsidP="0C788A5D">
      <w:pPr>
        <w:pStyle w:val="FootnoteText"/>
        <w:rPr>
          <w:rFonts w:ascii="Arial" w:hAnsi="Arial" w:cs="Arial"/>
        </w:rPr>
      </w:pPr>
    </w:p>
  </w:footnote>
  <w:footnote w:id="32">
    <w:p w14:paraId="74B788AC" w14:textId="6067C0D0" w:rsidR="0C788A5D" w:rsidRPr="00AE3C32" w:rsidRDefault="0C788A5D" w:rsidP="0C788A5D">
      <w:pPr>
        <w:spacing w:line="257" w:lineRule="auto"/>
        <w:rPr>
          <w:rFonts w:ascii="Arial" w:eastAsia="Calibri" w:hAnsi="Arial" w:cs="Arial"/>
          <w:sz w:val="20"/>
          <w:szCs w:val="20"/>
          <w:lang w:val="en-US"/>
        </w:rPr>
      </w:pPr>
      <w:r w:rsidRPr="00AE3C32">
        <w:rPr>
          <w:rStyle w:val="FootnoteReference"/>
          <w:rFonts w:ascii="Arial" w:hAnsi="Arial" w:cs="Arial"/>
          <w:sz w:val="20"/>
          <w:szCs w:val="20"/>
        </w:rPr>
        <w:footnoteRef/>
      </w:r>
      <w:r w:rsidRPr="00AE3C32">
        <w:rPr>
          <w:rFonts w:ascii="Arial" w:hAnsi="Arial" w:cs="Arial"/>
          <w:sz w:val="20"/>
          <w:szCs w:val="20"/>
        </w:rPr>
        <w:t xml:space="preserve"> </w:t>
      </w:r>
      <w:r w:rsidRPr="00AE3C32">
        <w:rPr>
          <w:rFonts w:ascii="Arial" w:eastAsia="Calibri" w:hAnsi="Arial" w:cs="Arial"/>
          <w:sz w:val="20"/>
          <w:szCs w:val="20"/>
          <w:lang w:val="en-US"/>
        </w:rPr>
        <w:t>Murray v Express Newspapers PLC and another [2008] EWCA Civ 446</w:t>
      </w:r>
    </w:p>
    <w:p w14:paraId="45708A6F" w14:textId="3503EC97" w:rsidR="0C788A5D" w:rsidRPr="00AE3C32" w:rsidRDefault="0C788A5D" w:rsidP="0C788A5D">
      <w:pPr>
        <w:pStyle w:val="FootnoteText"/>
        <w:rPr>
          <w:rFonts w:ascii="Arial" w:hAnsi="Arial" w:cs="Arial"/>
        </w:rPr>
      </w:pPr>
    </w:p>
  </w:footnote>
  <w:footnote w:id="33">
    <w:p w14:paraId="3F51CD43" w14:textId="00565F85" w:rsidR="0C788A5D" w:rsidRPr="00AE3C32" w:rsidRDefault="0C788A5D" w:rsidP="0C788A5D">
      <w:pPr>
        <w:pStyle w:val="FootnoteText"/>
        <w:rPr>
          <w:rFonts w:ascii="Arial" w:eastAsia="Calibri" w:hAnsi="Arial" w:cs="Arial"/>
        </w:rPr>
      </w:pPr>
      <w:r w:rsidRPr="00AE3C32">
        <w:rPr>
          <w:rStyle w:val="FootnoteReference"/>
          <w:rFonts w:ascii="Arial" w:hAnsi="Arial" w:cs="Arial"/>
        </w:rPr>
        <w:footnoteRef/>
      </w:r>
      <w:r w:rsidRPr="00AE3C32">
        <w:rPr>
          <w:rFonts w:ascii="Arial" w:hAnsi="Arial" w:cs="Arial"/>
        </w:rPr>
        <w:t xml:space="preserve"> </w:t>
      </w:r>
      <w:r w:rsidRPr="00AE3C32">
        <w:rPr>
          <w:rFonts w:ascii="Arial" w:eastAsia="Calibri" w:hAnsi="Arial" w:cs="Arial"/>
        </w:rPr>
        <w:t>SC, CB and 8 children, R. (on the application of) v Secretary of State for Work and Pensions &amp; Ors [2021] UKSC 26</w:t>
      </w:r>
    </w:p>
  </w:footnote>
  <w:footnote w:id="34">
    <w:p w14:paraId="18032C53" w14:textId="29C3B80C" w:rsidR="0C788A5D" w:rsidRPr="00AE3C32" w:rsidRDefault="0C788A5D" w:rsidP="0C788A5D">
      <w:pPr>
        <w:pStyle w:val="FootnoteText"/>
        <w:rPr>
          <w:rFonts w:ascii="Arial" w:eastAsia="Calibri" w:hAnsi="Arial" w:cs="Arial"/>
          <w:lang w:val="en-US"/>
        </w:rPr>
      </w:pPr>
      <w:r w:rsidRPr="00AE3C32">
        <w:rPr>
          <w:rStyle w:val="FootnoteReference"/>
          <w:rFonts w:ascii="Arial" w:hAnsi="Arial" w:cs="Arial"/>
        </w:rPr>
        <w:footnoteRef/>
      </w:r>
      <w:r w:rsidRPr="00AE3C32">
        <w:rPr>
          <w:rFonts w:ascii="Arial" w:hAnsi="Arial" w:cs="Arial"/>
        </w:rPr>
        <w:t xml:space="preserve"> </w:t>
      </w:r>
      <w:r w:rsidRPr="00AE3C32">
        <w:rPr>
          <w:rFonts w:ascii="Arial" w:eastAsia="Calibri" w:hAnsi="Arial" w:cs="Arial"/>
          <w:lang w:val="en-US"/>
        </w:rPr>
        <w:t>Mathieson v Secretary of State for Work and Pensions [2015] UKSC 47</w:t>
      </w:r>
    </w:p>
  </w:footnote>
  <w:footnote w:id="35">
    <w:p w14:paraId="7486478A" w14:textId="0F6E3989" w:rsidR="0C788A5D" w:rsidRPr="00AE3C32" w:rsidRDefault="0C788A5D" w:rsidP="0C788A5D">
      <w:pPr>
        <w:pStyle w:val="FootnoteText"/>
        <w:rPr>
          <w:rFonts w:ascii="Arial" w:hAnsi="Arial" w:cs="Arial"/>
        </w:rPr>
      </w:pPr>
      <w:r w:rsidRPr="00AE3C32">
        <w:rPr>
          <w:rStyle w:val="FootnoteReference"/>
          <w:rFonts w:ascii="Arial" w:hAnsi="Arial" w:cs="Arial"/>
        </w:rPr>
        <w:footnoteRef/>
      </w:r>
      <w:r w:rsidRPr="00AE3C32">
        <w:rPr>
          <w:rFonts w:ascii="Arial" w:hAnsi="Arial" w:cs="Arial"/>
        </w:rPr>
        <w:t xml:space="preserve"> </w:t>
      </w:r>
      <w:hyperlink r:id="rId18">
        <w:r w:rsidRPr="00AE3C32">
          <w:rPr>
            <w:rStyle w:val="Hyperlink"/>
            <w:rFonts w:ascii="Arial" w:hAnsi="Arial" w:cs="Arial"/>
          </w:rPr>
          <w:t>Children’s Commissioners in devolved nations urge UK Government to stop violating children’s rights to an adequate standard of living - Children’s Commissioner for Wales (childcomwales.org.uk)</w:t>
        </w:r>
      </w:hyperlink>
      <w:r w:rsidRPr="00AE3C32">
        <w:rPr>
          <w:rFonts w:ascii="Arial" w:hAnsi="Arial" w:cs="Arial"/>
        </w:rPr>
        <w:t xml:space="preserve"> this is the first letter which was published as an open letter.  The second letter from September 2021 has not been published, nor has the first response from the DWP. There has been no response to the second letter.</w:t>
      </w:r>
    </w:p>
  </w:footnote>
  <w:footnote w:id="36">
    <w:p w14:paraId="14E3F3E0" w14:textId="7A6B9774" w:rsidR="00995066" w:rsidRPr="00E16C7A" w:rsidRDefault="00995066">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[2007] UKHL 27</w:t>
      </w:r>
    </w:p>
  </w:footnote>
  <w:footnote w:id="37">
    <w:p w14:paraId="46F6641A" w14:textId="6D34B559" w:rsidR="005808BA" w:rsidRPr="00E16C7A" w:rsidRDefault="005808BA">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[2019] CSIH 54</w:t>
      </w:r>
    </w:p>
  </w:footnote>
  <w:footnote w:id="38">
    <w:p w14:paraId="047C3BC8" w14:textId="5B9A1341" w:rsidR="007B4E8F" w:rsidRPr="00E16C7A" w:rsidRDefault="007B4E8F">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UNCRC General Comment No. 16</w:t>
      </w:r>
      <w:r w:rsidR="00B13845" w:rsidRPr="00E16C7A">
        <w:rPr>
          <w:rFonts w:ascii="Arial" w:hAnsi="Arial" w:cs="Arial"/>
        </w:rPr>
        <w:t xml:space="preserve"> (2013)</w:t>
      </w:r>
    </w:p>
  </w:footnote>
  <w:footnote w:id="39">
    <w:p w14:paraId="0D5865D9" w14:textId="5F3EF315" w:rsidR="00074E89" w:rsidRPr="00E16C7A" w:rsidRDefault="00074E89">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At paragraph 219</w:t>
      </w:r>
    </w:p>
  </w:footnote>
  <w:footnote w:id="40">
    <w:p w14:paraId="60F88B07" w14:textId="77777777" w:rsidR="0037330B" w:rsidRPr="00E16C7A" w:rsidRDefault="0037330B" w:rsidP="0037330B">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Section 27B(2), Court of Session Act 1988</w:t>
      </w:r>
    </w:p>
  </w:footnote>
  <w:footnote w:id="41">
    <w:p w14:paraId="39FA654F" w14:textId="77777777" w:rsidR="0037330B" w:rsidRPr="00E16C7A" w:rsidRDefault="0037330B" w:rsidP="0037330B">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Wightman v Advocate General 2018 SC 388, paragraph 9</w:t>
      </w:r>
    </w:p>
  </w:footnote>
  <w:footnote w:id="42">
    <w:p w14:paraId="560D5267" w14:textId="10377AE7" w:rsidR="0037330B" w:rsidRPr="00E16C7A" w:rsidRDefault="0037330B" w:rsidP="0037330B">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See for example Zubac v. Croatia [GC], no. 40160/12, 5 April 2018,</w:t>
      </w:r>
      <w:r w:rsidR="00166EFD">
        <w:rPr>
          <w:rFonts w:ascii="Arial" w:hAnsi="Arial" w:cs="Arial"/>
        </w:rPr>
        <w:t xml:space="preserve"> </w:t>
      </w:r>
      <w:r w:rsidRPr="00E16C7A">
        <w:rPr>
          <w:rFonts w:ascii="Arial" w:hAnsi="Arial" w:cs="Arial"/>
        </w:rPr>
        <w:t>para 97</w:t>
      </w:r>
      <w:r w:rsidR="00B64071" w:rsidRPr="00E16C7A">
        <w:rPr>
          <w:rFonts w:ascii="Arial" w:hAnsi="Arial" w:cs="Arial"/>
        </w:rPr>
        <w:t xml:space="preserve">. </w:t>
      </w:r>
    </w:p>
  </w:footnote>
  <w:footnote w:id="43">
    <w:p w14:paraId="0D8342EF" w14:textId="11CC29E4" w:rsidR="00B25E82" w:rsidRPr="00E16C7A" w:rsidRDefault="00B25E82">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[2011] UKSC 4</w:t>
      </w:r>
    </w:p>
  </w:footnote>
  <w:footnote w:id="44">
    <w:p w14:paraId="3C31EE3D" w14:textId="0F07B434" w:rsidR="00524C6A" w:rsidRPr="00E16C7A" w:rsidRDefault="00524C6A">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Unuane v. the United Kingdom, application no. </w:t>
      </w:r>
      <w:r w:rsidR="004E1FC4" w:rsidRPr="00E16C7A">
        <w:rPr>
          <w:rFonts w:ascii="Arial" w:hAnsi="Arial" w:cs="Arial"/>
        </w:rPr>
        <w:t>80343/17</w:t>
      </w:r>
    </w:p>
  </w:footnote>
  <w:footnote w:id="45">
    <w:p w14:paraId="3FD16309" w14:textId="4E4E9196" w:rsidR="008B09D1" w:rsidRPr="00E16C7A" w:rsidRDefault="008B09D1">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Page 3</w:t>
      </w:r>
      <w:r w:rsidR="00175308">
        <w:rPr>
          <w:rFonts w:ascii="Arial" w:hAnsi="Arial" w:cs="Arial"/>
        </w:rPr>
        <w:t xml:space="preserve"> of consultation document </w:t>
      </w:r>
    </w:p>
  </w:footnote>
  <w:footnote w:id="46">
    <w:p w14:paraId="66D24150" w14:textId="6759ED95" w:rsidR="00AF3157" w:rsidRPr="00E16C7A" w:rsidRDefault="00AF3157">
      <w:pPr>
        <w:pStyle w:val="FootnoteText"/>
        <w:rPr>
          <w:rFonts w:ascii="Arial" w:hAnsi="Arial" w:cs="Arial"/>
        </w:rPr>
      </w:pPr>
      <w:r w:rsidRPr="00E16C7A">
        <w:rPr>
          <w:rStyle w:val="FootnoteReference"/>
          <w:rFonts w:ascii="Arial" w:hAnsi="Arial" w:cs="Arial"/>
        </w:rPr>
        <w:footnoteRef/>
      </w:r>
      <w:r w:rsidRPr="00E16C7A">
        <w:rPr>
          <w:rFonts w:ascii="Arial" w:hAnsi="Arial" w:cs="Arial"/>
        </w:rPr>
        <w:t xml:space="preserve"> </w:t>
      </w:r>
      <w:r w:rsidR="00175308">
        <w:rPr>
          <w:rFonts w:ascii="Arial" w:hAnsi="Arial" w:cs="Arial"/>
        </w:rPr>
        <w:t>See p</w:t>
      </w:r>
      <w:r w:rsidRPr="00E16C7A">
        <w:rPr>
          <w:rFonts w:ascii="Arial" w:hAnsi="Arial" w:cs="Arial"/>
        </w:rPr>
        <w:t>age 5</w:t>
      </w:r>
      <w:r w:rsidR="00175308">
        <w:rPr>
          <w:rFonts w:ascii="Arial" w:hAnsi="Arial" w:cs="Arial"/>
        </w:rPr>
        <w:t xml:space="preserve"> of consultation document </w:t>
      </w:r>
      <w:r w:rsidR="00A55936">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E0E3BB2" w14:paraId="1BC42AA7" w14:textId="77777777" w:rsidTr="2E0E3BB2">
      <w:tc>
        <w:tcPr>
          <w:tcW w:w="3005" w:type="dxa"/>
        </w:tcPr>
        <w:p w14:paraId="64621DB1" w14:textId="1A469FCC" w:rsidR="2E0E3BB2" w:rsidRDefault="2E0E3BB2" w:rsidP="2E0E3BB2">
          <w:pPr>
            <w:pStyle w:val="Header"/>
            <w:ind w:left="-115"/>
          </w:pPr>
        </w:p>
      </w:tc>
      <w:tc>
        <w:tcPr>
          <w:tcW w:w="3005" w:type="dxa"/>
        </w:tcPr>
        <w:p w14:paraId="6CCAE99F" w14:textId="1813DD9C" w:rsidR="2E0E3BB2" w:rsidRDefault="2E0E3BB2" w:rsidP="2E0E3BB2">
          <w:pPr>
            <w:pStyle w:val="Header"/>
            <w:jc w:val="center"/>
          </w:pPr>
        </w:p>
      </w:tc>
      <w:tc>
        <w:tcPr>
          <w:tcW w:w="3005" w:type="dxa"/>
        </w:tcPr>
        <w:p w14:paraId="4B581E1B" w14:textId="74CF6DC2" w:rsidR="2E0E3BB2" w:rsidRDefault="2E0E3BB2" w:rsidP="2E0E3BB2">
          <w:pPr>
            <w:pStyle w:val="Header"/>
            <w:ind w:right="-115"/>
            <w:jc w:val="right"/>
          </w:pPr>
        </w:p>
      </w:tc>
    </w:tr>
  </w:tbl>
  <w:p w14:paraId="541658BF" w14:textId="0BEF4641" w:rsidR="00D658A3" w:rsidRDefault="00D65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5A7A"/>
    <w:multiLevelType w:val="hybridMultilevel"/>
    <w:tmpl w:val="A174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71E0D"/>
    <w:multiLevelType w:val="hybridMultilevel"/>
    <w:tmpl w:val="179640A8"/>
    <w:lvl w:ilvl="0" w:tplc="DE80793C">
      <w:start w:val="1"/>
      <w:numFmt w:val="decimal"/>
      <w:lvlText w:val="%1."/>
      <w:lvlJc w:val="left"/>
      <w:pPr>
        <w:ind w:left="720" w:hanging="360"/>
      </w:pPr>
    </w:lvl>
    <w:lvl w:ilvl="1" w:tplc="51FEEC6C">
      <w:start w:val="1"/>
      <w:numFmt w:val="lowerLetter"/>
      <w:lvlText w:val="%2."/>
      <w:lvlJc w:val="left"/>
      <w:pPr>
        <w:ind w:left="1440" w:hanging="360"/>
      </w:pPr>
    </w:lvl>
    <w:lvl w:ilvl="2" w:tplc="9BA0E094">
      <w:start w:val="1"/>
      <w:numFmt w:val="lowerRoman"/>
      <w:lvlText w:val="%3."/>
      <w:lvlJc w:val="right"/>
      <w:pPr>
        <w:ind w:left="2160" w:hanging="180"/>
      </w:pPr>
    </w:lvl>
    <w:lvl w:ilvl="3" w:tplc="1D824B1A">
      <w:start w:val="1"/>
      <w:numFmt w:val="decimal"/>
      <w:lvlText w:val="%4."/>
      <w:lvlJc w:val="left"/>
      <w:pPr>
        <w:ind w:left="2880" w:hanging="360"/>
      </w:pPr>
    </w:lvl>
    <w:lvl w:ilvl="4" w:tplc="AA587CE6">
      <w:start w:val="1"/>
      <w:numFmt w:val="lowerLetter"/>
      <w:lvlText w:val="%5."/>
      <w:lvlJc w:val="left"/>
      <w:pPr>
        <w:ind w:left="3600" w:hanging="360"/>
      </w:pPr>
    </w:lvl>
    <w:lvl w:ilvl="5" w:tplc="07664438">
      <w:start w:val="1"/>
      <w:numFmt w:val="lowerRoman"/>
      <w:lvlText w:val="%6."/>
      <w:lvlJc w:val="right"/>
      <w:pPr>
        <w:ind w:left="4320" w:hanging="180"/>
      </w:pPr>
    </w:lvl>
    <w:lvl w:ilvl="6" w:tplc="65A27A34">
      <w:start w:val="1"/>
      <w:numFmt w:val="decimal"/>
      <w:lvlText w:val="%7."/>
      <w:lvlJc w:val="left"/>
      <w:pPr>
        <w:ind w:left="5040" w:hanging="360"/>
      </w:pPr>
    </w:lvl>
    <w:lvl w:ilvl="7" w:tplc="B44C4754">
      <w:start w:val="1"/>
      <w:numFmt w:val="lowerLetter"/>
      <w:lvlText w:val="%8."/>
      <w:lvlJc w:val="left"/>
      <w:pPr>
        <w:ind w:left="5760" w:hanging="360"/>
      </w:pPr>
    </w:lvl>
    <w:lvl w:ilvl="8" w:tplc="C2945808">
      <w:start w:val="1"/>
      <w:numFmt w:val="lowerRoman"/>
      <w:lvlText w:val="%9."/>
      <w:lvlJc w:val="right"/>
      <w:pPr>
        <w:ind w:left="6480" w:hanging="180"/>
      </w:pPr>
    </w:lvl>
  </w:abstractNum>
  <w:abstractNum w:abstractNumId="2" w15:restartNumberingAfterBreak="0">
    <w:nsid w:val="4E7B084D"/>
    <w:multiLevelType w:val="hybridMultilevel"/>
    <w:tmpl w:val="4A923A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1F4037"/>
    <w:multiLevelType w:val="hybridMultilevel"/>
    <w:tmpl w:val="656E9CDE"/>
    <w:lvl w:ilvl="0" w:tplc="74DEC282">
      <w:start w:val="1"/>
      <w:numFmt w:val="decimal"/>
      <w:lvlText w:val="%1."/>
      <w:lvlJc w:val="left"/>
      <w:pPr>
        <w:ind w:left="720" w:hanging="360"/>
      </w:pPr>
    </w:lvl>
    <w:lvl w:ilvl="1" w:tplc="9B0A6244">
      <w:start w:val="1"/>
      <w:numFmt w:val="lowerLetter"/>
      <w:lvlText w:val="%2."/>
      <w:lvlJc w:val="left"/>
      <w:pPr>
        <w:ind w:left="1440" w:hanging="360"/>
      </w:pPr>
    </w:lvl>
    <w:lvl w:ilvl="2" w:tplc="573E592E">
      <w:start w:val="1"/>
      <w:numFmt w:val="lowerRoman"/>
      <w:lvlText w:val="%3."/>
      <w:lvlJc w:val="right"/>
      <w:pPr>
        <w:ind w:left="2160" w:hanging="180"/>
      </w:pPr>
    </w:lvl>
    <w:lvl w:ilvl="3" w:tplc="CB2CD53C">
      <w:start w:val="1"/>
      <w:numFmt w:val="decimal"/>
      <w:lvlText w:val="%4."/>
      <w:lvlJc w:val="left"/>
      <w:pPr>
        <w:ind w:left="2880" w:hanging="360"/>
      </w:pPr>
    </w:lvl>
    <w:lvl w:ilvl="4" w:tplc="FA96CFF6">
      <w:start w:val="1"/>
      <w:numFmt w:val="lowerLetter"/>
      <w:lvlText w:val="%5."/>
      <w:lvlJc w:val="left"/>
      <w:pPr>
        <w:ind w:left="3600" w:hanging="360"/>
      </w:pPr>
    </w:lvl>
    <w:lvl w:ilvl="5" w:tplc="A1F0F8D4">
      <w:start w:val="1"/>
      <w:numFmt w:val="lowerRoman"/>
      <w:lvlText w:val="%6."/>
      <w:lvlJc w:val="right"/>
      <w:pPr>
        <w:ind w:left="4320" w:hanging="180"/>
      </w:pPr>
    </w:lvl>
    <w:lvl w:ilvl="6" w:tplc="7DF80E7C">
      <w:start w:val="1"/>
      <w:numFmt w:val="decimal"/>
      <w:lvlText w:val="%7."/>
      <w:lvlJc w:val="left"/>
      <w:pPr>
        <w:ind w:left="5040" w:hanging="360"/>
      </w:pPr>
    </w:lvl>
    <w:lvl w:ilvl="7" w:tplc="239EE85E">
      <w:start w:val="1"/>
      <w:numFmt w:val="lowerLetter"/>
      <w:lvlText w:val="%8."/>
      <w:lvlJc w:val="left"/>
      <w:pPr>
        <w:ind w:left="5760" w:hanging="360"/>
      </w:pPr>
    </w:lvl>
    <w:lvl w:ilvl="8" w:tplc="04DE1B90">
      <w:start w:val="1"/>
      <w:numFmt w:val="lowerRoman"/>
      <w:lvlText w:val="%9."/>
      <w:lvlJc w:val="right"/>
      <w:pPr>
        <w:ind w:left="6480" w:hanging="180"/>
      </w:pPr>
    </w:lvl>
  </w:abstractNum>
  <w:abstractNum w:abstractNumId="4" w15:restartNumberingAfterBreak="0">
    <w:nsid w:val="715930AB"/>
    <w:multiLevelType w:val="hybridMultilevel"/>
    <w:tmpl w:val="8CB81156"/>
    <w:lvl w:ilvl="0" w:tplc="ADEAA028">
      <w:start w:val="2"/>
      <w:numFmt w:val="bullet"/>
      <w:lvlText w:val="-"/>
      <w:lvlJc w:val="left"/>
      <w:pPr>
        <w:ind w:left="720" w:hanging="360"/>
      </w:pPr>
      <w:rPr>
        <w:rFonts w:ascii="Book Antiqua" w:eastAsiaTheme="minorHAnsi"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72C2D4"/>
    <w:rsid w:val="00000244"/>
    <w:rsid w:val="000006ED"/>
    <w:rsid w:val="00000C4D"/>
    <w:rsid w:val="000064B3"/>
    <w:rsid w:val="0000669D"/>
    <w:rsid w:val="000105C1"/>
    <w:rsid w:val="00010CEC"/>
    <w:rsid w:val="000120B7"/>
    <w:rsid w:val="00012505"/>
    <w:rsid w:val="00012B5F"/>
    <w:rsid w:val="000133F9"/>
    <w:rsid w:val="00014DAC"/>
    <w:rsid w:val="00016F0A"/>
    <w:rsid w:val="00020728"/>
    <w:rsid w:val="00021253"/>
    <w:rsid w:val="00022B03"/>
    <w:rsid w:val="00023833"/>
    <w:rsid w:val="00024279"/>
    <w:rsid w:val="000253A9"/>
    <w:rsid w:val="00026420"/>
    <w:rsid w:val="00031059"/>
    <w:rsid w:val="000312AF"/>
    <w:rsid w:val="00031CB6"/>
    <w:rsid w:val="0003282A"/>
    <w:rsid w:val="00032DB9"/>
    <w:rsid w:val="00033414"/>
    <w:rsid w:val="000335C8"/>
    <w:rsid w:val="00033C20"/>
    <w:rsid w:val="00034BF7"/>
    <w:rsid w:val="00040A2D"/>
    <w:rsid w:val="00040D6A"/>
    <w:rsid w:val="00041D42"/>
    <w:rsid w:val="00044A60"/>
    <w:rsid w:val="0004629E"/>
    <w:rsid w:val="00047C81"/>
    <w:rsid w:val="000506CB"/>
    <w:rsid w:val="00050A84"/>
    <w:rsid w:val="00051394"/>
    <w:rsid w:val="00052D4E"/>
    <w:rsid w:val="00053B61"/>
    <w:rsid w:val="00054300"/>
    <w:rsid w:val="00056900"/>
    <w:rsid w:val="000579DB"/>
    <w:rsid w:val="00057AA4"/>
    <w:rsid w:val="000613BF"/>
    <w:rsid w:val="00061B77"/>
    <w:rsid w:val="00065A26"/>
    <w:rsid w:val="000702C6"/>
    <w:rsid w:val="000728AA"/>
    <w:rsid w:val="00073629"/>
    <w:rsid w:val="00074E89"/>
    <w:rsid w:val="000772CE"/>
    <w:rsid w:val="00077A30"/>
    <w:rsid w:val="00080C19"/>
    <w:rsid w:val="00081472"/>
    <w:rsid w:val="0008453A"/>
    <w:rsid w:val="00085241"/>
    <w:rsid w:val="00085739"/>
    <w:rsid w:val="00087928"/>
    <w:rsid w:val="00092A68"/>
    <w:rsid w:val="00094F68"/>
    <w:rsid w:val="00095730"/>
    <w:rsid w:val="00095F41"/>
    <w:rsid w:val="00096409"/>
    <w:rsid w:val="000969D0"/>
    <w:rsid w:val="0009777A"/>
    <w:rsid w:val="00097B0C"/>
    <w:rsid w:val="00097D6F"/>
    <w:rsid w:val="000A10CB"/>
    <w:rsid w:val="000A1CFD"/>
    <w:rsid w:val="000A2178"/>
    <w:rsid w:val="000A2D7E"/>
    <w:rsid w:val="000A52FE"/>
    <w:rsid w:val="000A7139"/>
    <w:rsid w:val="000B4C70"/>
    <w:rsid w:val="000B7E89"/>
    <w:rsid w:val="000C1D26"/>
    <w:rsid w:val="000C2DAF"/>
    <w:rsid w:val="000C5044"/>
    <w:rsid w:val="000C7C8C"/>
    <w:rsid w:val="000D1BC7"/>
    <w:rsid w:val="000D2DFD"/>
    <w:rsid w:val="000D41FD"/>
    <w:rsid w:val="000D588F"/>
    <w:rsid w:val="000D6126"/>
    <w:rsid w:val="000E40DD"/>
    <w:rsid w:val="000F09FE"/>
    <w:rsid w:val="000F2FBF"/>
    <w:rsid w:val="000F476A"/>
    <w:rsid w:val="000F4CE6"/>
    <w:rsid w:val="000F4DF5"/>
    <w:rsid w:val="000F591F"/>
    <w:rsid w:val="000F5954"/>
    <w:rsid w:val="00100017"/>
    <w:rsid w:val="00101F22"/>
    <w:rsid w:val="00102138"/>
    <w:rsid w:val="00103BEE"/>
    <w:rsid w:val="00106553"/>
    <w:rsid w:val="00107E76"/>
    <w:rsid w:val="001116F5"/>
    <w:rsid w:val="0011190B"/>
    <w:rsid w:val="00111C43"/>
    <w:rsid w:val="00112312"/>
    <w:rsid w:val="00112C2D"/>
    <w:rsid w:val="001131F0"/>
    <w:rsid w:val="0011358E"/>
    <w:rsid w:val="0012096F"/>
    <w:rsid w:val="00122FF5"/>
    <w:rsid w:val="00123D16"/>
    <w:rsid w:val="00123E82"/>
    <w:rsid w:val="00124903"/>
    <w:rsid w:val="00124BBF"/>
    <w:rsid w:val="0012592B"/>
    <w:rsid w:val="00125940"/>
    <w:rsid w:val="00125D17"/>
    <w:rsid w:val="001263CF"/>
    <w:rsid w:val="0012723B"/>
    <w:rsid w:val="00130703"/>
    <w:rsid w:val="00131C96"/>
    <w:rsid w:val="0013696A"/>
    <w:rsid w:val="00143F54"/>
    <w:rsid w:val="00147F8F"/>
    <w:rsid w:val="00150DFF"/>
    <w:rsid w:val="00151C68"/>
    <w:rsid w:val="00152DAC"/>
    <w:rsid w:val="0015450B"/>
    <w:rsid w:val="0015513F"/>
    <w:rsid w:val="001559F3"/>
    <w:rsid w:val="00155ACF"/>
    <w:rsid w:val="0015618C"/>
    <w:rsid w:val="00156365"/>
    <w:rsid w:val="001604B4"/>
    <w:rsid w:val="00161361"/>
    <w:rsid w:val="001615F3"/>
    <w:rsid w:val="00161973"/>
    <w:rsid w:val="00164F2C"/>
    <w:rsid w:val="00165116"/>
    <w:rsid w:val="0016514F"/>
    <w:rsid w:val="00165238"/>
    <w:rsid w:val="001653BF"/>
    <w:rsid w:val="001668A8"/>
    <w:rsid w:val="00166E39"/>
    <w:rsid w:val="00166EFD"/>
    <w:rsid w:val="001674C9"/>
    <w:rsid w:val="00167C07"/>
    <w:rsid w:val="0017014D"/>
    <w:rsid w:val="0017088B"/>
    <w:rsid w:val="0017393B"/>
    <w:rsid w:val="00173BEE"/>
    <w:rsid w:val="00174C32"/>
    <w:rsid w:val="00175308"/>
    <w:rsid w:val="00175596"/>
    <w:rsid w:val="0018202C"/>
    <w:rsid w:val="001828AB"/>
    <w:rsid w:val="00186556"/>
    <w:rsid w:val="0018752A"/>
    <w:rsid w:val="00190635"/>
    <w:rsid w:val="001907D3"/>
    <w:rsid w:val="0019284C"/>
    <w:rsid w:val="00193367"/>
    <w:rsid w:val="001941DC"/>
    <w:rsid w:val="001958EA"/>
    <w:rsid w:val="001A0A67"/>
    <w:rsid w:val="001A1751"/>
    <w:rsid w:val="001A23CF"/>
    <w:rsid w:val="001A38D6"/>
    <w:rsid w:val="001A596B"/>
    <w:rsid w:val="001A676B"/>
    <w:rsid w:val="001A74EA"/>
    <w:rsid w:val="001B194F"/>
    <w:rsid w:val="001B280F"/>
    <w:rsid w:val="001B56AC"/>
    <w:rsid w:val="001B5DDB"/>
    <w:rsid w:val="001B7DDC"/>
    <w:rsid w:val="001C014F"/>
    <w:rsid w:val="001C141B"/>
    <w:rsid w:val="001C443C"/>
    <w:rsid w:val="001C7A2E"/>
    <w:rsid w:val="001D113B"/>
    <w:rsid w:val="001D177D"/>
    <w:rsid w:val="001D2485"/>
    <w:rsid w:val="001D388A"/>
    <w:rsid w:val="001D5DDE"/>
    <w:rsid w:val="001D636F"/>
    <w:rsid w:val="001E2474"/>
    <w:rsid w:val="001E4676"/>
    <w:rsid w:val="001E51F1"/>
    <w:rsid w:val="001E5499"/>
    <w:rsid w:val="001E55E4"/>
    <w:rsid w:val="001F2F3C"/>
    <w:rsid w:val="001F5783"/>
    <w:rsid w:val="001F64B2"/>
    <w:rsid w:val="001F718A"/>
    <w:rsid w:val="002012F8"/>
    <w:rsid w:val="00203373"/>
    <w:rsid w:val="002047A1"/>
    <w:rsid w:val="00207123"/>
    <w:rsid w:val="002105DD"/>
    <w:rsid w:val="002119E4"/>
    <w:rsid w:val="002131ED"/>
    <w:rsid w:val="00213ABF"/>
    <w:rsid w:val="00213E51"/>
    <w:rsid w:val="00214126"/>
    <w:rsid w:val="0021447C"/>
    <w:rsid w:val="0021518E"/>
    <w:rsid w:val="002152CD"/>
    <w:rsid w:val="00216A21"/>
    <w:rsid w:val="002173AF"/>
    <w:rsid w:val="0021787C"/>
    <w:rsid w:val="00217D25"/>
    <w:rsid w:val="00221333"/>
    <w:rsid w:val="002218C6"/>
    <w:rsid w:val="00221DA9"/>
    <w:rsid w:val="00224FB0"/>
    <w:rsid w:val="0022546E"/>
    <w:rsid w:val="00227EF7"/>
    <w:rsid w:val="00230245"/>
    <w:rsid w:val="002302AC"/>
    <w:rsid w:val="00230477"/>
    <w:rsid w:val="00234250"/>
    <w:rsid w:val="002364E0"/>
    <w:rsid w:val="00236FFD"/>
    <w:rsid w:val="00240235"/>
    <w:rsid w:val="002406B0"/>
    <w:rsid w:val="00241A68"/>
    <w:rsid w:val="00242C8F"/>
    <w:rsid w:val="00245A1F"/>
    <w:rsid w:val="0024641B"/>
    <w:rsid w:val="00247485"/>
    <w:rsid w:val="00250DB5"/>
    <w:rsid w:val="0025157E"/>
    <w:rsid w:val="002520AC"/>
    <w:rsid w:val="0025298D"/>
    <w:rsid w:val="00252FFF"/>
    <w:rsid w:val="0025491D"/>
    <w:rsid w:val="002549A1"/>
    <w:rsid w:val="00256449"/>
    <w:rsid w:val="002617FF"/>
    <w:rsid w:val="00262D5A"/>
    <w:rsid w:val="0026356B"/>
    <w:rsid w:val="0026448E"/>
    <w:rsid w:val="00264CCA"/>
    <w:rsid w:val="00264ED0"/>
    <w:rsid w:val="00270566"/>
    <w:rsid w:val="00275677"/>
    <w:rsid w:val="0027597E"/>
    <w:rsid w:val="00276800"/>
    <w:rsid w:val="00276CEC"/>
    <w:rsid w:val="00280D35"/>
    <w:rsid w:val="00280E39"/>
    <w:rsid w:val="00284050"/>
    <w:rsid w:val="00284DD6"/>
    <w:rsid w:val="00287EB1"/>
    <w:rsid w:val="00290AF1"/>
    <w:rsid w:val="00292807"/>
    <w:rsid w:val="002936E6"/>
    <w:rsid w:val="002937DB"/>
    <w:rsid w:val="0029499B"/>
    <w:rsid w:val="002959DC"/>
    <w:rsid w:val="00295FF3"/>
    <w:rsid w:val="002961D6"/>
    <w:rsid w:val="002965CF"/>
    <w:rsid w:val="002976A7"/>
    <w:rsid w:val="002A15BB"/>
    <w:rsid w:val="002A2370"/>
    <w:rsid w:val="002A247B"/>
    <w:rsid w:val="002A30C3"/>
    <w:rsid w:val="002A35F6"/>
    <w:rsid w:val="002A4013"/>
    <w:rsid w:val="002A603D"/>
    <w:rsid w:val="002A6A33"/>
    <w:rsid w:val="002A6A64"/>
    <w:rsid w:val="002B07F7"/>
    <w:rsid w:val="002B0C47"/>
    <w:rsid w:val="002B1184"/>
    <w:rsid w:val="002B2A56"/>
    <w:rsid w:val="002B43DD"/>
    <w:rsid w:val="002B5D89"/>
    <w:rsid w:val="002B6B21"/>
    <w:rsid w:val="002B768C"/>
    <w:rsid w:val="002C19E0"/>
    <w:rsid w:val="002C2091"/>
    <w:rsid w:val="002C39B4"/>
    <w:rsid w:val="002C3A75"/>
    <w:rsid w:val="002C489B"/>
    <w:rsid w:val="002C4DB6"/>
    <w:rsid w:val="002C5879"/>
    <w:rsid w:val="002C6B3D"/>
    <w:rsid w:val="002C6BE1"/>
    <w:rsid w:val="002D17E0"/>
    <w:rsid w:val="002D3655"/>
    <w:rsid w:val="002D5CF5"/>
    <w:rsid w:val="002D62B5"/>
    <w:rsid w:val="002D6EF5"/>
    <w:rsid w:val="002E0D88"/>
    <w:rsid w:val="002E160B"/>
    <w:rsid w:val="002E33F3"/>
    <w:rsid w:val="002E46A2"/>
    <w:rsid w:val="002F0C16"/>
    <w:rsid w:val="002F0F80"/>
    <w:rsid w:val="002F11B2"/>
    <w:rsid w:val="002F30C8"/>
    <w:rsid w:val="002F51A0"/>
    <w:rsid w:val="002F543A"/>
    <w:rsid w:val="002F75FD"/>
    <w:rsid w:val="003019F8"/>
    <w:rsid w:val="00301F2F"/>
    <w:rsid w:val="00302362"/>
    <w:rsid w:val="00303D87"/>
    <w:rsid w:val="0030600E"/>
    <w:rsid w:val="00306604"/>
    <w:rsid w:val="00306E6F"/>
    <w:rsid w:val="003072C0"/>
    <w:rsid w:val="003100B7"/>
    <w:rsid w:val="00312198"/>
    <w:rsid w:val="00313331"/>
    <w:rsid w:val="0031381B"/>
    <w:rsid w:val="00314B46"/>
    <w:rsid w:val="00315056"/>
    <w:rsid w:val="003159A6"/>
    <w:rsid w:val="00316524"/>
    <w:rsid w:val="00317D76"/>
    <w:rsid w:val="003209A1"/>
    <w:rsid w:val="00321D10"/>
    <w:rsid w:val="00325E3B"/>
    <w:rsid w:val="00327145"/>
    <w:rsid w:val="0033006B"/>
    <w:rsid w:val="00334420"/>
    <w:rsid w:val="003345AC"/>
    <w:rsid w:val="003370B2"/>
    <w:rsid w:val="003370FD"/>
    <w:rsid w:val="003404E8"/>
    <w:rsid w:val="00340C95"/>
    <w:rsid w:val="00341A4A"/>
    <w:rsid w:val="00342F9B"/>
    <w:rsid w:val="00344969"/>
    <w:rsid w:val="00347275"/>
    <w:rsid w:val="003473DD"/>
    <w:rsid w:val="00351084"/>
    <w:rsid w:val="003514D6"/>
    <w:rsid w:val="003518EF"/>
    <w:rsid w:val="003533BB"/>
    <w:rsid w:val="00353871"/>
    <w:rsid w:val="00354939"/>
    <w:rsid w:val="003569A9"/>
    <w:rsid w:val="00357632"/>
    <w:rsid w:val="003618FC"/>
    <w:rsid w:val="00362848"/>
    <w:rsid w:val="00362961"/>
    <w:rsid w:val="00363A12"/>
    <w:rsid w:val="00366AF4"/>
    <w:rsid w:val="00366EBE"/>
    <w:rsid w:val="003670B6"/>
    <w:rsid w:val="0036756F"/>
    <w:rsid w:val="0036771B"/>
    <w:rsid w:val="00370AC0"/>
    <w:rsid w:val="00372632"/>
    <w:rsid w:val="0037330B"/>
    <w:rsid w:val="003733F5"/>
    <w:rsid w:val="00376BC1"/>
    <w:rsid w:val="00377AE9"/>
    <w:rsid w:val="0038335A"/>
    <w:rsid w:val="003833D6"/>
    <w:rsid w:val="003848A5"/>
    <w:rsid w:val="00384CD8"/>
    <w:rsid w:val="00385DD2"/>
    <w:rsid w:val="003905AC"/>
    <w:rsid w:val="00392BEA"/>
    <w:rsid w:val="003935D7"/>
    <w:rsid w:val="0039364F"/>
    <w:rsid w:val="0039428D"/>
    <w:rsid w:val="003A1DEB"/>
    <w:rsid w:val="003A2E7B"/>
    <w:rsid w:val="003A690D"/>
    <w:rsid w:val="003A713E"/>
    <w:rsid w:val="003A7A9D"/>
    <w:rsid w:val="003B075B"/>
    <w:rsid w:val="003B1136"/>
    <w:rsid w:val="003B1E51"/>
    <w:rsid w:val="003B3A0A"/>
    <w:rsid w:val="003B6212"/>
    <w:rsid w:val="003B6AF9"/>
    <w:rsid w:val="003B7A6E"/>
    <w:rsid w:val="003C250A"/>
    <w:rsid w:val="003C29DD"/>
    <w:rsid w:val="003C2E65"/>
    <w:rsid w:val="003C347C"/>
    <w:rsid w:val="003C3A68"/>
    <w:rsid w:val="003C3B92"/>
    <w:rsid w:val="003C4B59"/>
    <w:rsid w:val="003C54D3"/>
    <w:rsid w:val="003C6CDB"/>
    <w:rsid w:val="003C7734"/>
    <w:rsid w:val="003C7DB1"/>
    <w:rsid w:val="003D0594"/>
    <w:rsid w:val="003D1AD0"/>
    <w:rsid w:val="003D6C2F"/>
    <w:rsid w:val="003E07FE"/>
    <w:rsid w:val="003E1DA5"/>
    <w:rsid w:val="003E384B"/>
    <w:rsid w:val="003E3F4D"/>
    <w:rsid w:val="003E4EDC"/>
    <w:rsid w:val="003E52CF"/>
    <w:rsid w:val="003E536B"/>
    <w:rsid w:val="003E539F"/>
    <w:rsid w:val="003E6216"/>
    <w:rsid w:val="003E65C9"/>
    <w:rsid w:val="003E7056"/>
    <w:rsid w:val="003E79BB"/>
    <w:rsid w:val="003E7CE9"/>
    <w:rsid w:val="003F0AD6"/>
    <w:rsid w:val="003F2311"/>
    <w:rsid w:val="003F4C61"/>
    <w:rsid w:val="003F5720"/>
    <w:rsid w:val="003F5BF7"/>
    <w:rsid w:val="003F606E"/>
    <w:rsid w:val="003F7F5B"/>
    <w:rsid w:val="004013BA"/>
    <w:rsid w:val="00402B72"/>
    <w:rsid w:val="00402FF3"/>
    <w:rsid w:val="00403173"/>
    <w:rsid w:val="004031D9"/>
    <w:rsid w:val="0040361A"/>
    <w:rsid w:val="00403A06"/>
    <w:rsid w:val="00403F12"/>
    <w:rsid w:val="00406131"/>
    <w:rsid w:val="0040630B"/>
    <w:rsid w:val="00406605"/>
    <w:rsid w:val="0040797A"/>
    <w:rsid w:val="004101BB"/>
    <w:rsid w:val="004145B6"/>
    <w:rsid w:val="00415B24"/>
    <w:rsid w:val="00415E42"/>
    <w:rsid w:val="00420BFB"/>
    <w:rsid w:val="0042200B"/>
    <w:rsid w:val="0043203E"/>
    <w:rsid w:val="0043315F"/>
    <w:rsid w:val="00442289"/>
    <w:rsid w:val="00443F32"/>
    <w:rsid w:val="0044471B"/>
    <w:rsid w:val="0044581C"/>
    <w:rsid w:val="00446150"/>
    <w:rsid w:val="004464B0"/>
    <w:rsid w:val="00446914"/>
    <w:rsid w:val="00447C13"/>
    <w:rsid w:val="00450335"/>
    <w:rsid w:val="00450DEE"/>
    <w:rsid w:val="00450DF2"/>
    <w:rsid w:val="0045118B"/>
    <w:rsid w:val="00451742"/>
    <w:rsid w:val="00452480"/>
    <w:rsid w:val="0045297A"/>
    <w:rsid w:val="004545D9"/>
    <w:rsid w:val="004546BA"/>
    <w:rsid w:val="004547C1"/>
    <w:rsid w:val="00457C52"/>
    <w:rsid w:val="00464465"/>
    <w:rsid w:val="004650B9"/>
    <w:rsid w:val="004654DD"/>
    <w:rsid w:val="00466FAF"/>
    <w:rsid w:val="00470118"/>
    <w:rsid w:val="00470576"/>
    <w:rsid w:val="00471A41"/>
    <w:rsid w:val="00474863"/>
    <w:rsid w:val="00475622"/>
    <w:rsid w:val="004809FA"/>
    <w:rsid w:val="00481A8E"/>
    <w:rsid w:val="00481FCB"/>
    <w:rsid w:val="00481FFE"/>
    <w:rsid w:val="00485C1C"/>
    <w:rsid w:val="00485C3B"/>
    <w:rsid w:val="00486C51"/>
    <w:rsid w:val="0048779B"/>
    <w:rsid w:val="00490135"/>
    <w:rsid w:val="00495B82"/>
    <w:rsid w:val="00497E8B"/>
    <w:rsid w:val="004A1D46"/>
    <w:rsid w:val="004A29A0"/>
    <w:rsid w:val="004A3BE5"/>
    <w:rsid w:val="004A47B6"/>
    <w:rsid w:val="004A719B"/>
    <w:rsid w:val="004A770A"/>
    <w:rsid w:val="004B0027"/>
    <w:rsid w:val="004B01EA"/>
    <w:rsid w:val="004B0FF2"/>
    <w:rsid w:val="004B3EC7"/>
    <w:rsid w:val="004B4F19"/>
    <w:rsid w:val="004B50AD"/>
    <w:rsid w:val="004B512B"/>
    <w:rsid w:val="004C248C"/>
    <w:rsid w:val="004C410F"/>
    <w:rsid w:val="004C7EE2"/>
    <w:rsid w:val="004D3DC0"/>
    <w:rsid w:val="004D4707"/>
    <w:rsid w:val="004D4811"/>
    <w:rsid w:val="004D50D3"/>
    <w:rsid w:val="004D57C0"/>
    <w:rsid w:val="004D708B"/>
    <w:rsid w:val="004D7802"/>
    <w:rsid w:val="004E07D2"/>
    <w:rsid w:val="004E0DCA"/>
    <w:rsid w:val="004E1FC4"/>
    <w:rsid w:val="004E44BA"/>
    <w:rsid w:val="004E57BD"/>
    <w:rsid w:val="004E5DFC"/>
    <w:rsid w:val="004F2ADB"/>
    <w:rsid w:val="004F2B6B"/>
    <w:rsid w:val="004F33D9"/>
    <w:rsid w:val="004F393B"/>
    <w:rsid w:val="004F4749"/>
    <w:rsid w:val="004F5ACB"/>
    <w:rsid w:val="004F5D23"/>
    <w:rsid w:val="004F6305"/>
    <w:rsid w:val="004F78B5"/>
    <w:rsid w:val="005003ED"/>
    <w:rsid w:val="0050397E"/>
    <w:rsid w:val="00504504"/>
    <w:rsid w:val="00504A91"/>
    <w:rsid w:val="00505CCA"/>
    <w:rsid w:val="00506550"/>
    <w:rsid w:val="00506ACB"/>
    <w:rsid w:val="00507CFF"/>
    <w:rsid w:val="0051197F"/>
    <w:rsid w:val="0051229A"/>
    <w:rsid w:val="00513694"/>
    <w:rsid w:val="00513F54"/>
    <w:rsid w:val="005154AD"/>
    <w:rsid w:val="00517BE7"/>
    <w:rsid w:val="00517F39"/>
    <w:rsid w:val="00521739"/>
    <w:rsid w:val="00521E2A"/>
    <w:rsid w:val="00523274"/>
    <w:rsid w:val="00523276"/>
    <w:rsid w:val="00523803"/>
    <w:rsid w:val="00524C6A"/>
    <w:rsid w:val="00525E7F"/>
    <w:rsid w:val="0052715B"/>
    <w:rsid w:val="00527DAD"/>
    <w:rsid w:val="00532BDF"/>
    <w:rsid w:val="00534909"/>
    <w:rsid w:val="0053556B"/>
    <w:rsid w:val="00540A0D"/>
    <w:rsid w:val="00543308"/>
    <w:rsid w:val="00546186"/>
    <w:rsid w:val="005461D3"/>
    <w:rsid w:val="0054674C"/>
    <w:rsid w:val="0055034F"/>
    <w:rsid w:val="00554AB1"/>
    <w:rsid w:val="00560418"/>
    <w:rsid w:val="00562561"/>
    <w:rsid w:val="00563BFB"/>
    <w:rsid w:val="00563DB4"/>
    <w:rsid w:val="00563E6F"/>
    <w:rsid w:val="005644BF"/>
    <w:rsid w:val="005713AD"/>
    <w:rsid w:val="005736DF"/>
    <w:rsid w:val="00576500"/>
    <w:rsid w:val="00577318"/>
    <w:rsid w:val="005808BA"/>
    <w:rsid w:val="0058186D"/>
    <w:rsid w:val="005820E0"/>
    <w:rsid w:val="00582D66"/>
    <w:rsid w:val="00583658"/>
    <w:rsid w:val="00584F17"/>
    <w:rsid w:val="00585482"/>
    <w:rsid w:val="005868E8"/>
    <w:rsid w:val="0058736E"/>
    <w:rsid w:val="00591621"/>
    <w:rsid w:val="005920D3"/>
    <w:rsid w:val="00592309"/>
    <w:rsid w:val="00592348"/>
    <w:rsid w:val="00592AC3"/>
    <w:rsid w:val="00594349"/>
    <w:rsid w:val="00595BBC"/>
    <w:rsid w:val="005A1822"/>
    <w:rsid w:val="005A40C7"/>
    <w:rsid w:val="005A6A05"/>
    <w:rsid w:val="005A7301"/>
    <w:rsid w:val="005B1904"/>
    <w:rsid w:val="005B5642"/>
    <w:rsid w:val="005B6CA2"/>
    <w:rsid w:val="005B7647"/>
    <w:rsid w:val="005C02D8"/>
    <w:rsid w:val="005C0BBD"/>
    <w:rsid w:val="005C1283"/>
    <w:rsid w:val="005C38BB"/>
    <w:rsid w:val="005C3948"/>
    <w:rsid w:val="005C71FE"/>
    <w:rsid w:val="005C79BE"/>
    <w:rsid w:val="005D00DE"/>
    <w:rsid w:val="005D0F10"/>
    <w:rsid w:val="005D7360"/>
    <w:rsid w:val="005E0910"/>
    <w:rsid w:val="005E0DFC"/>
    <w:rsid w:val="005E21BE"/>
    <w:rsid w:val="005E31C1"/>
    <w:rsid w:val="005E49D0"/>
    <w:rsid w:val="005E515E"/>
    <w:rsid w:val="005F1791"/>
    <w:rsid w:val="005F19B0"/>
    <w:rsid w:val="005F2E17"/>
    <w:rsid w:val="005F2E62"/>
    <w:rsid w:val="005F4703"/>
    <w:rsid w:val="005F53FB"/>
    <w:rsid w:val="005F5BDA"/>
    <w:rsid w:val="005F6434"/>
    <w:rsid w:val="005F6F34"/>
    <w:rsid w:val="005F7108"/>
    <w:rsid w:val="00600187"/>
    <w:rsid w:val="00600CE3"/>
    <w:rsid w:val="00601967"/>
    <w:rsid w:val="00602253"/>
    <w:rsid w:val="0060230D"/>
    <w:rsid w:val="006054F5"/>
    <w:rsid w:val="00606036"/>
    <w:rsid w:val="0060702F"/>
    <w:rsid w:val="006131A6"/>
    <w:rsid w:val="00613EBE"/>
    <w:rsid w:val="00620B71"/>
    <w:rsid w:val="0062248E"/>
    <w:rsid w:val="00622AA9"/>
    <w:rsid w:val="0062484A"/>
    <w:rsid w:val="006260D0"/>
    <w:rsid w:val="00630DE1"/>
    <w:rsid w:val="00630F95"/>
    <w:rsid w:val="00632604"/>
    <w:rsid w:val="006326A8"/>
    <w:rsid w:val="00634126"/>
    <w:rsid w:val="006349CB"/>
    <w:rsid w:val="00634BBA"/>
    <w:rsid w:val="006420DB"/>
    <w:rsid w:val="0064316D"/>
    <w:rsid w:val="00644977"/>
    <w:rsid w:val="00647CC2"/>
    <w:rsid w:val="006501FE"/>
    <w:rsid w:val="00650AC2"/>
    <w:rsid w:val="00651C8B"/>
    <w:rsid w:val="00651F19"/>
    <w:rsid w:val="006546B4"/>
    <w:rsid w:val="00656757"/>
    <w:rsid w:val="00660267"/>
    <w:rsid w:val="00660ABC"/>
    <w:rsid w:val="00661272"/>
    <w:rsid w:val="00661489"/>
    <w:rsid w:val="0066223A"/>
    <w:rsid w:val="00663E39"/>
    <w:rsid w:val="006664D6"/>
    <w:rsid w:val="00666EA0"/>
    <w:rsid w:val="00667333"/>
    <w:rsid w:val="00670EAB"/>
    <w:rsid w:val="0067546C"/>
    <w:rsid w:val="0067582C"/>
    <w:rsid w:val="00676210"/>
    <w:rsid w:val="006803D6"/>
    <w:rsid w:val="00683232"/>
    <w:rsid w:val="00687441"/>
    <w:rsid w:val="006876F2"/>
    <w:rsid w:val="0069056D"/>
    <w:rsid w:val="00693505"/>
    <w:rsid w:val="00693F47"/>
    <w:rsid w:val="00695C04"/>
    <w:rsid w:val="0069725E"/>
    <w:rsid w:val="006A096F"/>
    <w:rsid w:val="006A0FB3"/>
    <w:rsid w:val="006A111C"/>
    <w:rsid w:val="006A3EB4"/>
    <w:rsid w:val="006A6126"/>
    <w:rsid w:val="006A7227"/>
    <w:rsid w:val="006B0237"/>
    <w:rsid w:val="006B050E"/>
    <w:rsid w:val="006B08E7"/>
    <w:rsid w:val="006B0E9E"/>
    <w:rsid w:val="006B1DBB"/>
    <w:rsid w:val="006B2273"/>
    <w:rsid w:val="006B3072"/>
    <w:rsid w:val="006B38E3"/>
    <w:rsid w:val="006B5B7D"/>
    <w:rsid w:val="006C0FD5"/>
    <w:rsid w:val="006C38B1"/>
    <w:rsid w:val="006C3F9D"/>
    <w:rsid w:val="006C555B"/>
    <w:rsid w:val="006C6EB5"/>
    <w:rsid w:val="006D108D"/>
    <w:rsid w:val="006D1D52"/>
    <w:rsid w:val="006D2F47"/>
    <w:rsid w:val="006D4C9B"/>
    <w:rsid w:val="006E1137"/>
    <w:rsid w:val="006E3A19"/>
    <w:rsid w:val="006E4084"/>
    <w:rsid w:val="006E5BFF"/>
    <w:rsid w:val="006F0193"/>
    <w:rsid w:val="006F0665"/>
    <w:rsid w:val="006F1EF2"/>
    <w:rsid w:val="006F2060"/>
    <w:rsid w:val="006F2389"/>
    <w:rsid w:val="006F4905"/>
    <w:rsid w:val="006F505D"/>
    <w:rsid w:val="006F548A"/>
    <w:rsid w:val="006F6237"/>
    <w:rsid w:val="006F777D"/>
    <w:rsid w:val="007056AF"/>
    <w:rsid w:val="007058D9"/>
    <w:rsid w:val="00706BE1"/>
    <w:rsid w:val="00707406"/>
    <w:rsid w:val="00710BFE"/>
    <w:rsid w:val="007111E1"/>
    <w:rsid w:val="00712122"/>
    <w:rsid w:val="00712170"/>
    <w:rsid w:val="00712CFE"/>
    <w:rsid w:val="00717B2B"/>
    <w:rsid w:val="00721B3C"/>
    <w:rsid w:val="00721CA0"/>
    <w:rsid w:val="007240DD"/>
    <w:rsid w:val="007241E6"/>
    <w:rsid w:val="007244C0"/>
    <w:rsid w:val="00724640"/>
    <w:rsid w:val="007313AA"/>
    <w:rsid w:val="00735460"/>
    <w:rsid w:val="00735DBD"/>
    <w:rsid w:val="00741B60"/>
    <w:rsid w:val="00742DD9"/>
    <w:rsid w:val="00743F28"/>
    <w:rsid w:val="007441BC"/>
    <w:rsid w:val="00744A3C"/>
    <w:rsid w:val="00752B41"/>
    <w:rsid w:val="00754E1D"/>
    <w:rsid w:val="00755D38"/>
    <w:rsid w:val="00760E13"/>
    <w:rsid w:val="0076223A"/>
    <w:rsid w:val="00764CEA"/>
    <w:rsid w:val="00764DFD"/>
    <w:rsid w:val="00765ACF"/>
    <w:rsid w:val="00765DB0"/>
    <w:rsid w:val="00767FBC"/>
    <w:rsid w:val="007705F1"/>
    <w:rsid w:val="00771FC0"/>
    <w:rsid w:val="007722F2"/>
    <w:rsid w:val="007732C8"/>
    <w:rsid w:val="00775672"/>
    <w:rsid w:val="0077599B"/>
    <w:rsid w:val="007802DB"/>
    <w:rsid w:val="00780DC1"/>
    <w:rsid w:val="00781316"/>
    <w:rsid w:val="00782573"/>
    <w:rsid w:val="00783760"/>
    <w:rsid w:val="00785ACC"/>
    <w:rsid w:val="00786BDA"/>
    <w:rsid w:val="00787C9D"/>
    <w:rsid w:val="0079179D"/>
    <w:rsid w:val="007A1013"/>
    <w:rsid w:val="007A16CA"/>
    <w:rsid w:val="007A2899"/>
    <w:rsid w:val="007A5FD6"/>
    <w:rsid w:val="007A7DD4"/>
    <w:rsid w:val="007B1CF8"/>
    <w:rsid w:val="007B24FB"/>
    <w:rsid w:val="007B3458"/>
    <w:rsid w:val="007B3C63"/>
    <w:rsid w:val="007B4E8F"/>
    <w:rsid w:val="007B739D"/>
    <w:rsid w:val="007C00CB"/>
    <w:rsid w:val="007C15D8"/>
    <w:rsid w:val="007C1C46"/>
    <w:rsid w:val="007C2383"/>
    <w:rsid w:val="007C24B2"/>
    <w:rsid w:val="007C7A71"/>
    <w:rsid w:val="007D019C"/>
    <w:rsid w:val="007D1B46"/>
    <w:rsid w:val="007D1CB7"/>
    <w:rsid w:val="007D273A"/>
    <w:rsid w:val="007D2C70"/>
    <w:rsid w:val="007D4BCC"/>
    <w:rsid w:val="007D7D69"/>
    <w:rsid w:val="007E10AC"/>
    <w:rsid w:val="007E1894"/>
    <w:rsid w:val="007E2217"/>
    <w:rsid w:val="007E2707"/>
    <w:rsid w:val="007E305C"/>
    <w:rsid w:val="007E30DA"/>
    <w:rsid w:val="007E316A"/>
    <w:rsid w:val="007E3205"/>
    <w:rsid w:val="007E38A6"/>
    <w:rsid w:val="007E7FF8"/>
    <w:rsid w:val="007F1D40"/>
    <w:rsid w:val="007F38D0"/>
    <w:rsid w:val="007F443C"/>
    <w:rsid w:val="007F4F28"/>
    <w:rsid w:val="007F5C47"/>
    <w:rsid w:val="007F746B"/>
    <w:rsid w:val="00800282"/>
    <w:rsid w:val="008003BC"/>
    <w:rsid w:val="008003DD"/>
    <w:rsid w:val="008005ED"/>
    <w:rsid w:val="008029EF"/>
    <w:rsid w:val="0080456A"/>
    <w:rsid w:val="00804D17"/>
    <w:rsid w:val="008050B5"/>
    <w:rsid w:val="00806610"/>
    <w:rsid w:val="0080752F"/>
    <w:rsid w:val="00814636"/>
    <w:rsid w:val="0081586A"/>
    <w:rsid w:val="008206BD"/>
    <w:rsid w:val="008211DE"/>
    <w:rsid w:val="00822A5F"/>
    <w:rsid w:val="00825733"/>
    <w:rsid w:val="00826545"/>
    <w:rsid w:val="00826BAD"/>
    <w:rsid w:val="008315AA"/>
    <w:rsid w:val="008315CE"/>
    <w:rsid w:val="00832A45"/>
    <w:rsid w:val="00832D68"/>
    <w:rsid w:val="00833A0A"/>
    <w:rsid w:val="00833E9F"/>
    <w:rsid w:val="00835C84"/>
    <w:rsid w:val="008366B5"/>
    <w:rsid w:val="00836A43"/>
    <w:rsid w:val="0084155B"/>
    <w:rsid w:val="00841754"/>
    <w:rsid w:val="00842720"/>
    <w:rsid w:val="00844C57"/>
    <w:rsid w:val="00845C79"/>
    <w:rsid w:val="00845F04"/>
    <w:rsid w:val="00846305"/>
    <w:rsid w:val="0085009E"/>
    <w:rsid w:val="00856DD6"/>
    <w:rsid w:val="008579AD"/>
    <w:rsid w:val="008602D3"/>
    <w:rsid w:val="00860653"/>
    <w:rsid w:val="0086199C"/>
    <w:rsid w:val="008619AE"/>
    <w:rsid w:val="008632AD"/>
    <w:rsid w:val="00866B58"/>
    <w:rsid w:val="00871083"/>
    <w:rsid w:val="008719AC"/>
    <w:rsid w:val="00872339"/>
    <w:rsid w:val="008735B6"/>
    <w:rsid w:val="008819F5"/>
    <w:rsid w:val="00882760"/>
    <w:rsid w:val="008833FD"/>
    <w:rsid w:val="00890A84"/>
    <w:rsid w:val="00890DCD"/>
    <w:rsid w:val="00891A8C"/>
    <w:rsid w:val="00892768"/>
    <w:rsid w:val="00895165"/>
    <w:rsid w:val="008A019E"/>
    <w:rsid w:val="008A1E7B"/>
    <w:rsid w:val="008A20DB"/>
    <w:rsid w:val="008A28F7"/>
    <w:rsid w:val="008A467F"/>
    <w:rsid w:val="008A5B3C"/>
    <w:rsid w:val="008A69CF"/>
    <w:rsid w:val="008A7E02"/>
    <w:rsid w:val="008B09D1"/>
    <w:rsid w:val="008B287B"/>
    <w:rsid w:val="008B2AE9"/>
    <w:rsid w:val="008B2D92"/>
    <w:rsid w:val="008B6374"/>
    <w:rsid w:val="008B7BFA"/>
    <w:rsid w:val="008B7DAA"/>
    <w:rsid w:val="008C1058"/>
    <w:rsid w:val="008C2AFD"/>
    <w:rsid w:val="008C390E"/>
    <w:rsid w:val="008C41D8"/>
    <w:rsid w:val="008C442D"/>
    <w:rsid w:val="008C5803"/>
    <w:rsid w:val="008D01F0"/>
    <w:rsid w:val="008D2BEA"/>
    <w:rsid w:val="008D488F"/>
    <w:rsid w:val="008D542B"/>
    <w:rsid w:val="008D72D5"/>
    <w:rsid w:val="008D7557"/>
    <w:rsid w:val="008D77C3"/>
    <w:rsid w:val="008E25E6"/>
    <w:rsid w:val="008E39AA"/>
    <w:rsid w:val="008E3E38"/>
    <w:rsid w:val="008E4DA5"/>
    <w:rsid w:val="008E4EE4"/>
    <w:rsid w:val="008E5C65"/>
    <w:rsid w:val="008E623D"/>
    <w:rsid w:val="008F0613"/>
    <w:rsid w:val="008F0673"/>
    <w:rsid w:val="008F0906"/>
    <w:rsid w:val="008F1797"/>
    <w:rsid w:val="008F614C"/>
    <w:rsid w:val="00900BA9"/>
    <w:rsid w:val="00902282"/>
    <w:rsid w:val="00902FE0"/>
    <w:rsid w:val="00903896"/>
    <w:rsid w:val="009053F1"/>
    <w:rsid w:val="009062CB"/>
    <w:rsid w:val="00906FB2"/>
    <w:rsid w:val="00907478"/>
    <w:rsid w:val="00907FCB"/>
    <w:rsid w:val="00912594"/>
    <w:rsid w:val="00912A9F"/>
    <w:rsid w:val="009148F1"/>
    <w:rsid w:val="00916419"/>
    <w:rsid w:val="00923419"/>
    <w:rsid w:val="00923927"/>
    <w:rsid w:val="00923C51"/>
    <w:rsid w:val="00926766"/>
    <w:rsid w:val="00926954"/>
    <w:rsid w:val="00931F4E"/>
    <w:rsid w:val="00932C52"/>
    <w:rsid w:val="00932ED4"/>
    <w:rsid w:val="0093619F"/>
    <w:rsid w:val="00936D0F"/>
    <w:rsid w:val="009373F9"/>
    <w:rsid w:val="0094011E"/>
    <w:rsid w:val="0094033D"/>
    <w:rsid w:val="00942560"/>
    <w:rsid w:val="00944BE6"/>
    <w:rsid w:val="00944D8E"/>
    <w:rsid w:val="00947E9A"/>
    <w:rsid w:val="00951D30"/>
    <w:rsid w:val="00956383"/>
    <w:rsid w:val="0095745B"/>
    <w:rsid w:val="00960276"/>
    <w:rsid w:val="00960C70"/>
    <w:rsid w:val="009627FA"/>
    <w:rsid w:val="00964058"/>
    <w:rsid w:val="0097089F"/>
    <w:rsid w:val="00971046"/>
    <w:rsid w:val="00971352"/>
    <w:rsid w:val="00971436"/>
    <w:rsid w:val="00972272"/>
    <w:rsid w:val="00972B1D"/>
    <w:rsid w:val="00972D19"/>
    <w:rsid w:val="009738A0"/>
    <w:rsid w:val="00973E14"/>
    <w:rsid w:val="009759CA"/>
    <w:rsid w:val="00976F33"/>
    <w:rsid w:val="00977197"/>
    <w:rsid w:val="00983B0A"/>
    <w:rsid w:val="00984E59"/>
    <w:rsid w:val="00985A86"/>
    <w:rsid w:val="00987B6F"/>
    <w:rsid w:val="009904C0"/>
    <w:rsid w:val="00990ACB"/>
    <w:rsid w:val="00990DDD"/>
    <w:rsid w:val="0099225B"/>
    <w:rsid w:val="00992304"/>
    <w:rsid w:val="009930B0"/>
    <w:rsid w:val="009930EE"/>
    <w:rsid w:val="009934D0"/>
    <w:rsid w:val="0099377D"/>
    <w:rsid w:val="00993F47"/>
    <w:rsid w:val="0099428E"/>
    <w:rsid w:val="00995066"/>
    <w:rsid w:val="00995B35"/>
    <w:rsid w:val="0099691F"/>
    <w:rsid w:val="00996A6E"/>
    <w:rsid w:val="009971C8"/>
    <w:rsid w:val="00997CBC"/>
    <w:rsid w:val="009A1A97"/>
    <w:rsid w:val="009A1FDD"/>
    <w:rsid w:val="009A20EF"/>
    <w:rsid w:val="009A219C"/>
    <w:rsid w:val="009A49F3"/>
    <w:rsid w:val="009A56E1"/>
    <w:rsid w:val="009A7638"/>
    <w:rsid w:val="009A7EDB"/>
    <w:rsid w:val="009B1703"/>
    <w:rsid w:val="009B3111"/>
    <w:rsid w:val="009B44F1"/>
    <w:rsid w:val="009C1BB3"/>
    <w:rsid w:val="009C2449"/>
    <w:rsid w:val="009C32F1"/>
    <w:rsid w:val="009C6E7C"/>
    <w:rsid w:val="009C6EB6"/>
    <w:rsid w:val="009C73C8"/>
    <w:rsid w:val="009D09D5"/>
    <w:rsid w:val="009D1D95"/>
    <w:rsid w:val="009D28D4"/>
    <w:rsid w:val="009D296F"/>
    <w:rsid w:val="009D32B0"/>
    <w:rsid w:val="009D3E42"/>
    <w:rsid w:val="009E280C"/>
    <w:rsid w:val="009E5C2D"/>
    <w:rsid w:val="009E600F"/>
    <w:rsid w:val="009E6099"/>
    <w:rsid w:val="009E6D61"/>
    <w:rsid w:val="009E7880"/>
    <w:rsid w:val="009F43EE"/>
    <w:rsid w:val="009F532F"/>
    <w:rsid w:val="009F5998"/>
    <w:rsid w:val="009F5FAC"/>
    <w:rsid w:val="009F7C7C"/>
    <w:rsid w:val="00A00A42"/>
    <w:rsid w:val="00A01971"/>
    <w:rsid w:val="00A0240E"/>
    <w:rsid w:val="00A058C8"/>
    <w:rsid w:val="00A05DE0"/>
    <w:rsid w:val="00A05EEE"/>
    <w:rsid w:val="00A062E3"/>
    <w:rsid w:val="00A07259"/>
    <w:rsid w:val="00A11137"/>
    <w:rsid w:val="00A13182"/>
    <w:rsid w:val="00A14BE5"/>
    <w:rsid w:val="00A14EA6"/>
    <w:rsid w:val="00A21F40"/>
    <w:rsid w:val="00A22BCB"/>
    <w:rsid w:val="00A24B6A"/>
    <w:rsid w:val="00A2519E"/>
    <w:rsid w:val="00A330EE"/>
    <w:rsid w:val="00A3712B"/>
    <w:rsid w:val="00A42F9E"/>
    <w:rsid w:val="00A43F3E"/>
    <w:rsid w:val="00A44F92"/>
    <w:rsid w:val="00A45ABE"/>
    <w:rsid w:val="00A45F80"/>
    <w:rsid w:val="00A45FBE"/>
    <w:rsid w:val="00A47825"/>
    <w:rsid w:val="00A521C4"/>
    <w:rsid w:val="00A52E63"/>
    <w:rsid w:val="00A52ED5"/>
    <w:rsid w:val="00A54540"/>
    <w:rsid w:val="00A55197"/>
    <w:rsid w:val="00A55936"/>
    <w:rsid w:val="00A55A98"/>
    <w:rsid w:val="00A6098E"/>
    <w:rsid w:val="00A61893"/>
    <w:rsid w:val="00A64B55"/>
    <w:rsid w:val="00A66935"/>
    <w:rsid w:val="00A67F57"/>
    <w:rsid w:val="00A70A3D"/>
    <w:rsid w:val="00A72C3D"/>
    <w:rsid w:val="00A808D1"/>
    <w:rsid w:val="00A8307A"/>
    <w:rsid w:val="00A840F4"/>
    <w:rsid w:val="00A84126"/>
    <w:rsid w:val="00A84481"/>
    <w:rsid w:val="00A84F45"/>
    <w:rsid w:val="00A8703A"/>
    <w:rsid w:val="00A879D2"/>
    <w:rsid w:val="00A94B51"/>
    <w:rsid w:val="00A960BF"/>
    <w:rsid w:val="00A96163"/>
    <w:rsid w:val="00AA02F9"/>
    <w:rsid w:val="00AA0B09"/>
    <w:rsid w:val="00AA16E6"/>
    <w:rsid w:val="00AA2BFD"/>
    <w:rsid w:val="00AA3287"/>
    <w:rsid w:val="00AA40B6"/>
    <w:rsid w:val="00AA4E5A"/>
    <w:rsid w:val="00AA5549"/>
    <w:rsid w:val="00AA7010"/>
    <w:rsid w:val="00AA7DA1"/>
    <w:rsid w:val="00AB20B1"/>
    <w:rsid w:val="00AB2830"/>
    <w:rsid w:val="00AB341F"/>
    <w:rsid w:val="00AB42E5"/>
    <w:rsid w:val="00AB4486"/>
    <w:rsid w:val="00AB461E"/>
    <w:rsid w:val="00AB5CA1"/>
    <w:rsid w:val="00AB5D4B"/>
    <w:rsid w:val="00AB5F99"/>
    <w:rsid w:val="00AB634B"/>
    <w:rsid w:val="00AB7314"/>
    <w:rsid w:val="00AC1C10"/>
    <w:rsid w:val="00AC4AC6"/>
    <w:rsid w:val="00AC4E80"/>
    <w:rsid w:val="00AC64BB"/>
    <w:rsid w:val="00AC69C2"/>
    <w:rsid w:val="00AC6F6E"/>
    <w:rsid w:val="00AC727A"/>
    <w:rsid w:val="00AC7712"/>
    <w:rsid w:val="00AC7FC1"/>
    <w:rsid w:val="00AD01DE"/>
    <w:rsid w:val="00AD0B80"/>
    <w:rsid w:val="00AD1216"/>
    <w:rsid w:val="00AD2056"/>
    <w:rsid w:val="00AD5045"/>
    <w:rsid w:val="00AE0A0E"/>
    <w:rsid w:val="00AE0FD1"/>
    <w:rsid w:val="00AE1967"/>
    <w:rsid w:val="00AE3C32"/>
    <w:rsid w:val="00AE5404"/>
    <w:rsid w:val="00AE6324"/>
    <w:rsid w:val="00AF0908"/>
    <w:rsid w:val="00AF1D18"/>
    <w:rsid w:val="00AF3157"/>
    <w:rsid w:val="00B006A6"/>
    <w:rsid w:val="00B01F75"/>
    <w:rsid w:val="00B02E0D"/>
    <w:rsid w:val="00B03C21"/>
    <w:rsid w:val="00B04588"/>
    <w:rsid w:val="00B04859"/>
    <w:rsid w:val="00B04FDE"/>
    <w:rsid w:val="00B05BF7"/>
    <w:rsid w:val="00B13845"/>
    <w:rsid w:val="00B15244"/>
    <w:rsid w:val="00B16C13"/>
    <w:rsid w:val="00B16E6D"/>
    <w:rsid w:val="00B17121"/>
    <w:rsid w:val="00B20D52"/>
    <w:rsid w:val="00B240D9"/>
    <w:rsid w:val="00B2471D"/>
    <w:rsid w:val="00B25099"/>
    <w:rsid w:val="00B25C88"/>
    <w:rsid w:val="00B25E82"/>
    <w:rsid w:val="00B264FD"/>
    <w:rsid w:val="00B27FB5"/>
    <w:rsid w:val="00B30A0B"/>
    <w:rsid w:val="00B310A0"/>
    <w:rsid w:val="00B315D4"/>
    <w:rsid w:val="00B33598"/>
    <w:rsid w:val="00B33BA5"/>
    <w:rsid w:val="00B33E2A"/>
    <w:rsid w:val="00B358B9"/>
    <w:rsid w:val="00B36E3A"/>
    <w:rsid w:val="00B409B3"/>
    <w:rsid w:val="00B423C1"/>
    <w:rsid w:val="00B43D5F"/>
    <w:rsid w:val="00B451E9"/>
    <w:rsid w:val="00B459EF"/>
    <w:rsid w:val="00B46262"/>
    <w:rsid w:val="00B47315"/>
    <w:rsid w:val="00B50446"/>
    <w:rsid w:val="00B51DBD"/>
    <w:rsid w:val="00B5382B"/>
    <w:rsid w:val="00B572AD"/>
    <w:rsid w:val="00B57A17"/>
    <w:rsid w:val="00B61D83"/>
    <w:rsid w:val="00B63DE4"/>
    <w:rsid w:val="00B64071"/>
    <w:rsid w:val="00B6449E"/>
    <w:rsid w:val="00B66A5C"/>
    <w:rsid w:val="00B676A4"/>
    <w:rsid w:val="00B70220"/>
    <w:rsid w:val="00B74235"/>
    <w:rsid w:val="00B74AB3"/>
    <w:rsid w:val="00B755E4"/>
    <w:rsid w:val="00B75A32"/>
    <w:rsid w:val="00B76EDE"/>
    <w:rsid w:val="00B77A81"/>
    <w:rsid w:val="00B804E6"/>
    <w:rsid w:val="00B80B58"/>
    <w:rsid w:val="00B8114D"/>
    <w:rsid w:val="00B83455"/>
    <w:rsid w:val="00B84ADB"/>
    <w:rsid w:val="00B84CA0"/>
    <w:rsid w:val="00B852A3"/>
    <w:rsid w:val="00B8649C"/>
    <w:rsid w:val="00B9044A"/>
    <w:rsid w:val="00B927EF"/>
    <w:rsid w:val="00B92D6D"/>
    <w:rsid w:val="00B95F52"/>
    <w:rsid w:val="00BA2509"/>
    <w:rsid w:val="00BA4E19"/>
    <w:rsid w:val="00BA6572"/>
    <w:rsid w:val="00BA6B4E"/>
    <w:rsid w:val="00BA7943"/>
    <w:rsid w:val="00BB00EB"/>
    <w:rsid w:val="00BB15CE"/>
    <w:rsid w:val="00BB2BF4"/>
    <w:rsid w:val="00BB2F4A"/>
    <w:rsid w:val="00BB3163"/>
    <w:rsid w:val="00BB468C"/>
    <w:rsid w:val="00BB7488"/>
    <w:rsid w:val="00BC0A18"/>
    <w:rsid w:val="00BC115D"/>
    <w:rsid w:val="00BC38F3"/>
    <w:rsid w:val="00BC3D4E"/>
    <w:rsid w:val="00BC537C"/>
    <w:rsid w:val="00BC66F9"/>
    <w:rsid w:val="00BC75C8"/>
    <w:rsid w:val="00BD0CDC"/>
    <w:rsid w:val="00BD2C15"/>
    <w:rsid w:val="00BD37AD"/>
    <w:rsid w:val="00BD5AB6"/>
    <w:rsid w:val="00BE05AD"/>
    <w:rsid w:val="00BE0913"/>
    <w:rsid w:val="00BE1D76"/>
    <w:rsid w:val="00BE355E"/>
    <w:rsid w:val="00BE446B"/>
    <w:rsid w:val="00BE4D44"/>
    <w:rsid w:val="00BE506D"/>
    <w:rsid w:val="00BE5117"/>
    <w:rsid w:val="00BE6354"/>
    <w:rsid w:val="00BF3841"/>
    <w:rsid w:val="00C042CB"/>
    <w:rsid w:val="00C04347"/>
    <w:rsid w:val="00C063B1"/>
    <w:rsid w:val="00C0646A"/>
    <w:rsid w:val="00C06BC5"/>
    <w:rsid w:val="00C07857"/>
    <w:rsid w:val="00C11318"/>
    <w:rsid w:val="00C1156B"/>
    <w:rsid w:val="00C1578A"/>
    <w:rsid w:val="00C15A04"/>
    <w:rsid w:val="00C160AE"/>
    <w:rsid w:val="00C1736B"/>
    <w:rsid w:val="00C204FB"/>
    <w:rsid w:val="00C2050D"/>
    <w:rsid w:val="00C2176D"/>
    <w:rsid w:val="00C2258D"/>
    <w:rsid w:val="00C22B5D"/>
    <w:rsid w:val="00C22B67"/>
    <w:rsid w:val="00C22BF5"/>
    <w:rsid w:val="00C23F35"/>
    <w:rsid w:val="00C3039C"/>
    <w:rsid w:val="00C30FF2"/>
    <w:rsid w:val="00C34BD6"/>
    <w:rsid w:val="00C34C22"/>
    <w:rsid w:val="00C41C5D"/>
    <w:rsid w:val="00C4297F"/>
    <w:rsid w:val="00C45E3F"/>
    <w:rsid w:val="00C50956"/>
    <w:rsid w:val="00C509F5"/>
    <w:rsid w:val="00C52E80"/>
    <w:rsid w:val="00C53493"/>
    <w:rsid w:val="00C53D1C"/>
    <w:rsid w:val="00C55039"/>
    <w:rsid w:val="00C5683C"/>
    <w:rsid w:val="00C56CD9"/>
    <w:rsid w:val="00C60621"/>
    <w:rsid w:val="00C63CB7"/>
    <w:rsid w:val="00C64400"/>
    <w:rsid w:val="00C64FF6"/>
    <w:rsid w:val="00C65E85"/>
    <w:rsid w:val="00C6734E"/>
    <w:rsid w:val="00C72E6D"/>
    <w:rsid w:val="00C765E4"/>
    <w:rsid w:val="00C77332"/>
    <w:rsid w:val="00C773E9"/>
    <w:rsid w:val="00C77652"/>
    <w:rsid w:val="00C80DE3"/>
    <w:rsid w:val="00C80EE1"/>
    <w:rsid w:val="00C817FB"/>
    <w:rsid w:val="00C81D5F"/>
    <w:rsid w:val="00C841AF"/>
    <w:rsid w:val="00C853E5"/>
    <w:rsid w:val="00C862C3"/>
    <w:rsid w:val="00C90089"/>
    <w:rsid w:val="00C90541"/>
    <w:rsid w:val="00C922B6"/>
    <w:rsid w:val="00C926E1"/>
    <w:rsid w:val="00C96BAD"/>
    <w:rsid w:val="00C96F78"/>
    <w:rsid w:val="00C97D29"/>
    <w:rsid w:val="00CA146B"/>
    <w:rsid w:val="00CA193B"/>
    <w:rsid w:val="00CA1E45"/>
    <w:rsid w:val="00CA2BDD"/>
    <w:rsid w:val="00CA2E03"/>
    <w:rsid w:val="00CA56AD"/>
    <w:rsid w:val="00CA5C54"/>
    <w:rsid w:val="00CA6579"/>
    <w:rsid w:val="00CA7D8B"/>
    <w:rsid w:val="00CB0646"/>
    <w:rsid w:val="00CB1A38"/>
    <w:rsid w:val="00CB304D"/>
    <w:rsid w:val="00CB4321"/>
    <w:rsid w:val="00CB610D"/>
    <w:rsid w:val="00CB62C7"/>
    <w:rsid w:val="00CB739B"/>
    <w:rsid w:val="00CC0E62"/>
    <w:rsid w:val="00CC1B2B"/>
    <w:rsid w:val="00CC1BB9"/>
    <w:rsid w:val="00CC1F48"/>
    <w:rsid w:val="00CC3C57"/>
    <w:rsid w:val="00CC45D5"/>
    <w:rsid w:val="00CC4D5F"/>
    <w:rsid w:val="00CC52F5"/>
    <w:rsid w:val="00CC63B5"/>
    <w:rsid w:val="00CC7986"/>
    <w:rsid w:val="00CD09A8"/>
    <w:rsid w:val="00CD0F20"/>
    <w:rsid w:val="00CD302A"/>
    <w:rsid w:val="00CD3BD1"/>
    <w:rsid w:val="00CE0402"/>
    <w:rsid w:val="00CE14F4"/>
    <w:rsid w:val="00CE3C21"/>
    <w:rsid w:val="00CE5668"/>
    <w:rsid w:val="00CF1265"/>
    <w:rsid w:val="00CF25DF"/>
    <w:rsid w:val="00CF61E7"/>
    <w:rsid w:val="00CF638B"/>
    <w:rsid w:val="00CF7017"/>
    <w:rsid w:val="00D01753"/>
    <w:rsid w:val="00D01C97"/>
    <w:rsid w:val="00D04826"/>
    <w:rsid w:val="00D054C5"/>
    <w:rsid w:val="00D058C9"/>
    <w:rsid w:val="00D05D52"/>
    <w:rsid w:val="00D065BC"/>
    <w:rsid w:val="00D0786B"/>
    <w:rsid w:val="00D07D6F"/>
    <w:rsid w:val="00D1238A"/>
    <w:rsid w:val="00D12473"/>
    <w:rsid w:val="00D1252B"/>
    <w:rsid w:val="00D12F63"/>
    <w:rsid w:val="00D13429"/>
    <w:rsid w:val="00D13457"/>
    <w:rsid w:val="00D13475"/>
    <w:rsid w:val="00D1364E"/>
    <w:rsid w:val="00D145D1"/>
    <w:rsid w:val="00D174A0"/>
    <w:rsid w:val="00D2074E"/>
    <w:rsid w:val="00D21FCF"/>
    <w:rsid w:val="00D24513"/>
    <w:rsid w:val="00D255A1"/>
    <w:rsid w:val="00D257DE"/>
    <w:rsid w:val="00D25B45"/>
    <w:rsid w:val="00D27905"/>
    <w:rsid w:val="00D27EE2"/>
    <w:rsid w:val="00D309FF"/>
    <w:rsid w:val="00D320C6"/>
    <w:rsid w:val="00D3219A"/>
    <w:rsid w:val="00D328FE"/>
    <w:rsid w:val="00D3501D"/>
    <w:rsid w:val="00D3535E"/>
    <w:rsid w:val="00D40264"/>
    <w:rsid w:val="00D407E5"/>
    <w:rsid w:val="00D40982"/>
    <w:rsid w:val="00D412F3"/>
    <w:rsid w:val="00D4207F"/>
    <w:rsid w:val="00D42ECA"/>
    <w:rsid w:val="00D442AF"/>
    <w:rsid w:val="00D471D9"/>
    <w:rsid w:val="00D4773D"/>
    <w:rsid w:val="00D504AA"/>
    <w:rsid w:val="00D50D48"/>
    <w:rsid w:val="00D51055"/>
    <w:rsid w:val="00D515DC"/>
    <w:rsid w:val="00D51795"/>
    <w:rsid w:val="00D51991"/>
    <w:rsid w:val="00D541CB"/>
    <w:rsid w:val="00D6065F"/>
    <w:rsid w:val="00D60DBA"/>
    <w:rsid w:val="00D61CC4"/>
    <w:rsid w:val="00D61EAA"/>
    <w:rsid w:val="00D61FE6"/>
    <w:rsid w:val="00D62478"/>
    <w:rsid w:val="00D658A3"/>
    <w:rsid w:val="00D667C6"/>
    <w:rsid w:val="00D70C80"/>
    <w:rsid w:val="00D72960"/>
    <w:rsid w:val="00D72B4D"/>
    <w:rsid w:val="00D72FBC"/>
    <w:rsid w:val="00D75260"/>
    <w:rsid w:val="00D761C6"/>
    <w:rsid w:val="00D81398"/>
    <w:rsid w:val="00D8695F"/>
    <w:rsid w:val="00D86B5D"/>
    <w:rsid w:val="00D86EB7"/>
    <w:rsid w:val="00D875BE"/>
    <w:rsid w:val="00D8775F"/>
    <w:rsid w:val="00D90937"/>
    <w:rsid w:val="00D912F7"/>
    <w:rsid w:val="00D91922"/>
    <w:rsid w:val="00D922FE"/>
    <w:rsid w:val="00D92ADB"/>
    <w:rsid w:val="00D93B1C"/>
    <w:rsid w:val="00D942E8"/>
    <w:rsid w:val="00DA1940"/>
    <w:rsid w:val="00DA3211"/>
    <w:rsid w:val="00DA3430"/>
    <w:rsid w:val="00DA416E"/>
    <w:rsid w:val="00DB3A3B"/>
    <w:rsid w:val="00DB4C56"/>
    <w:rsid w:val="00DB4D21"/>
    <w:rsid w:val="00DB58AE"/>
    <w:rsid w:val="00DB5C12"/>
    <w:rsid w:val="00DB6808"/>
    <w:rsid w:val="00DB7EA4"/>
    <w:rsid w:val="00DC00A5"/>
    <w:rsid w:val="00DC0959"/>
    <w:rsid w:val="00DC516E"/>
    <w:rsid w:val="00DC5FF4"/>
    <w:rsid w:val="00DC619A"/>
    <w:rsid w:val="00DC78CA"/>
    <w:rsid w:val="00DD0AFA"/>
    <w:rsid w:val="00DD1AB6"/>
    <w:rsid w:val="00DD1F97"/>
    <w:rsid w:val="00DD399B"/>
    <w:rsid w:val="00DD3FD8"/>
    <w:rsid w:val="00DD478C"/>
    <w:rsid w:val="00DD52E4"/>
    <w:rsid w:val="00DD5647"/>
    <w:rsid w:val="00DD56A4"/>
    <w:rsid w:val="00DD63E7"/>
    <w:rsid w:val="00DE0CF3"/>
    <w:rsid w:val="00DE1E86"/>
    <w:rsid w:val="00DE2479"/>
    <w:rsid w:val="00DE2CF2"/>
    <w:rsid w:val="00DE3E16"/>
    <w:rsid w:val="00DE3F66"/>
    <w:rsid w:val="00DE6210"/>
    <w:rsid w:val="00DE7E7C"/>
    <w:rsid w:val="00DF09AC"/>
    <w:rsid w:val="00DF12F8"/>
    <w:rsid w:val="00DF284B"/>
    <w:rsid w:val="00DF4150"/>
    <w:rsid w:val="00DF53C0"/>
    <w:rsid w:val="00DF6EC6"/>
    <w:rsid w:val="00E00A5A"/>
    <w:rsid w:val="00E0368D"/>
    <w:rsid w:val="00E0383F"/>
    <w:rsid w:val="00E05F6B"/>
    <w:rsid w:val="00E06F89"/>
    <w:rsid w:val="00E1125E"/>
    <w:rsid w:val="00E14849"/>
    <w:rsid w:val="00E16C7A"/>
    <w:rsid w:val="00E202DF"/>
    <w:rsid w:val="00E20E87"/>
    <w:rsid w:val="00E227CE"/>
    <w:rsid w:val="00E22DCB"/>
    <w:rsid w:val="00E2312B"/>
    <w:rsid w:val="00E25BE3"/>
    <w:rsid w:val="00E27415"/>
    <w:rsid w:val="00E3028C"/>
    <w:rsid w:val="00E314E4"/>
    <w:rsid w:val="00E32F0F"/>
    <w:rsid w:val="00E34984"/>
    <w:rsid w:val="00E35049"/>
    <w:rsid w:val="00E3687D"/>
    <w:rsid w:val="00E41EC4"/>
    <w:rsid w:val="00E4249E"/>
    <w:rsid w:val="00E42FBF"/>
    <w:rsid w:val="00E4427D"/>
    <w:rsid w:val="00E44401"/>
    <w:rsid w:val="00E45AED"/>
    <w:rsid w:val="00E45C4E"/>
    <w:rsid w:val="00E46F99"/>
    <w:rsid w:val="00E47112"/>
    <w:rsid w:val="00E51A6B"/>
    <w:rsid w:val="00E531D1"/>
    <w:rsid w:val="00E54AEC"/>
    <w:rsid w:val="00E62B60"/>
    <w:rsid w:val="00E63020"/>
    <w:rsid w:val="00E636EA"/>
    <w:rsid w:val="00E64F0C"/>
    <w:rsid w:val="00E6629F"/>
    <w:rsid w:val="00E6729C"/>
    <w:rsid w:val="00E706C3"/>
    <w:rsid w:val="00E71AEB"/>
    <w:rsid w:val="00E71E2E"/>
    <w:rsid w:val="00E721A7"/>
    <w:rsid w:val="00E73396"/>
    <w:rsid w:val="00E7478C"/>
    <w:rsid w:val="00E762B7"/>
    <w:rsid w:val="00E773FD"/>
    <w:rsid w:val="00E84C07"/>
    <w:rsid w:val="00E85E9D"/>
    <w:rsid w:val="00E8738A"/>
    <w:rsid w:val="00E90AED"/>
    <w:rsid w:val="00E957D6"/>
    <w:rsid w:val="00E9587B"/>
    <w:rsid w:val="00E958F7"/>
    <w:rsid w:val="00E961F5"/>
    <w:rsid w:val="00E97088"/>
    <w:rsid w:val="00E97AB3"/>
    <w:rsid w:val="00EA0F22"/>
    <w:rsid w:val="00EA23EE"/>
    <w:rsid w:val="00EA289F"/>
    <w:rsid w:val="00EA3F74"/>
    <w:rsid w:val="00EA6923"/>
    <w:rsid w:val="00EA6AC4"/>
    <w:rsid w:val="00EA6CCB"/>
    <w:rsid w:val="00EA758E"/>
    <w:rsid w:val="00EB05A9"/>
    <w:rsid w:val="00EB1A1B"/>
    <w:rsid w:val="00EB22EC"/>
    <w:rsid w:val="00EB2AD8"/>
    <w:rsid w:val="00EB39AF"/>
    <w:rsid w:val="00EB3C0F"/>
    <w:rsid w:val="00EB4798"/>
    <w:rsid w:val="00EB4870"/>
    <w:rsid w:val="00EB5652"/>
    <w:rsid w:val="00EB56D4"/>
    <w:rsid w:val="00EB5A9D"/>
    <w:rsid w:val="00EC0568"/>
    <w:rsid w:val="00EC148F"/>
    <w:rsid w:val="00EC5A90"/>
    <w:rsid w:val="00EC7C73"/>
    <w:rsid w:val="00ED1A6F"/>
    <w:rsid w:val="00ED5055"/>
    <w:rsid w:val="00ED55D7"/>
    <w:rsid w:val="00ED6BB2"/>
    <w:rsid w:val="00ED73CA"/>
    <w:rsid w:val="00ED7A30"/>
    <w:rsid w:val="00EE05FA"/>
    <w:rsid w:val="00EE6988"/>
    <w:rsid w:val="00EE6F95"/>
    <w:rsid w:val="00EF2DD8"/>
    <w:rsid w:val="00EF48FB"/>
    <w:rsid w:val="00EF5E55"/>
    <w:rsid w:val="00EF7B6B"/>
    <w:rsid w:val="00F02465"/>
    <w:rsid w:val="00F04CDC"/>
    <w:rsid w:val="00F04D7C"/>
    <w:rsid w:val="00F05EA0"/>
    <w:rsid w:val="00F10E48"/>
    <w:rsid w:val="00F11B40"/>
    <w:rsid w:val="00F12352"/>
    <w:rsid w:val="00F12412"/>
    <w:rsid w:val="00F12527"/>
    <w:rsid w:val="00F12BE7"/>
    <w:rsid w:val="00F130A1"/>
    <w:rsid w:val="00F14F13"/>
    <w:rsid w:val="00F150D7"/>
    <w:rsid w:val="00F15288"/>
    <w:rsid w:val="00F16AE6"/>
    <w:rsid w:val="00F17A06"/>
    <w:rsid w:val="00F208AA"/>
    <w:rsid w:val="00F20F9D"/>
    <w:rsid w:val="00F26FFF"/>
    <w:rsid w:val="00F27012"/>
    <w:rsid w:val="00F27E5A"/>
    <w:rsid w:val="00F30F24"/>
    <w:rsid w:val="00F44381"/>
    <w:rsid w:val="00F4564F"/>
    <w:rsid w:val="00F45A87"/>
    <w:rsid w:val="00F45A90"/>
    <w:rsid w:val="00F4697E"/>
    <w:rsid w:val="00F504DB"/>
    <w:rsid w:val="00F51B59"/>
    <w:rsid w:val="00F532C1"/>
    <w:rsid w:val="00F539DB"/>
    <w:rsid w:val="00F54EEF"/>
    <w:rsid w:val="00F622DC"/>
    <w:rsid w:val="00F63069"/>
    <w:rsid w:val="00F6346C"/>
    <w:rsid w:val="00F65F53"/>
    <w:rsid w:val="00F661C0"/>
    <w:rsid w:val="00F70903"/>
    <w:rsid w:val="00F70978"/>
    <w:rsid w:val="00F71223"/>
    <w:rsid w:val="00F73E5A"/>
    <w:rsid w:val="00F75AEA"/>
    <w:rsid w:val="00F7712D"/>
    <w:rsid w:val="00F771F6"/>
    <w:rsid w:val="00F77BC8"/>
    <w:rsid w:val="00F80122"/>
    <w:rsid w:val="00F82B7A"/>
    <w:rsid w:val="00F82CBA"/>
    <w:rsid w:val="00F84016"/>
    <w:rsid w:val="00F86168"/>
    <w:rsid w:val="00F87546"/>
    <w:rsid w:val="00F9278E"/>
    <w:rsid w:val="00F92950"/>
    <w:rsid w:val="00F92AB7"/>
    <w:rsid w:val="00F956AB"/>
    <w:rsid w:val="00FA3851"/>
    <w:rsid w:val="00FA54BF"/>
    <w:rsid w:val="00FA63B6"/>
    <w:rsid w:val="00FA6ED6"/>
    <w:rsid w:val="00FA75D5"/>
    <w:rsid w:val="00FB0943"/>
    <w:rsid w:val="00FB2186"/>
    <w:rsid w:val="00FB279B"/>
    <w:rsid w:val="00FB607A"/>
    <w:rsid w:val="00FC1755"/>
    <w:rsid w:val="00FC2C9E"/>
    <w:rsid w:val="00FC6805"/>
    <w:rsid w:val="00FD02F5"/>
    <w:rsid w:val="00FD0C68"/>
    <w:rsid w:val="00FD4F73"/>
    <w:rsid w:val="00FD534B"/>
    <w:rsid w:val="00FD6019"/>
    <w:rsid w:val="00FD74D5"/>
    <w:rsid w:val="00FD7C6A"/>
    <w:rsid w:val="00FE2E87"/>
    <w:rsid w:val="00FE39DB"/>
    <w:rsid w:val="00FF0207"/>
    <w:rsid w:val="00FF0B2F"/>
    <w:rsid w:val="00FF209B"/>
    <w:rsid w:val="00FF458F"/>
    <w:rsid w:val="00FF58D6"/>
    <w:rsid w:val="00FF59FA"/>
    <w:rsid w:val="00FF7A14"/>
    <w:rsid w:val="00FF7C8C"/>
    <w:rsid w:val="00FFAED9"/>
    <w:rsid w:val="0136F722"/>
    <w:rsid w:val="0151560A"/>
    <w:rsid w:val="01782C6E"/>
    <w:rsid w:val="0247DD86"/>
    <w:rsid w:val="02600968"/>
    <w:rsid w:val="02E0A85B"/>
    <w:rsid w:val="02FEFB5B"/>
    <w:rsid w:val="031E7CAC"/>
    <w:rsid w:val="0372C2D4"/>
    <w:rsid w:val="03AEC840"/>
    <w:rsid w:val="03D47CEC"/>
    <w:rsid w:val="03F1C134"/>
    <w:rsid w:val="045606FF"/>
    <w:rsid w:val="0485EBC8"/>
    <w:rsid w:val="04D5AA16"/>
    <w:rsid w:val="05597132"/>
    <w:rsid w:val="070A19F1"/>
    <w:rsid w:val="0748195A"/>
    <w:rsid w:val="08724919"/>
    <w:rsid w:val="08D5EABA"/>
    <w:rsid w:val="08F4F2BC"/>
    <w:rsid w:val="09037106"/>
    <w:rsid w:val="09B66336"/>
    <w:rsid w:val="0A0D89C2"/>
    <w:rsid w:val="0A6A5160"/>
    <w:rsid w:val="0BF48148"/>
    <w:rsid w:val="0C788A5D"/>
    <w:rsid w:val="0C947674"/>
    <w:rsid w:val="0CA154B2"/>
    <w:rsid w:val="0CA5785B"/>
    <w:rsid w:val="0D073BC5"/>
    <w:rsid w:val="0D176CCC"/>
    <w:rsid w:val="0E138190"/>
    <w:rsid w:val="0F331276"/>
    <w:rsid w:val="0F6040C7"/>
    <w:rsid w:val="0FFE03CA"/>
    <w:rsid w:val="10189609"/>
    <w:rsid w:val="109D6D29"/>
    <w:rsid w:val="10C09CFC"/>
    <w:rsid w:val="1171619A"/>
    <w:rsid w:val="117F1040"/>
    <w:rsid w:val="136009C2"/>
    <w:rsid w:val="1404BB2F"/>
    <w:rsid w:val="146A9E4C"/>
    <w:rsid w:val="1470F026"/>
    <w:rsid w:val="1566DE28"/>
    <w:rsid w:val="15C25CF9"/>
    <w:rsid w:val="15E7E97B"/>
    <w:rsid w:val="15F853EA"/>
    <w:rsid w:val="164AF97F"/>
    <w:rsid w:val="17108F61"/>
    <w:rsid w:val="173C5BF1"/>
    <w:rsid w:val="17E6FC12"/>
    <w:rsid w:val="18EA6645"/>
    <w:rsid w:val="18EDFAB0"/>
    <w:rsid w:val="18F2CB20"/>
    <w:rsid w:val="1917FFFE"/>
    <w:rsid w:val="19824BF3"/>
    <w:rsid w:val="19EDD078"/>
    <w:rsid w:val="1AE68598"/>
    <w:rsid w:val="1AF8C9A9"/>
    <w:rsid w:val="1C1A1A7C"/>
    <w:rsid w:val="1CAB903E"/>
    <w:rsid w:val="1D8F452C"/>
    <w:rsid w:val="1D96CE33"/>
    <w:rsid w:val="1DAEED7B"/>
    <w:rsid w:val="1E6DA02A"/>
    <w:rsid w:val="1EE6B739"/>
    <w:rsid w:val="1FC71928"/>
    <w:rsid w:val="1FD1F52E"/>
    <w:rsid w:val="1FD91F85"/>
    <w:rsid w:val="20D55F61"/>
    <w:rsid w:val="2146ED29"/>
    <w:rsid w:val="23B6AED8"/>
    <w:rsid w:val="2458E77E"/>
    <w:rsid w:val="24890D29"/>
    <w:rsid w:val="24CBBB4A"/>
    <w:rsid w:val="253CD060"/>
    <w:rsid w:val="257869B1"/>
    <w:rsid w:val="25DEEA7C"/>
    <w:rsid w:val="268B569E"/>
    <w:rsid w:val="26EC2207"/>
    <w:rsid w:val="26EE38F5"/>
    <w:rsid w:val="277B1F84"/>
    <w:rsid w:val="277BB223"/>
    <w:rsid w:val="27ADDF21"/>
    <w:rsid w:val="27F1E262"/>
    <w:rsid w:val="28206B0A"/>
    <w:rsid w:val="2827C01D"/>
    <w:rsid w:val="283FB98A"/>
    <w:rsid w:val="285F0866"/>
    <w:rsid w:val="2A7AAE10"/>
    <w:rsid w:val="2A920E03"/>
    <w:rsid w:val="2AA126E7"/>
    <w:rsid w:val="2B7E1843"/>
    <w:rsid w:val="2C740645"/>
    <w:rsid w:val="2CF6D54B"/>
    <w:rsid w:val="2D08793D"/>
    <w:rsid w:val="2DBC6767"/>
    <w:rsid w:val="2DC9AEC5"/>
    <w:rsid w:val="2E0E3BB2"/>
    <w:rsid w:val="2E1DB77E"/>
    <w:rsid w:val="2E624608"/>
    <w:rsid w:val="2F01A060"/>
    <w:rsid w:val="302A4DFF"/>
    <w:rsid w:val="3160DA31"/>
    <w:rsid w:val="31BE69AE"/>
    <w:rsid w:val="326920B2"/>
    <w:rsid w:val="3285287D"/>
    <w:rsid w:val="32ABD425"/>
    <w:rsid w:val="32E84616"/>
    <w:rsid w:val="33059C58"/>
    <w:rsid w:val="33169E3F"/>
    <w:rsid w:val="331C605A"/>
    <w:rsid w:val="336A3333"/>
    <w:rsid w:val="336AAC10"/>
    <w:rsid w:val="33991CDE"/>
    <w:rsid w:val="33D88AD2"/>
    <w:rsid w:val="33FA8721"/>
    <w:rsid w:val="35743210"/>
    <w:rsid w:val="35B5DFED"/>
    <w:rsid w:val="361954F4"/>
    <w:rsid w:val="3638D645"/>
    <w:rsid w:val="369A265C"/>
    <w:rsid w:val="36BF9BFA"/>
    <w:rsid w:val="36FE410F"/>
    <w:rsid w:val="370C1ACD"/>
    <w:rsid w:val="38277E6D"/>
    <w:rsid w:val="3852A9C1"/>
    <w:rsid w:val="386FD997"/>
    <w:rsid w:val="387B950F"/>
    <w:rsid w:val="38B8F42F"/>
    <w:rsid w:val="399CDD11"/>
    <w:rsid w:val="3A3C0179"/>
    <w:rsid w:val="3BBF7A41"/>
    <w:rsid w:val="3C8F21E1"/>
    <w:rsid w:val="3D2E13D4"/>
    <w:rsid w:val="3D4D9525"/>
    <w:rsid w:val="3D8DBFE2"/>
    <w:rsid w:val="3DFDC965"/>
    <w:rsid w:val="3E382124"/>
    <w:rsid w:val="3ED92D49"/>
    <w:rsid w:val="3EEAC95A"/>
    <w:rsid w:val="3F8BB1D4"/>
    <w:rsid w:val="3FB12772"/>
    <w:rsid w:val="3FFDA645"/>
    <w:rsid w:val="4031F8DA"/>
    <w:rsid w:val="4053ADD0"/>
    <w:rsid w:val="427DC42F"/>
    <w:rsid w:val="428BEB14"/>
    <w:rsid w:val="42E63E9D"/>
    <w:rsid w:val="42F73E82"/>
    <w:rsid w:val="436CF51F"/>
    <w:rsid w:val="4402160A"/>
    <w:rsid w:val="445B6A70"/>
    <w:rsid w:val="450B90BF"/>
    <w:rsid w:val="452ADF9B"/>
    <w:rsid w:val="455087AE"/>
    <w:rsid w:val="45A9DFA5"/>
    <w:rsid w:val="45F17039"/>
    <w:rsid w:val="4632873E"/>
    <w:rsid w:val="4641B84A"/>
    <w:rsid w:val="4682579F"/>
    <w:rsid w:val="46C6ADFA"/>
    <w:rsid w:val="49205C29"/>
    <w:rsid w:val="4979590C"/>
    <w:rsid w:val="498BFEC0"/>
    <w:rsid w:val="49C645A2"/>
    <w:rsid w:val="4B1FA8AB"/>
    <w:rsid w:val="4B9337CD"/>
    <w:rsid w:val="4BBF6405"/>
    <w:rsid w:val="4BF87AD7"/>
    <w:rsid w:val="4C2312DE"/>
    <w:rsid w:val="4DCCC417"/>
    <w:rsid w:val="4F61B73E"/>
    <w:rsid w:val="4FCE5601"/>
    <w:rsid w:val="4FEBC45F"/>
    <w:rsid w:val="50301084"/>
    <w:rsid w:val="516FCD85"/>
    <w:rsid w:val="519A52CE"/>
    <w:rsid w:val="51C59B43"/>
    <w:rsid w:val="529E1673"/>
    <w:rsid w:val="52F4430B"/>
    <w:rsid w:val="533BB28E"/>
    <w:rsid w:val="537C6406"/>
    <w:rsid w:val="5420111A"/>
    <w:rsid w:val="5421B3C2"/>
    <w:rsid w:val="549F81BC"/>
    <w:rsid w:val="54B7AD9E"/>
    <w:rsid w:val="5527E222"/>
    <w:rsid w:val="557620E2"/>
    <w:rsid w:val="55956FBE"/>
    <w:rsid w:val="55D73E84"/>
    <w:rsid w:val="55F752BC"/>
    <w:rsid w:val="567958A0"/>
    <w:rsid w:val="56D41D0B"/>
    <w:rsid w:val="570050CA"/>
    <w:rsid w:val="582E1BCC"/>
    <w:rsid w:val="5918F7DB"/>
    <w:rsid w:val="598AEC4C"/>
    <w:rsid w:val="5991E3D2"/>
    <w:rsid w:val="59F3CB61"/>
    <w:rsid w:val="5A11B201"/>
    <w:rsid w:val="5A45DEA2"/>
    <w:rsid w:val="5A56DB65"/>
    <w:rsid w:val="5AF80E22"/>
    <w:rsid w:val="5B9915C5"/>
    <w:rsid w:val="5BF99A8C"/>
    <w:rsid w:val="5C2A4545"/>
    <w:rsid w:val="5D8068DA"/>
    <w:rsid w:val="5D8F7FBC"/>
    <w:rsid w:val="5D956AED"/>
    <w:rsid w:val="5DE208BB"/>
    <w:rsid w:val="5DE4E11A"/>
    <w:rsid w:val="5E189C50"/>
    <w:rsid w:val="5E56D58B"/>
    <w:rsid w:val="5E9BFEEF"/>
    <w:rsid w:val="5EBF4FF9"/>
    <w:rsid w:val="5F3ABE6D"/>
    <w:rsid w:val="600E02F5"/>
    <w:rsid w:val="60C23B35"/>
    <w:rsid w:val="60CD0BAF"/>
    <w:rsid w:val="60D958F0"/>
    <w:rsid w:val="60E46FA6"/>
    <w:rsid w:val="61BCAA5A"/>
    <w:rsid w:val="62877623"/>
    <w:rsid w:val="62DDC7DB"/>
    <w:rsid w:val="634FBC4C"/>
    <w:rsid w:val="63974256"/>
    <w:rsid w:val="63C905D0"/>
    <w:rsid w:val="63F60352"/>
    <w:rsid w:val="645E7DC0"/>
    <w:rsid w:val="64B35E1F"/>
    <w:rsid w:val="655DE5C5"/>
    <w:rsid w:val="65CA9D6E"/>
    <w:rsid w:val="65D473DC"/>
    <w:rsid w:val="666E030E"/>
    <w:rsid w:val="67185201"/>
    <w:rsid w:val="684FF820"/>
    <w:rsid w:val="685D7451"/>
    <w:rsid w:val="68913108"/>
    <w:rsid w:val="68BAC9F3"/>
    <w:rsid w:val="68FC3412"/>
    <w:rsid w:val="69710BBC"/>
    <w:rsid w:val="69909579"/>
    <w:rsid w:val="6AA93FA6"/>
    <w:rsid w:val="6AD66F9D"/>
    <w:rsid w:val="6AE489C1"/>
    <w:rsid w:val="6B4934D2"/>
    <w:rsid w:val="6BF00C4F"/>
    <w:rsid w:val="6C727230"/>
    <w:rsid w:val="6D038149"/>
    <w:rsid w:val="6D448E01"/>
    <w:rsid w:val="6DC881F8"/>
    <w:rsid w:val="6ECD5C3E"/>
    <w:rsid w:val="6F1A92B8"/>
    <w:rsid w:val="6F378709"/>
    <w:rsid w:val="70261FF8"/>
    <w:rsid w:val="702BE213"/>
    <w:rsid w:val="70CC66FE"/>
    <w:rsid w:val="70E86299"/>
    <w:rsid w:val="711EDA1E"/>
    <w:rsid w:val="71F0D0ED"/>
    <w:rsid w:val="728F28B1"/>
    <w:rsid w:val="72A63DE2"/>
    <w:rsid w:val="72D47EAC"/>
    <w:rsid w:val="732CCFBF"/>
    <w:rsid w:val="734876FE"/>
    <w:rsid w:val="738A26C4"/>
    <w:rsid w:val="73BE7959"/>
    <w:rsid w:val="73CA92C2"/>
    <w:rsid w:val="73EE9F04"/>
    <w:rsid w:val="740312BB"/>
    <w:rsid w:val="74C1E38C"/>
    <w:rsid w:val="7533D7FD"/>
    <w:rsid w:val="75666323"/>
    <w:rsid w:val="7598503D"/>
    <w:rsid w:val="759F7A94"/>
    <w:rsid w:val="768AB889"/>
    <w:rsid w:val="76FA9D87"/>
    <w:rsid w:val="77599D56"/>
    <w:rsid w:val="7761BCB2"/>
    <w:rsid w:val="7776B94B"/>
    <w:rsid w:val="77A6B3A1"/>
    <w:rsid w:val="7863BEA9"/>
    <w:rsid w:val="7A06B8C2"/>
    <w:rsid w:val="7A96F919"/>
    <w:rsid w:val="7B64AC55"/>
    <w:rsid w:val="7B67A3AF"/>
    <w:rsid w:val="7B9E897E"/>
    <w:rsid w:val="7CE3F9D9"/>
    <w:rsid w:val="7D5CA56A"/>
    <w:rsid w:val="7D63C808"/>
    <w:rsid w:val="7D8E3FE6"/>
    <w:rsid w:val="7E41BA9B"/>
    <w:rsid w:val="7E714489"/>
    <w:rsid w:val="7F4C1E56"/>
    <w:rsid w:val="7FD45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C2D4"/>
  <w15:chartTrackingRefBased/>
  <w15:docId w15:val="{FB54A46D-603A-43B4-B1D1-F9118F9F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E0D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F60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629"/>
    <w:pPr>
      <w:ind w:left="720"/>
      <w:contextualSpacing/>
    </w:pPr>
  </w:style>
  <w:style w:type="paragraph" w:styleId="FootnoteText">
    <w:name w:val="footnote text"/>
    <w:basedOn w:val="Normal"/>
    <w:link w:val="FootnoteTextChar"/>
    <w:uiPriority w:val="99"/>
    <w:unhideWhenUsed/>
    <w:rsid w:val="00BB15CE"/>
    <w:pPr>
      <w:spacing w:after="0" w:line="240" w:lineRule="auto"/>
    </w:pPr>
    <w:rPr>
      <w:sz w:val="20"/>
      <w:szCs w:val="20"/>
    </w:rPr>
  </w:style>
  <w:style w:type="character" w:customStyle="1" w:styleId="FootnoteTextChar">
    <w:name w:val="Footnote Text Char"/>
    <w:basedOn w:val="DefaultParagraphFont"/>
    <w:link w:val="FootnoteText"/>
    <w:uiPriority w:val="99"/>
    <w:rsid w:val="00BB15CE"/>
    <w:rPr>
      <w:sz w:val="20"/>
      <w:szCs w:val="20"/>
    </w:rPr>
  </w:style>
  <w:style w:type="character" w:styleId="FootnoteReference">
    <w:name w:val="footnote reference"/>
    <w:basedOn w:val="DefaultParagraphFont"/>
    <w:uiPriority w:val="99"/>
    <w:semiHidden/>
    <w:unhideWhenUsed/>
    <w:rsid w:val="00BB15CE"/>
    <w:rPr>
      <w:vertAlign w:val="superscript"/>
    </w:rPr>
  </w:style>
  <w:style w:type="character" w:styleId="Hyperlink">
    <w:name w:val="Hyperlink"/>
    <w:basedOn w:val="DefaultParagraphFont"/>
    <w:uiPriority w:val="99"/>
    <w:unhideWhenUsed/>
    <w:rsid w:val="00A55A98"/>
    <w:rPr>
      <w:color w:val="0563C1" w:themeColor="hyperlink"/>
      <w:u w:val="single"/>
    </w:rPr>
  </w:style>
  <w:style w:type="character" w:styleId="UnresolvedMention">
    <w:name w:val="Unresolved Mention"/>
    <w:basedOn w:val="DefaultParagraphFont"/>
    <w:uiPriority w:val="99"/>
    <w:unhideWhenUsed/>
    <w:rsid w:val="00A55A98"/>
    <w:rPr>
      <w:color w:val="605E5C"/>
      <w:shd w:val="clear" w:color="auto" w:fill="E1DFDD"/>
    </w:rPr>
  </w:style>
  <w:style w:type="paragraph" w:styleId="Header">
    <w:name w:val="header"/>
    <w:basedOn w:val="Normal"/>
    <w:link w:val="HeaderChar"/>
    <w:uiPriority w:val="99"/>
    <w:unhideWhenUsed/>
    <w:rsid w:val="00095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F41"/>
  </w:style>
  <w:style w:type="paragraph" w:styleId="Footer">
    <w:name w:val="footer"/>
    <w:basedOn w:val="Normal"/>
    <w:link w:val="FooterChar"/>
    <w:uiPriority w:val="99"/>
    <w:unhideWhenUsed/>
    <w:rsid w:val="00095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F41"/>
  </w:style>
  <w:style w:type="paragraph" w:styleId="CommentText">
    <w:name w:val="annotation text"/>
    <w:basedOn w:val="Normal"/>
    <w:link w:val="CommentTextChar"/>
    <w:uiPriority w:val="99"/>
    <w:unhideWhenUsed/>
    <w:rsid w:val="00095F41"/>
    <w:pPr>
      <w:spacing w:line="240" w:lineRule="auto"/>
    </w:pPr>
    <w:rPr>
      <w:sz w:val="20"/>
      <w:szCs w:val="20"/>
    </w:rPr>
  </w:style>
  <w:style w:type="character" w:customStyle="1" w:styleId="CommentTextChar">
    <w:name w:val="Comment Text Char"/>
    <w:basedOn w:val="DefaultParagraphFont"/>
    <w:link w:val="CommentText"/>
    <w:uiPriority w:val="99"/>
    <w:rsid w:val="00095F41"/>
    <w:rPr>
      <w:sz w:val="20"/>
      <w:szCs w:val="20"/>
    </w:rPr>
  </w:style>
  <w:style w:type="character" w:styleId="CommentReference">
    <w:name w:val="annotation reference"/>
    <w:basedOn w:val="DefaultParagraphFont"/>
    <w:uiPriority w:val="99"/>
    <w:semiHidden/>
    <w:unhideWhenUsed/>
    <w:rsid w:val="00095F41"/>
    <w:rPr>
      <w:sz w:val="16"/>
      <w:szCs w:val="16"/>
    </w:rPr>
  </w:style>
  <w:style w:type="paragraph" w:styleId="Revision">
    <w:name w:val="Revision"/>
    <w:hidden/>
    <w:uiPriority w:val="99"/>
    <w:semiHidden/>
    <w:rsid w:val="00505CCA"/>
    <w:pPr>
      <w:spacing w:after="0" w:line="240" w:lineRule="auto"/>
    </w:pPr>
  </w:style>
  <w:style w:type="table" w:styleId="TableGrid">
    <w:name w:val="Table Grid"/>
    <w:basedOn w:val="TableNormal"/>
    <w:uiPriority w:val="59"/>
    <w:rsid w:val="00D658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FA3851"/>
    <w:rPr>
      <w:b/>
      <w:bCs/>
    </w:rPr>
  </w:style>
  <w:style w:type="character" w:customStyle="1" w:styleId="CommentSubjectChar">
    <w:name w:val="Comment Subject Char"/>
    <w:basedOn w:val="CommentTextChar"/>
    <w:link w:val="CommentSubject"/>
    <w:uiPriority w:val="99"/>
    <w:semiHidden/>
    <w:rsid w:val="00FA3851"/>
    <w:rPr>
      <w:b/>
      <w:bCs/>
      <w:sz w:val="20"/>
      <w:szCs w:val="20"/>
    </w:rPr>
  </w:style>
  <w:style w:type="character" w:styleId="FollowedHyperlink">
    <w:name w:val="FollowedHyperlink"/>
    <w:basedOn w:val="DefaultParagraphFont"/>
    <w:uiPriority w:val="99"/>
    <w:semiHidden/>
    <w:unhideWhenUsed/>
    <w:rsid w:val="00E636EA"/>
    <w:rPr>
      <w:color w:val="954F72" w:themeColor="followedHyperlink"/>
      <w:u w:val="single"/>
    </w:rPr>
  </w:style>
  <w:style w:type="character" w:styleId="Mention">
    <w:name w:val="Mention"/>
    <w:basedOn w:val="DefaultParagraphFont"/>
    <w:uiPriority w:val="99"/>
    <w:unhideWhenUsed/>
    <w:rsid w:val="00FC2C9E"/>
    <w:rPr>
      <w:color w:val="2B579A"/>
      <w:shd w:val="clear" w:color="auto" w:fill="E1DFDD"/>
    </w:rPr>
  </w:style>
  <w:style w:type="paragraph" w:customStyle="1" w:styleId="paragraph">
    <w:name w:val="paragraph"/>
    <w:basedOn w:val="Normal"/>
    <w:rsid w:val="00D255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255A1"/>
  </w:style>
  <w:style w:type="character" w:customStyle="1" w:styleId="Heading2Char">
    <w:name w:val="Heading 2 Char"/>
    <w:basedOn w:val="DefaultParagraphFont"/>
    <w:link w:val="Heading2"/>
    <w:uiPriority w:val="9"/>
    <w:semiHidden/>
    <w:rsid w:val="005E0D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F606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621">
      <w:bodyDiv w:val="1"/>
      <w:marLeft w:val="0"/>
      <w:marRight w:val="0"/>
      <w:marTop w:val="0"/>
      <w:marBottom w:val="0"/>
      <w:divBdr>
        <w:top w:val="none" w:sz="0" w:space="0" w:color="auto"/>
        <w:left w:val="none" w:sz="0" w:space="0" w:color="auto"/>
        <w:bottom w:val="none" w:sz="0" w:space="0" w:color="auto"/>
        <w:right w:val="none" w:sz="0" w:space="0" w:color="auto"/>
      </w:divBdr>
    </w:div>
    <w:div w:id="122116060">
      <w:bodyDiv w:val="1"/>
      <w:marLeft w:val="0"/>
      <w:marRight w:val="0"/>
      <w:marTop w:val="0"/>
      <w:marBottom w:val="0"/>
      <w:divBdr>
        <w:top w:val="none" w:sz="0" w:space="0" w:color="auto"/>
        <w:left w:val="none" w:sz="0" w:space="0" w:color="auto"/>
        <w:bottom w:val="none" w:sz="0" w:space="0" w:color="auto"/>
        <w:right w:val="none" w:sz="0" w:space="0" w:color="auto"/>
      </w:divBdr>
      <w:divsChild>
        <w:div w:id="254829201">
          <w:marLeft w:val="0"/>
          <w:marRight w:val="0"/>
          <w:marTop w:val="0"/>
          <w:marBottom w:val="0"/>
          <w:divBdr>
            <w:top w:val="none" w:sz="0" w:space="0" w:color="auto"/>
            <w:left w:val="none" w:sz="0" w:space="0" w:color="auto"/>
            <w:bottom w:val="none" w:sz="0" w:space="0" w:color="auto"/>
            <w:right w:val="none" w:sz="0" w:space="0" w:color="auto"/>
          </w:divBdr>
        </w:div>
        <w:div w:id="284192042">
          <w:marLeft w:val="0"/>
          <w:marRight w:val="0"/>
          <w:marTop w:val="0"/>
          <w:marBottom w:val="0"/>
          <w:divBdr>
            <w:top w:val="none" w:sz="0" w:space="0" w:color="auto"/>
            <w:left w:val="none" w:sz="0" w:space="0" w:color="auto"/>
            <w:bottom w:val="none" w:sz="0" w:space="0" w:color="auto"/>
            <w:right w:val="none" w:sz="0" w:space="0" w:color="auto"/>
          </w:divBdr>
        </w:div>
        <w:div w:id="1649744227">
          <w:marLeft w:val="0"/>
          <w:marRight w:val="0"/>
          <w:marTop w:val="0"/>
          <w:marBottom w:val="0"/>
          <w:divBdr>
            <w:top w:val="none" w:sz="0" w:space="0" w:color="auto"/>
            <w:left w:val="none" w:sz="0" w:space="0" w:color="auto"/>
            <w:bottom w:val="none" w:sz="0" w:space="0" w:color="auto"/>
            <w:right w:val="none" w:sz="0" w:space="0" w:color="auto"/>
          </w:divBdr>
        </w:div>
        <w:div w:id="1895967397">
          <w:marLeft w:val="0"/>
          <w:marRight w:val="0"/>
          <w:marTop w:val="0"/>
          <w:marBottom w:val="0"/>
          <w:divBdr>
            <w:top w:val="none" w:sz="0" w:space="0" w:color="auto"/>
            <w:left w:val="none" w:sz="0" w:space="0" w:color="auto"/>
            <w:bottom w:val="none" w:sz="0" w:space="0" w:color="auto"/>
            <w:right w:val="none" w:sz="0" w:space="0" w:color="auto"/>
          </w:divBdr>
        </w:div>
      </w:divsChild>
    </w:div>
    <w:div w:id="233439934">
      <w:bodyDiv w:val="1"/>
      <w:marLeft w:val="0"/>
      <w:marRight w:val="0"/>
      <w:marTop w:val="0"/>
      <w:marBottom w:val="0"/>
      <w:divBdr>
        <w:top w:val="none" w:sz="0" w:space="0" w:color="auto"/>
        <w:left w:val="none" w:sz="0" w:space="0" w:color="auto"/>
        <w:bottom w:val="none" w:sz="0" w:space="0" w:color="auto"/>
        <w:right w:val="none" w:sz="0" w:space="0" w:color="auto"/>
      </w:divBdr>
    </w:div>
    <w:div w:id="421999704">
      <w:bodyDiv w:val="1"/>
      <w:marLeft w:val="0"/>
      <w:marRight w:val="0"/>
      <w:marTop w:val="0"/>
      <w:marBottom w:val="0"/>
      <w:divBdr>
        <w:top w:val="none" w:sz="0" w:space="0" w:color="auto"/>
        <w:left w:val="none" w:sz="0" w:space="0" w:color="auto"/>
        <w:bottom w:val="none" w:sz="0" w:space="0" w:color="auto"/>
        <w:right w:val="none" w:sz="0" w:space="0" w:color="auto"/>
      </w:divBdr>
    </w:div>
    <w:div w:id="637339406">
      <w:bodyDiv w:val="1"/>
      <w:marLeft w:val="0"/>
      <w:marRight w:val="0"/>
      <w:marTop w:val="0"/>
      <w:marBottom w:val="0"/>
      <w:divBdr>
        <w:top w:val="none" w:sz="0" w:space="0" w:color="auto"/>
        <w:left w:val="none" w:sz="0" w:space="0" w:color="auto"/>
        <w:bottom w:val="none" w:sz="0" w:space="0" w:color="auto"/>
        <w:right w:val="none" w:sz="0" w:space="0" w:color="auto"/>
      </w:divBdr>
    </w:div>
    <w:div w:id="681904961">
      <w:bodyDiv w:val="1"/>
      <w:marLeft w:val="0"/>
      <w:marRight w:val="0"/>
      <w:marTop w:val="0"/>
      <w:marBottom w:val="0"/>
      <w:divBdr>
        <w:top w:val="none" w:sz="0" w:space="0" w:color="auto"/>
        <w:left w:val="none" w:sz="0" w:space="0" w:color="auto"/>
        <w:bottom w:val="none" w:sz="0" w:space="0" w:color="auto"/>
        <w:right w:val="none" w:sz="0" w:space="0" w:color="auto"/>
      </w:divBdr>
      <w:divsChild>
        <w:div w:id="786776351">
          <w:marLeft w:val="0"/>
          <w:marRight w:val="0"/>
          <w:marTop w:val="0"/>
          <w:marBottom w:val="0"/>
          <w:divBdr>
            <w:top w:val="none" w:sz="0" w:space="0" w:color="auto"/>
            <w:left w:val="none" w:sz="0" w:space="0" w:color="auto"/>
            <w:bottom w:val="none" w:sz="0" w:space="0" w:color="auto"/>
            <w:right w:val="none" w:sz="0" w:space="0" w:color="auto"/>
          </w:divBdr>
        </w:div>
        <w:div w:id="1431123255">
          <w:marLeft w:val="0"/>
          <w:marRight w:val="0"/>
          <w:marTop w:val="0"/>
          <w:marBottom w:val="0"/>
          <w:divBdr>
            <w:top w:val="none" w:sz="0" w:space="0" w:color="auto"/>
            <w:left w:val="none" w:sz="0" w:space="0" w:color="auto"/>
            <w:bottom w:val="none" w:sz="0" w:space="0" w:color="auto"/>
            <w:right w:val="none" w:sz="0" w:space="0" w:color="auto"/>
          </w:divBdr>
        </w:div>
      </w:divsChild>
    </w:div>
    <w:div w:id="726799821">
      <w:bodyDiv w:val="1"/>
      <w:marLeft w:val="0"/>
      <w:marRight w:val="0"/>
      <w:marTop w:val="0"/>
      <w:marBottom w:val="0"/>
      <w:divBdr>
        <w:top w:val="none" w:sz="0" w:space="0" w:color="auto"/>
        <w:left w:val="none" w:sz="0" w:space="0" w:color="auto"/>
        <w:bottom w:val="none" w:sz="0" w:space="0" w:color="auto"/>
        <w:right w:val="none" w:sz="0" w:space="0" w:color="auto"/>
      </w:divBdr>
    </w:div>
    <w:div w:id="734397284">
      <w:bodyDiv w:val="1"/>
      <w:marLeft w:val="0"/>
      <w:marRight w:val="0"/>
      <w:marTop w:val="0"/>
      <w:marBottom w:val="0"/>
      <w:divBdr>
        <w:top w:val="none" w:sz="0" w:space="0" w:color="auto"/>
        <w:left w:val="none" w:sz="0" w:space="0" w:color="auto"/>
        <w:bottom w:val="none" w:sz="0" w:space="0" w:color="auto"/>
        <w:right w:val="none" w:sz="0" w:space="0" w:color="auto"/>
      </w:divBdr>
    </w:div>
    <w:div w:id="767239263">
      <w:bodyDiv w:val="1"/>
      <w:marLeft w:val="0"/>
      <w:marRight w:val="0"/>
      <w:marTop w:val="0"/>
      <w:marBottom w:val="0"/>
      <w:divBdr>
        <w:top w:val="none" w:sz="0" w:space="0" w:color="auto"/>
        <w:left w:val="none" w:sz="0" w:space="0" w:color="auto"/>
        <w:bottom w:val="none" w:sz="0" w:space="0" w:color="auto"/>
        <w:right w:val="none" w:sz="0" w:space="0" w:color="auto"/>
      </w:divBdr>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37379141">
      <w:bodyDiv w:val="1"/>
      <w:marLeft w:val="0"/>
      <w:marRight w:val="0"/>
      <w:marTop w:val="0"/>
      <w:marBottom w:val="0"/>
      <w:divBdr>
        <w:top w:val="none" w:sz="0" w:space="0" w:color="auto"/>
        <w:left w:val="none" w:sz="0" w:space="0" w:color="auto"/>
        <w:bottom w:val="none" w:sz="0" w:space="0" w:color="auto"/>
        <w:right w:val="none" w:sz="0" w:space="0" w:color="auto"/>
      </w:divBdr>
    </w:div>
    <w:div w:id="1116951700">
      <w:bodyDiv w:val="1"/>
      <w:marLeft w:val="0"/>
      <w:marRight w:val="0"/>
      <w:marTop w:val="0"/>
      <w:marBottom w:val="0"/>
      <w:divBdr>
        <w:top w:val="none" w:sz="0" w:space="0" w:color="auto"/>
        <w:left w:val="none" w:sz="0" w:space="0" w:color="auto"/>
        <w:bottom w:val="none" w:sz="0" w:space="0" w:color="auto"/>
        <w:right w:val="none" w:sz="0" w:space="0" w:color="auto"/>
      </w:divBdr>
    </w:div>
    <w:div w:id="1274828586">
      <w:bodyDiv w:val="1"/>
      <w:marLeft w:val="0"/>
      <w:marRight w:val="0"/>
      <w:marTop w:val="0"/>
      <w:marBottom w:val="0"/>
      <w:divBdr>
        <w:top w:val="none" w:sz="0" w:space="0" w:color="auto"/>
        <w:left w:val="none" w:sz="0" w:space="0" w:color="auto"/>
        <w:bottom w:val="none" w:sz="0" w:space="0" w:color="auto"/>
        <w:right w:val="none" w:sz="0" w:space="0" w:color="auto"/>
      </w:divBdr>
    </w:div>
    <w:div w:id="1427457185">
      <w:bodyDiv w:val="1"/>
      <w:marLeft w:val="0"/>
      <w:marRight w:val="0"/>
      <w:marTop w:val="0"/>
      <w:marBottom w:val="0"/>
      <w:divBdr>
        <w:top w:val="none" w:sz="0" w:space="0" w:color="auto"/>
        <w:left w:val="none" w:sz="0" w:space="0" w:color="auto"/>
        <w:bottom w:val="none" w:sz="0" w:space="0" w:color="auto"/>
        <w:right w:val="none" w:sz="0" w:space="0" w:color="auto"/>
      </w:divBdr>
    </w:div>
    <w:div w:id="1529030571">
      <w:bodyDiv w:val="1"/>
      <w:marLeft w:val="0"/>
      <w:marRight w:val="0"/>
      <w:marTop w:val="0"/>
      <w:marBottom w:val="0"/>
      <w:divBdr>
        <w:top w:val="none" w:sz="0" w:space="0" w:color="auto"/>
        <w:left w:val="none" w:sz="0" w:space="0" w:color="auto"/>
        <w:bottom w:val="none" w:sz="0" w:space="0" w:color="auto"/>
        <w:right w:val="none" w:sz="0" w:space="0" w:color="auto"/>
      </w:divBdr>
    </w:div>
    <w:div w:id="1887795013">
      <w:bodyDiv w:val="1"/>
      <w:marLeft w:val="0"/>
      <w:marRight w:val="0"/>
      <w:marTop w:val="0"/>
      <w:marBottom w:val="0"/>
      <w:divBdr>
        <w:top w:val="none" w:sz="0" w:space="0" w:color="auto"/>
        <w:left w:val="none" w:sz="0" w:space="0" w:color="auto"/>
        <w:bottom w:val="none" w:sz="0" w:space="0" w:color="auto"/>
        <w:right w:val="none" w:sz="0" w:space="0" w:color="auto"/>
      </w:divBdr>
    </w:div>
    <w:div w:id="1935480396">
      <w:bodyDiv w:val="1"/>
      <w:marLeft w:val="0"/>
      <w:marRight w:val="0"/>
      <w:marTop w:val="0"/>
      <w:marBottom w:val="0"/>
      <w:divBdr>
        <w:top w:val="none" w:sz="0" w:space="0" w:color="auto"/>
        <w:left w:val="none" w:sz="0" w:space="0" w:color="auto"/>
        <w:bottom w:val="none" w:sz="0" w:space="0" w:color="auto"/>
        <w:right w:val="none" w:sz="0" w:space="0" w:color="auto"/>
      </w:divBdr>
      <w:divsChild>
        <w:div w:id="741678875">
          <w:marLeft w:val="0"/>
          <w:marRight w:val="0"/>
          <w:marTop w:val="0"/>
          <w:marBottom w:val="0"/>
          <w:divBdr>
            <w:top w:val="none" w:sz="0" w:space="0" w:color="auto"/>
            <w:left w:val="none" w:sz="0" w:space="0" w:color="auto"/>
            <w:bottom w:val="none" w:sz="0" w:space="0" w:color="auto"/>
            <w:right w:val="none" w:sz="0" w:space="0" w:color="auto"/>
          </w:divBdr>
        </w:div>
        <w:div w:id="1863468725">
          <w:marLeft w:val="0"/>
          <w:marRight w:val="0"/>
          <w:marTop w:val="0"/>
          <w:marBottom w:val="0"/>
          <w:divBdr>
            <w:top w:val="none" w:sz="0" w:space="0" w:color="auto"/>
            <w:left w:val="none" w:sz="0" w:space="0" w:color="auto"/>
            <w:bottom w:val="none" w:sz="0" w:space="0" w:color="auto"/>
            <w:right w:val="none" w:sz="0" w:space="0" w:color="auto"/>
          </w:divBdr>
        </w:div>
        <w:div w:id="874539764">
          <w:marLeft w:val="0"/>
          <w:marRight w:val="0"/>
          <w:marTop w:val="0"/>
          <w:marBottom w:val="0"/>
          <w:divBdr>
            <w:top w:val="none" w:sz="0" w:space="0" w:color="auto"/>
            <w:left w:val="none" w:sz="0" w:space="0" w:color="auto"/>
            <w:bottom w:val="none" w:sz="0" w:space="0" w:color="auto"/>
            <w:right w:val="none" w:sz="0" w:space="0" w:color="auto"/>
          </w:divBdr>
        </w:div>
        <w:div w:id="1233924445">
          <w:marLeft w:val="0"/>
          <w:marRight w:val="0"/>
          <w:marTop w:val="0"/>
          <w:marBottom w:val="0"/>
          <w:divBdr>
            <w:top w:val="none" w:sz="0" w:space="0" w:color="auto"/>
            <w:left w:val="none" w:sz="0" w:space="0" w:color="auto"/>
            <w:bottom w:val="none" w:sz="0" w:space="0" w:color="auto"/>
            <w:right w:val="none" w:sz="0" w:space="0" w:color="auto"/>
          </w:divBdr>
        </w:div>
        <w:div w:id="1332291033">
          <w:marLeft w:val="0"/>
          <w:marRight w:val="0"/>
          <w:marTop w:val="0"/>
          <w:marBottom w:val="0"/>
          <w:divBdr>
            <w:top w:val="none" w:sz="0" w:space="0" w:color="auto"/>
            <w:left w:val="none" w:sz="0" w:space="0" w:color="auto"/>
            <w:bottom w:val="none" w:sz="0" w:space="0" w:color="auto"/>
            <w:right w:val="none" w:sz="0" w:space="0" w:color="auto"/>
          </w:divBdr>
        </w:div>
        <w:div w:id="100298167">
          <w:marLeft w:val="0"/>
          <w:marRight w:val="0"/>
          <w:marTop w:val="0"/>
          <w:marBottom w:val="0"/>
          <w:divBdr>
            <w:top w:val="none" w:sz="0" w:space="0" w:color="auto"/>
            <w:left w:val="none" w:sz="0" w:space="0" w:color="auto"/>
            <w:bottom w:val="none" w:sz="0" w:space="0" w:color="auto"/>
            <w:right w:val="none" w:sz="0" w:space="0" w:color="auto"/>
          </w:divBdr>
        </w:div>
        <w:div w:id="693043491">
          <w:marLeft w:val="0"/>
          <w:marRight w:val="0"/>
          <w:marTop w:val="0"/>
          <w:marBottom w:val="0"/>
          <w:divBdr>
            <w:top w:val="none" w:sz="0" w:space="0" w:color="auto"/>
            <w:left w:val="none" w:sz="0" w:space="0" w:color="auto"/>
            <w:bottom w:val="none" w:sz="0" w:space="0" w:color="auto"/>
            <w:right w:val="none" w:sz="0" w:space="0" w:color="auto"/>
          </w:divBdr>
        </w:div>
        <w:div w:id="448596443">
          <w:marLeft w:val="0"/>
          <w:marRight w:val="0"/>
          <w:marTop w:val="0"/>
          <w:marBottom w:val="0"/>
          <w:divBdr>
            <w:top w:val="none" w:sz="0" w:space="0" w:color="auto"/>
            <w:left w:val="none" w:sz="0" w:space="0" w:color="auto"/>
            <w:bottom w:val="none" w:sz="0" w:space="0" w:color="auto"/>
            <w:right w:val="none" w:sz="0" w:space="0" w:color="auto"/>
          </w:divBdr>
        </w:div>
        <w:div w:id="41925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tandupforsiblings.co.uk/2020/11/09/meetings-siblings-rights-to-participate-in-childrens-hearings/" TargetMode="External"/><Relationship Id="rId13" Type="http://schemas.openxmlformats.org/officeDocument/2006/relationships/hyperlink" Target="https://hrcscotland.org/wp-content/uploads/2021/02/Final-IRHRA-Nicole-Busby-January-2021.pdf" TargetMode="External"/><Relationship Id="rId18" Type="http://schemas.openxmlformats.org/officeDocument/2006/relationships/hyperlink" Target="https://www.childcomwales.org.uk/2021/09/childrens-commissioners-in-devolved-nations-urge-uk-government-to-stop-violating-childrens-rights-to-an-adequate-standard-of-living/" TargetMode="External"/><Relationship Id="rId3" Type="http://schemas.openxmlformats.org/officeDocument/2006/relationships/hyperlink" Target="https://committees.parliament.uk/writtenevidence/22958/pdf/" TargetMode="External"/><Relationship Id="rId7" Type="http://schemas.openxmlformats.org/officeDocument/2006/relationships/hyperlink" Target="https://www.lawscot.org.uk/members/journal/issues/vol-55-issue-01/hearing-and-speaking/" TargetMode="External"/><Relationship Id="rId12" Type="http://schemas.openxmlformats.org/officeDocument/2006/relationships/hyperlink" Target="https://justice.org.uk/devolution-human-rights-2/" TargetMode="External"/><Relationship Id="rId17" Type="http://schemas.openxmlformats.org/officeDocument/2006/relationships/hyperlink" Target="https://committees.parliament.uk/writtenevidence/22906/html/" TargetMode="External"/><Relationship Id="rId2" Type="http://schemas.openxmlformats.org/officeDocument/2006/relationships/hyperlink" Target="https://www.gov.scot/news/next-step-towards-scottish-human-rights-bill/" TargetMode="External"/><Relationship Id="rId16" Type="http://schemas.openxmlformats.org/officeDocument/2006/relationships/hyperlink" Target="https://committees.parliament.uk/oralevidence/1661/html/" TargetMode="External"/><Relationship Id="rId1" Type="http://schemas.openxmlformats.org/officeDocument/2006/relationships/hyperlink" Target="https://committees.parliament.uk/publications/6592/documents/71259/default/" TargetMode="External"/><Relationship Id="rId6" Type="http://schemas.openxmlformats.org/officeDocument/2006/relationships/hyperlink" Target="https://www.scottishhumanrights.com/media/1796/shrc-submission-to-the-jchr-on-hra-1998-13-september-2018.pdf" TargetMode="External"/><Relationship Id="rId11" Type="http://schemas.openxmlformats.org/officeDocument/2006/relationships/hyperlink" Target="https://publications.parliament.uk/pa/jt5802/jtselect/jtrights/89/8913.htm" TargetMode="External"/><Relationship Id="rId5" Type="http://schemas.openxmlformats.org/officeDocument/2006/relationships/hyperlink" Target="https://committees.parliament.uk/oralevidence/1871/html/" TargetMode="External"/><Relationship Id="rId15" Type="http://schemas.openxmlformats.org/officeDocument/2006/relationships/hyperlink" Target="https://constitutionallawmatters.org/2022/02/lord-carnwath-lecture-on-human-rights-act-reform-is-it-time-for-a-new-british-bill-of-rights/" TargetMode="External"/><Relationship Id="rId10" Type="http://schemas.openxmlformats.org/officeDocument/2006/relationships/hyperlink" Target="http://humanrightsleadership.scot/wp-content/uploads/2018/12/First-Ministers-Advisory-Group-post-10th-December-update.pdf" TargetMode="External"/><Relationship Id="rId4" Type="http://schemas.openxmlformats.org/officeDocument/2006/relationships/hyperlink" Target="https://www.gov.uk/government/consultations/human-rights-act-reform-a-modern-bill-of-rights" TargetMode="External"/><Relationship Id="rId9" Type="http://schemas.openxmlformats.org/officeDocument/2006/relationships/hyperlink" Target="https://www.amnesty.org.uk/files/2022-02/HRA%20Consultation%20FINAL.pdf?VersionId=mRklDIRm2sPbNw2o0iDFLIEZ_F3FoZ6c" TargetMode="External"/><Relationship Id="rId14" Type="http://schemas.openxmlformats.org/officeDocument/2006/relationships/hyperlink" Target="https://gov.wales/devolved-nations-criticise-unwelcome-and-unnecessary-uk-government-plans-drop-human-rights-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F0519CB0FB34096300A779A252FC5" ma:contentTypeVersion="6" ma:contentTypeDescription="Create a new document." ma:contentTypeScope="" ma:versionID="6090e432f7f9dd2b39ba9e0592948321">
  <xsd:schema xmlns:xsd="http://www.w3.org/2001/XMLSchema" xmlns:xs="http://www.w3.org/2001/XMLSchema" xmlns:p="http://schemas.microsoft.com/office/2006/metadata/properties" xmlns:ns2="30767ba5-445f-49dd-9a08-975f9f123369" xmlns:ns3="1fc3b2da-f926-4641-ac2a-ef22a79db085" targetNamespace="http://schemas.microsoft.com/office/2006/metadata/properties" ma:root="true" ma:fieldsID="019783c7676ec46803f62ed47de2bfaa" ns2:_="" ns3:_="">
    <xsd:import namespace="30767ba5-445f-49dd-9a08-975f9f123369"/>
    <xsd:import namespace="1fc3b2da-f926-4641-ac2a-ef22a79db0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67ba5-445f-49dd-9a08-975f9f123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c3b2da-f926-4641-ac2a-ef22a79db0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9C8C5-EE20-4C72-84A8-8C6DC37F29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FC9A8B-80C8-4769-9592-100477C8B8CF}">
  <ds:schemaRefs>
    <ds:schemaRef ds:uri="http://schemas.microsoft.com/sharepoint/v3/contenttype/forms"/>
  </ds:schemaRefs>
</ds:datastoreItem>
</file>

<file path=customXml/itemProps3.xml><?xml version="1.0" encoding="utf-8"?>
<ds:datastoreItem xmlns:ds="http://schemas.openxmlformats.org/officeDocument/2006/customXml" ds:itemID="{54FF82FA-AC82-4550-A5AC-C3B85C014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67ba5-445f-49dd-9a08-975f9f123369"/>
    <ds:schemaRef ds:uri="1fc3b2da-f926-4641-ac2a-ef22a79d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41BC6-D6F9-4709-8CA7-3EA37094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7652</Words>
  <Characters>43622</Characters>
  <Application>Microsoft Office Word</Application>
  <DocSecurity>0</DocSecurity>
  <Lines>363</Lines>
  <Paragraphs>102</Paragraphs>
  <ScaleCrop>false</ScaleCrop>
  <Company/>
  <LinksUpToDate>false</LinksUpToDate>
  <CharactersWithSpaces>51172</CharactersWithSpaces>
  <SharedDoc>false</SharedDoc>
  <HLinks>
    <vt:vector size="120" baseType="variant">
      <vt:variant>
        <vt:i4>1114182</vt:i4>
      </vt:variant>
      <vt:variant>
        <vt:i4>48</vt:i4>
      </vt:variant>
      <vt:variant>
        <vt:i4>0</vt:i4>
      </vt:variant>
      <vt:variant>
        <vt:i4>5</vt:i4>
      </vt:variant>
      <vt:variant>
        <vt:lpwstr>https://www.childcomwales.org.uk/2021/09/childrens-commissioners-in-devolved-nations-urge-uk-government-to-stop-violating-childrens-rights-to-an-adequate-standard-of-living/</vt:lpwstr>
      </vt:variant>
      <vt:variant>
        <vt:lpwstr/>
      </vt:variant>
      <vt:variant>
        <vt:i4>5636172</vt:i4>
      </vt:variant>
      <vt:variant>
        <vt:i4>45</vt:i4>
      </vt:variant>
      <vt:variant>
        <vt:i4>0</vt:i4>
      </vt:variant>
      <vt:variant>
        <vt:i4>5</vt:i4>
      </vt:variant>
      <vt:variant>
        <vt:lpwstr>https://committees.parliament.uk/writtenevidence/22906/html/</vt:lpwstr>
      </vt:variant>
      <vt:variant>
        <vt:lpwstr/>
      </vt:variant>
      <vt:variant>
        <vt:i4>5898248</vt:i4>
      </vt:variant>
      <vt:variant>
        <vt:i4>42</vt:i4>
      </vt:variant>
      <vt:variant>
        <vt:i4>0</vt:i4>
      </vt:variant>
      <vt:variant>
        <vt:i4>5</vt:i4>
      </vt:variant>
      <vt:variant>
        <vt:lpwstr>https://committees.parliament.uk/oralevidence/1661/html/</vt:lpwstr>
      </vt:variant>
      <vt:variant>
        <vt:lpwstr/>
      </vt:variant>
      <vt:variant>
        <vt:i4>2752625</vt:i4>
      </vt:variant>
      <vt:variant>
        <vt:i4>39</vt:i4>
      </vt:variant>
      <vt:variant>
        <vt:i4>0</vt:i4>
      </vt:variant>
      <vt:variant>
        <vt:i4>5</vt:i4>
      </vt:variant>
      <vt:variant>
        <vt:lpwstr>https://constitutionallawmatters.org/2022/02/lord-carnwath-lecture-on-human-rights-act-reform-is-it-time-for-a-new-british-bill-of-rights/</vt:lpwstr>
      </vt:variant>
      <vt:variant>
        <vt:lpwstr/>
      </vt:variant>
      <vt:variant>
        <vt:i4>5177369</vt:i4>
      </vt:variant>
      <vt:variant>
        <vt:i4>36</vt:i4>
      </vt:variant>
      <vt:variant>
        <vt:i4>0</vt:i4>
      </vt:variant>
      <vt:variant>
        <vt:i4>5</vt:i4>
      </vt:variant>
      <vt:variant>
        <vt:lpwstr>https://gov.wales/devolved-nations-criticise-unwelcome-and-unnecessary-uk-government-plans-drop-human-rights-act</vt:lpwstr>
      </vt:variant>
      <vt:variant>
        <vt:lpwstr/>
      </vt:variant>
      <vt:variant>
        <vt:i4>5898318</vt:i4>
      </vt:variant>
      <vt:variant>
        <vt:i4>33</vt:i4>
      </vt:variant>
      <vt:variant>
        <vt:i4>0</vt:i4>
      </vt:variant>
      <vt:variant>
        <vt:i4>5</vt:i4>
      </vt:variant>
      <vt:variant>
        <vt:lpwstr>https://hrcscotland.org/wp-content/uploads/2021/02/Final-IRHRA-Nicole-Busby-January-2021.pdf</vt:lpwstr>
      </vt:variant>
      <vt:variant>
        <vt:lpwstr/>
      </vt:variant>
      <vt:variant>
        <vt:i4>5963864</vt:i4>
      </vt:variant>
      <vt:variant>
        <vt:i4>30</vt:i4>
      </vt:variant>
      <vt:variant>
        <vt:i4>0</vt:i4>
      </vt:variant>
      <vt:variant>
        <vt:i4>5</vt:i4>
      </vt:variant>
      <vt:variant>
        <vt:lpwstr>https://justice.org.uk/devolution-human-rights-2/</vt:lpwstr>
      </vt:variant>
      <vt:variant>
        <vt:lpwstr/>
      </vt:variant>
      <vt:variant>
        <vt:i4>3145783</vt:i4>
      </vt:variant>
      <vt:variant>
        <vt:i4>27</vt:i4>
      </vt:variant>
      <vt:variant>
        <vt:i4>0</vt:i4>
      </vt:variant>
      <vt:variant>
        <vt:i4>5</vt:i4>
      </vt:variant>
      <vt:variant>
        <vt:lpwstr>https://publications.parliament.uk/pa/jt5802/jtselect/jtrights/89/8913.htm</vt:lpwstr>
      </vt:variant>
      <vt:variant>
        <vt:lpwstr>footnote-029</vt:lpwstr>
      </vt:variant>
      <vt:variant>
        <vt:i4>4718682</vt:i4>
      </vt:variant>
      <vt:variant>
        <vt:i4>24</vt:i4>
      </vt:variant>
      <vt:variant>
        <vt:i4>0</vt:i4>
      </vt:variant>
      <vt:variant>
        <vt:i4>5</vt:i4>
      </vt:variant>
      <vt:variant>
        <vt:lpwstr>http://humanrightsleadership.scot/wp-content/uploads/2018/12/First-Ministers-Advisory-Group-post-10th-December-update.pdf</vt:lpwstr>
      </vt:variant>
      <vt:variant>
        <vt:lpwstr/>
      </vt:variant>
      <vt:variant>
        <vt:i4>3342366</vt:i4>
      </vt:variant>
      <vt:variant>
        <vt:i4>21</vt:i4>
      </vt:variant>
      <vt:variant>
        <vt:i4>0</vt:i4>
      </vt:variant>
      <vt:variant>
        <vt:i4>5</vt:i4>
      </vt:variant>
      <vt:variant>
        <vt:lpwstr>https://www.amnesty.org.uk/files/2022-02/HRA Consultation FINAL.pdf?VersionId=mRklDIRm2sPbNw2o0iDFLIEZ_F3FoZ6c</vt:lpwstr>
      </vt:variant>
      <vt:variant>
        <vt:lpwstr/>
      </vt:variant>
      <vt:variant>
        <vt:i4>7864420</vt:i4>
      </vt:variant>
      <vt:variant>
        <vt:i4>18</vt:i4>
      </vt:variant>
      <vt:variant>
        <vt:i4>0</vt:i4>
      </vt:variant>
      <vt:variant>
        <vt:i4>5</vt:i4>
      </vt:variant>
      <vt:variant>
        <vt:lpwstr>https://www.standupforsiblings.co.uk/2020/11/09/meetings-siblings-rights-to-participate-in-childrens-hearings/</vt:lpwstr>
      </vt:variant>
      <vt:variant>
        <vt:lpwstr>:~:text=The%20new%20Children%20(Scotland)%20Act,section%2025%20of%20the%20Act</vt:lpwstr>
      </vt:variant>
      <vt:variant>
        <vt:i4>94</vt:i4>
      </vt:variant>
      <vt:variant>
        <vt:i4>15</vt:i4>
      </vt:variant>
      <vt:variant>
        <vt:i4>0</vt:i4>
      </vt:variant>
      <vt:variant>
        <vt:i4>5</vt:i4>
      </vt:variant>
      <vt:variant>
        <vt:lpwstr>https://www.scottishhumanrights.com/media/1796/shrc-submission-to-the-jchr-on-hra-1998-13-september-2018.pdf</vt:lpwstr>
      </vt:variant>
      <vt:variant>
        <vt:lpwstr/>
      </vt:variant>
      <vt:variant>
        <vt:i4>5505033</vt:i4>
      </vt:variant>
      <vt:variant>
        <vt:i4>12</vt:i4>
      </vt:variant>
      <vt:variant>
        <vt:i4>0</vt:i4>
      </vt:variant>
      <vt:variant>
        <vt:i4>5</vt:i4>
      </vt:variant>
      <vt:variant>
        <vt:lpwstr>https://committees.parliament.uk/oralevidence/1871/html/</vt:lpwstr>
      </vt:variant>
      <vt:variant>
        <vt:lpwstr/>
      </vt:variant>
      <vt:variant>
        <vt:i4>7077989</vt:i4>
      </vt:variant>
      <vt:variant>
        <vt:i4>9</vt:i4>
      </vt:variant>
      <vt:variant>
        <vt:i4>0</vt:i4>
      </vt:variant>
      <vt:variant>
        <vt:i4>5</vt:i4>
      </vt:variant>
      <vt:variant>
        <vt:lpwstr>https://www.gov.uk/government/consultations/human-rights-act-reform-a-modern-bill-of-rights</vt:lpwstr>
      </vt:variant>
      <vt:variant>
        <vt:lpwstr/>
      </vt:variant>
      <vt:variant>
        <vt:i4>6553653</vt:i4>
      </vt:variant>
      <vt:variant>
        <vt:i4>6</vt:i4>
      </vt:variant>
      <vt:variant>
        <vt:i4>0</vt:i4>
      </vt:variant>
      <vt:variant>
        <vt:i4>5</vt:i4>
      </vt:variant>
      <vt:variant>
        <vt:lpwstr>https://committees.parliament.uk/writtenevidence/22958/pdf/</vt:lpwstr>
      </vt:variant>
      <vt:variant>
        <vt:lpwstr/>
      </vt:variant>
      <vt:variant>
        <vt:i4>7405626</vt:i4>
      </vt:variant>
      <vt:variant>
        <vt:i4>3</vt:i4>
      </vt:variant>
      <vt:variant>
        <vt:i4>0</vt:i4>
      </vt:variant>
      <vt:variant>
        <vt:i4>5</vt:i4>
      </vt:variant>
      <vt:variant>
        <vt:lpwstr>https://www.gov.scot/news/next-step-towards-scottish-human-rights-bill/</vt:lpwstr>
      </vt:variant>
      <vt:variant>
        <vt:lpwstr/>
      </vt:variant>
      <vt:variant>
        <vt:i4>2162794</vt:i4>
      </vt:variant>
      <vt:variant>
        <vt:i4>0</vt:i4>
      </vt:variant>
      <vt:variant>
        <vt:i4>0</vt:i4>
      </vt:variant>
      <vt:variant>
        <vt:i4>5</vt:i4>
      </vt:variant>
      <vt:variant>
        <vt:lpwstr>https://committees.parliament.uk/publications/6592/documents/71259/default/</vt:lpwstr>
      </vt:variant>
      <vt:variant>
        <vt:lpwstr/>
      </vt:variant>
      <vt:variant>
        <vt:i4>1048635</vt:i4>
      </vt:variant>
      <vt:variant>
        <vt:i4>6</vt:i4>
      </vt:variant>
      <vt:variant>
        <vt:i4>0</vt:i4>
      </vt:variant>
      <vt:variant>
        <vt:i4>5</vt:i4>
      </vt:variant>
      <vt:variant>
        <vt:lpwstr>mailto:bruce.adamson@cypcs.org.uk</vt:lpwstr>
      </vt:variant>
      <vt:variant>
        <vt:lpwstr/>
      </vt:variant>
      <vt:variant>
        <vt:i4>2883614</vt:i4>
      </vt:variant>
      <vt:variant>
        <vt:i4>3</vt:i4>
      </vt:variant>
      <vt:variant>
        <vt:i4>0</vt:i4>
      </vt:variant>
      <vt:variant>
        <vt:i4>5</vt:i4>
      </vt:variant>
      <vt:variant>
        <vt:lpwstr>mailto:gina.wilson@cypcs.org.uk</vt:lpwstr>
      </vt:variant>
      <vt:variant>
        <vt:lpwstr/>
      </vt:variant>
      <vt:variant>
        <vt:i4>1048635</vt:i4>
      </vt:variant>
      <vt:variant>
        <vt:i4>0</vt:i4>
      </vt:variant>
      <vt:variant>
        <vt:i4>0</vt:i4>
      </vt:variant>
      <vt:variant>
        <vt:i4>5</vt:i4>
      </vt:variant>
      <vt:variant>
        <vt:lpwstr>mailto:bruce.adamson@cypcs.org.uk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Cameron-Wong McDermott</dc:creator>
  <cp:keywords/>
  <dc:description/>
  <cp:lastModifiedBy>Cameron-Wong McDermott</cp:lastModifiedBy>
  <cp:revision>6</cp:revision>
  <dcterms:created xsi:type="dcterms:W3CDTF">2022-03-08T19:49:00Z</dcterms:created>
  <dcterms:modified xsi:type="dcterms:W3CDTF">2022-03-08T19:53:00Z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0x010100FA0F0519CB0FB34096300A779A252FC5</vt:lpwstr>
  </property>
</Properties>
</file>