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DC" w:rsidRDefault="000576E8" w:rsidP="003608BD">
      <w:pPr>
        <w:pStyle w:val="NICCYBodyText"/>
        <w:spacing w:line="276" w:lineRule="auto"/>
        <w:rPr>
          <w:b/>
          <w:color w:val="FF0000"/>
          <w:sz w:val="36"/>
          <w:szCs w:val="36"/>
        </w:rPr>
      </w:pPr>
      <w:r>
        <w:rPr>
          <w:b/>
          <w:color w:val="FF0000"/>
          <w:sz w:val="36"/>
          <w:szCs w:val="36"/>
        </w:rPr>
        <w:t xml:space="preserve">Briefing for the Committee for </w:t>
      </w:r>
      <w:r w:rsidR="00354E3C" w:rsidRPr="00796F06">
        <w:rPr>
          <w:b/>
          <w:color w:val="FF0000"/>
          <w:sz w:val="36"/>
          <w:szCs w:val="36"/>
        </w:rPr>
        <w:t xml:space="preserve">Employment and Learning </w:t>
      </w:r>
    </w:p>
    <w:p w:rsidR="000576E8" w:rsidRPr="000576E8" w:rsidRDefault="002C5520" w:rsidP="003608BD">
      <w:pPr>
        <w:pStyle w:val="NICCYBodyText"/>
        <w:spacing w:line="276" w:lineRule="auto"/>
        <w:rPr>
          <w:b/>
          <w:color w:val="FF0000"/>
          <w:sz w:val="32"/>
          <w:szCs w:val="32"/>
        </w:rPr>
      </w:pPr>
      <w:r>
        <w:rPr>
          <w:b/>
          <w:color w:val="FF0000"/>
          <w:sz w:val="32"/>
          <w:szCs w:val="32"/>
        </w:rPr>
        <w:t>3 June</w:t>
      </w:r>
      <w:r w:rsidR="000576E8" w:rsidRPr="000576E8">
        <w:rPr>
          <w:b/>
          <w:color w:val="FF0000"/>
          <w:sz w:val="32"/>
          <w:szCs w:val="32"/>
        </w:rPr>
        <w:t xml:space="preserve"> 2015</w:t>
      </w:r>
    </w:p>
    <w:p w:rsidR="000576E8" w:rsidRDefault="000576E8" w:rsidP="003608BD">
      <w:pPr>
        <w:pStyle w:val="NICCYBodyText"/>
        <w:spacing w:line="276" w:lineRule="auto"/>
        <w:rPr>
          <w:b/>
          <w:color w:val="FF0000"/>
          <w:sz w:val="36"/>
          <w:szCs w:val="36"/>
        </w:rPr>
      </w:pPr>
    </w:p>
    <w:p w:rsidR="00496326" w:rsidRPr="00960B36" w:rsidRDefault="00496326" w:rsidP="00496326">
      <w:pPr>
        <w:pStyle w:val="NICCYBodyText"/>
        <w:numPr>
          <w:ilvl w:val="0"/>
          <w:numId w:val="10"/>
        </w:numPr>
        <w:spacing w:line="276" w:lineRule="auto"/>
        <w:rPr>
          <w:b/>
          <w:color w:val="FF0000"/>
          <w:sz w:val="28"/>
          <w:szCs w:val="28"/>
        </w:rPr>
      </w:pPr>
      <w:r>
        <w:rPr>
          <w:b/>
          <w:color w:val="FF0000"/>
          <w:sz w:val="28"/>
          <w:szCs w:val="28"/>
        </w:rPr>
        <w:t>Northern Ireland Commissioner for Children and Young People</w:t>
      </w:r>
    </w:p>
    <w:p w:rsidR="00CB7646" w:rsidRDefault="00CB7646" w:rsidP="00496326">
      <w:pPr>
        <w:spacing w:line="276" w:lineRule="auto"/>
        <w:rPr>
          <w:rFonts w:ascii="Arial" w:hAnsi="Arial" w:cs="Arial"/>
          <w:color w:val="404040" w:themeColor="text1" w:themeTint="BF"/>
          <w:sz w:val="24"/>
          <w:szCs w:val="24"/>
        </w:rPr>
      </w:pPr>
    </w:p>
    <w:p w:rsidR="00496326" w:rsidRPr="00370201" w:rsidRDefault="00496326" w:rsidP="00496326">
      <w:pPr>
        <w:spacing w:line="276" w:lineRule="auto"/>
        <w:rPr>
          <w:rFonts w:ascii="Arial" w:hAnsi="Arial" w:cs="Arial"/>
          <w:color w:val="404040" w:themeColor="text1" w:themeTint="BF"/>
          <w:sz w:val="24"/>
          <w:szCs w:val="24"/>
        </w:rPr>
      </w:pPr>
      <w:r w:rsidRPr="00370201">
        <w:rPr>
          <w:rFonts w:ascii="Arial" w:hAnsi="Arial" w:cs="Arial"/>
          <w:color w:val="404040" w:themeColor="text1" w:themeTint="BF"/>
          <w:sz w:val="24"/>
          <w:szCs w:val="24"/>
        </w:rPr>
        <w:t xml:space="preserve">The Office of the Commissioner for Children and Young People (NICCY) was created in accordance with ‘The Commissioner for Children and Young People (Northern Ireland) Order’ (2003) to safeguard and promote the rights and best interests of children and young people in Northern Ireland. </w:t>
      </w:r>
    </w:p>
    <w:p w:rsidR="00496326" w:rsidRPr="00370201" w:rsidRDefault="00496326" w:rsidP="00496326">
      <w:pPr>
        <w:spacing w:line="276" w:lineRule="auto"/>
        <w:rPr>
          <w:rFonts w:ascii="Arial" w:hAnsi="Arial" w:cs="Arial"/>
          <w:color w:val="404040" w:themeColor="text1" w:themeTint="BF"/>
          <w:sz w:val="24"/>
          <w:szCs w:val="24"/>
        </w:rPr>
      </w:pPr>
    </w:p>
    <w:p w:rsidR="00496326" w:rsidRPr="00370201" w:rsidRDefault="00496326" w:rsidP="00496326">
      <w:pPr>
        <w:spacing w:line="276" w:lineRule="auto"/>
        <w:rPr>
          <w:rFonts w:ascii="Arial" w:hAnsi="Arial" w:cs="Arial"/>
          <w:color w:val="404040" w:themeColor="text1" w:themeTint="BF"/>
          <w:sz w:val="24"/>
          <w:szCs w:val="24"/>
        </w:rPr>
      </w:pPr>
      <w:r w:rsidRPr="00370201">
        <w:rPr>
          <w:rFonts w:ascii="Arial" w:hAnsi="Arial" w:cs="Arial"/>
          <w:color w:val="404040" w:themeColor="text1" w:themeTint="BF"/>
          <w:sz w:val="24"/>
          <w:szCs w:val="24"/>
        </w:rPr>
        <w:t xml:space="preserve">Under this legislation NICCY has a </w:t>
      </w:r>
      <w:r w:rsidR="000576E8">
        <w:rPr>
          <w:rFonts w:ascii="Arial" w:hAnsi="Arial" w:cs="Arial"/>
          <w:color w:val="404040" w:themeColor="text1" w:themeTint="BF"/>
          <w:sz w:val="24"/>
          <w:szCs w:val="24"/>
        </w:rPr>
        <w:t>range of powers and duties includ</w:t>
      </w:r>
      <w:r w:rsidR="008C5543">
        <w:rPr>
          <w:rFonts w:ascii="Arial" w:hAnsi="Arial" w:cs="Arial"/>
          <w:color w:val="404040" w:themeColor="text1" w:themeTint="BF"/>
          <w:sz w:val="24"/>
          <w:szCs w:val="24"/>
        </w:rPr>
        <w:t>ing</w:t>
      </w:r>
      <w:r w:rsidR="000576E8">
        <w:rPr>
          <w:rFonts w:ascii="Arial" w:hAnsi="Arial" w:cs="Arial"/>
          <w:color w:val="404040" w:themeColor="text1" w:themeTint="BF"/>
          <w:sz w:val="24"/>
          <w:szCs w:val="24"/>
        </w:rPr>
        <w:t xml:space="preserve"> </w:t>
      </w:r>
      <w:r w:rsidRPr="00370201">
        <w:rPr>
          <w:rFonts w:ascii="Arial" w:hAnsi="Arial" w:cs="Arial"/>
          <w:color w:val="404040" w:themeColor="text1" w:themeTint="BF"/>
          <w:sz w:val="24"/>
          <w:szCs w:val="24"/>
        </w:rPr>
        <w:t>keep</w:t>
      </w:r>
      <w:r w:rsidR="000576E8">
        <w:rPr>
          <w:rFonts w:ascii="Arial" w:hAnsi="Arial" w:cs="Arial"/>
          <w:color w:val="404040" w:themeColor="text1" w:themeTint="BF"/>
          <w:sz w:val="24"/>
          <w:szCs w:val="24"/>
        </w:rPr>
        <w:t>ing</w:t>
      </w:r>
      <w:r w:rsidRPr="00370201">
        <w:rPr>
          <w:rFonts w:ascii="Arial" w:hAnsi="Arial" w:cs="Arial"/>
          <w:color w:val="404040" w:themeColor="text1" w:themeTint="BF"/>
          <w:sz w:val="24"/>
          <w:szCs w:val="24"/>
        </w:rPr>
        <w:t xml:space="preserve"> under review the adequacy and effectiveness of law, practice and services</w:t>
      </w:r>
      <w:r w:rsidR="008C5543">
        <w:rPr>
          <w:rFonts w:ascii="Arial" w:hAnsi="Arial" w:cs="Arial"/>
          <w:color w:val="404040" w:themeColor="text1" w:themeTint="BF"/>
          <w:sz w:val="24"/>
          <w:szCs w:val="24"/>
        </w:rPr>
        <w:t xml:space="preserve">, advising government, </w:t>
      </w:r>
      <w:r w:rsidR="00AD63DC">
        <w:rPr>
          <w:rFonts w:ascii="Arial" w:hAnsi="Arial" w:cs="Arial"/>
          <w:color w:val="404040" w:themeColor="text1" w:themeTint="BF"/>
          <w:sz w:val="24"/>
          <w:szCs w:val="24"/>
        </w:rPr>
        <w:t xml:space="preserve">promoting </w:t>
      </w:r>
      <w:r w:rsidR="007B0078">
        <w:rPr>
          <w:rFonts w:ascii="Arial" w:hAnsi="Arial" w:cs="Arial"/>
          <w:color w:val="404040" w:themeColor="text1" w:themeTint="BF"/>
          <w:sz w:val="24"/>
          <w:szCs w:val="24"/>
        </w:rPr>
        <w:t xml:space="preserve">an understanding of children’s rights and best interests </w:t>
      </w:r>
      <w:r w:rsidR="00AD63DC">
        <w:rPr>
          <w:rFonts w:ascii="Arial" w:hAnsi="Arial" w:cs="Arial"/>
          <w:color w:val="404040" w:themeColor="text1" w:themeTint="BF"/>
          <w:sz w:val="24"/>
          <w:szCs w:val="24"/>
        </w:rPr>
        <w:t xml:space="preserve">and </w:t>
      </w:r>
      <w:r w:rsidR="008C5543">
        <w:rPr>
          <w:rFonts w:ascii="Arial" w:hAnsi="Arial" w:cs="Arial"/>
          <w:color w:val="404040" w:themeColor="text1" w:themeTint="BF"/>
          <w:sz w:val="24"/>
          <w:szCs w:val="24"/>
        </w:rPr>
        <w:t>bringing</w:t>
      </w:r>
      <w:r w:rsidR="005F6D5C">
        <w:rPr>
          <w:rFonts w:ascii="Arial" w:hAnsi="Arial" w:cs="Arial"/>
          <w:color w:val="404040" w:themeColor="text1" w:themeTint="BF"/>
          <w:sz w:val="24"/>
          <w:szCs w:val="24"/>
        </w:rPr>
        <w:t>,</w:t>
      </w:r>
      <w:r w:rsidR="008C5543">
        <w:rPr>
          <w:rFonts w:ascii="Arial" w:hAnsi="Arial" w:cs="Arial"/>
          <w:color w:val="404040" w:themeColor="text1" w:themeTint="BF"/>
          <w:sz w:val="24"/>
          <w:szCs w:val="24"/>
        </w:rPr>
        <w:t xml:space="preserve"> assisting </w:t>
      </w:r>
      <w:r w:rsidR="005F6D5C">
        <w:rPr>
          <w:rFonts w:ascii="Arial" w:hAnsi="Arial" w:cs="Arial"/>
          <w:color w:val="404040" w:themeColor="text1" w:themeTint="BF"/>
          <w:sz w:val="24"/>
          <w:szCs w:val="24"/>
        </w:rPr>
        <w:t xml:space="preserve">or intervening </w:t>
      </w:r>
      <w:r w:rsidR="008C5543">
        <w:rPr>
          <w:rFonts w:ascii="Arial" w:hAnsi="Arial" w:cs="Arial"/>
          <w:color w:val="404040" w:themeColor="text1" w:themeTint="BF"/>
          <w:sz w:val="24"/>
          <w:szCs w:val="24"/>
        </w:rPr>
        <w:t xml:space="preserve">in legal proceedings. </w:t>
      </w:r>
      <w:r w:rsidRPr="00370201">
        <w:rPr>
          <w:rFonts w:ascii="Arial" w:hAnsi="Arial" w:cs="Arial"/>
          <w:color w:val="404040" w:themeColor="text1" w:themeTint="BF"/>
          <w:sz w:val="24"/>
          <w:szCs w:val="24"/>
        </w:rPr>
        <w:t>The remit of the Office is children from birth up to18 years, or 21 years of age if the young person is disabled or care experienced.</w:t>
      </w:r>
    </w:p>
    <w:p w:rsidR="00496326" w:rsidRPr="00370201" w:rsidRDefault="00496326" w:rsidP="00496326">
      <w:pPr>
        <w:spacing w:line="276" w:lineRule="auto"/>
        <w:rPr>
          <w:rFonts w:ascii="Arial" w:hAnsi="Arial" w:cs="Arial"/>
          <w:color w:val="404040" w:themeColor="text1" w:themeTint="BF"/>
          <w:sz w:val="24"/>
          <w:szCs w:val="24"/>
        </w:rPr>
      </w:pPr>
    </w:p>
    <w:p w:rsidR="008C5543" w:rsidRDefault="00283F69" w:rsidP="00496326">
      <w:p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The </w:t>
      </w:r>
      <w:r w:rsidR="00413E5B">
        <w:rPr>
          <w:rFonts w:ascii="Arial" w:hAnsi="Arial" w:cs="Arial"/>
          <w:color w:val="404040" w:themeColor="text1" w:themeTint="BF"/>
          <w:sz w:val="24"/>
          <w:szCs w:val="24"/>
        </w:rPr>
        <w:t xml:space="preserve">new </w:t>
      </w:r>
      <w:r>
        <w:rPr>
          <w:rFonts w:ascii="Arial" w:hAnsi="Arial" w:cs="Arial"/>
          <w:color w:val="404040" w:themeColor="text1" w:themeTint="BF"/>
          <w:sz w:val="24"/>
          <w:szCs w:val="24"/>
        </w:rPr>
        <w:t xml:space="preserve">Commissioner, </w:t>
      </w:r>
      <w:r w:rsidR="00AD63DC">
        <w:rPr>
          <w:rFonts w:ascii="Arial" w:hAnsi="Arial" w:cs="Arial"/>
          <w:color w:val="404040" w:themeColor="text1" w:themeTint="BF"/>
          <w:sz w:val="24"/>
          <w:szCs w:val="24"/>
        </w:rPr>
        <w:t>K</w:t>
      </w:r>
      <w:r w:rsidR="000576E8">
        <w:rPr>
          <w:rFonts w:ascii="Arial" w:hAnsi="Arial" w:cs="Arial"/>
          <w:color w:val="404040" w:themeColor="text1" w:themeTint="BF"/>
          <w:sz w:val="24"/>
          <w:szCs w:val="24"/>
        </w:rPr>
        <w:t xml:space="preserve">oulla Yiasouma, took up office on </w:t>
      </w:r>
      <w:r w:rsidR="00AD63DC">
        <w:rPr>
          <w:rFonts w:ascii="Arial" w:hAnsi="Arial" w:cs="Arial"/>
          <w:color w:val="404040" w:themeColor="text1" w:themeTint="BF"/>
          <w:sz w:val="24"/>
          <w:szCs w:val="24"/>
        </w:rPr>
        <w:t xml:space="preserve">2 March 2015 </w:t>
      </w:r>
      <w:r w:rsidR="000576E8">
        <w:rPr>
          <w:rFonts w:ascii="Arial" w:hAnsi="Arial" w:cs="Arial"/>
          <w:color w:val="404040" w:themeColor="text1" w:themeTint="BF"/>
          <w:sz w:val="24"/>
          <w:szCs w:val="24"/>
        </w:rPr>
        <w:t>and welcomes the opportunity to present to the Committee on its Inquiry into post Special Education Need prov</w:t>
      </w:r>
      <w:r w:rsidR="00413E5B">
        <w:rPr>
          <w:rFonts w:ascii="Arial" w:hAnsi="Arial" w:cs="Arial"/>
          <w:color w:val="404040" w:themeColor="text1" w:themeTint="BF"/>
          <w:sz w:val="24"/>
          <w:szCs w:val="24"/>
        </w:rPr>
        <w:t>ision for young people with L</w:t>
      </w:r>
      <w:r w:rsidR="000576E8">
        <w:rPr>
          <w:rFonts w:ascii="Arial" w:hAnsi="Arial" w:cs="Arial"/>
          <w:color w:val="404040" w:themeColor="text1" w:themeTint="BF"/>
          <w:sz w:val="24"/>
          <w:szCs w:val="24"/>
        </w:rPr>
        <w:t xml:space="preserve">earning </w:t>
      </w:r>
      <w:r w:rsidR="00413E5B">
        <w:rPr>
          <w:rFonts w:ascii="Arial" w:hAnsi="Arial" w:cs="Arial"/>
          <w:color w:val="404040" w:themeColor="text1" w:themeTint="BF"/>
          <w:sz w:val="24"/>
          <w:szCs w:val="24"/>
        </w:rPr>
        <w:t>D</w:t>
      </w:r>
      <w:r w:rsidR="000576E8">
        <w:rPr>
          <w:rFonts w:ascii="Arial" w:hAnsi="Arial" w:cs="Arial"/>
          <w:color w:val="404040" w:themeColor="text1" w:themeTint="BF"/>
          <w:sz w:val="24"/>
          <w:szCs w:val="24"/>
        </w:rPr>
        <w:t xml:space="preserve">isabilities and on </w:t>
      </w:r>
      <w:r w:rsidR="00413E5B">
        <w:rPr>
          <w:rFonts w:ascii="Arial" w:hAnsi="Arial" w:cs="Arial"/>
          <w:color w:val="404040" w:themeColor="text1" w:themeTint="BF"/>
          <w:sz w:val="24"/>
          <w:szCs w:val="24"/>
        </w:rPr>
        <w:t>y</w:t>
      </w:r>
      <w:r w:rsidR="000576E8">
        <w:rPr>
          <w:rFonts w:ascii="Arial" w:hAnsi="Arial" w:cs="Arial"/>
          <w:color w:val="404040" w:themeColor="text1" w:themeTint="BF"/>
          <w:sz w:val="24"/>
          <w:szCs w:val="24"/>
        </w:rPr>
        <w:t xml:space="preserve">oung </w:t>
      </w:r>
      <w:r w:rsidR="00413E5B">
        <w:rPr>
          <w:rFonts w:ascii="Arial" w:hAnsi="Arial" w:cs="Arial"/>
          <w:color w:val="404040" w:themeColor="text1" w:themeTint="BF"/>
          <w:sz w:val="24"/>
          <w:szCs w:val="24"/>
        </w:rPr>
        <w:t>p</w:t>
      </w:r>
      <w:r w:rsidR="000576E8">
        <w:rPr>
          <w:rFonts w:ascii="Arial" w:hAnsi="Arial" w:cs="Arial"/>
          <w:color w:val="404040" w:themeColor="text1" w:themeTint="BF"/>
          <w:sz w:val="24"/>
          <w:szCs w:val="24"/>
        </w:rPr>
        <w:t xml:space="preserve">eople who are </w:t>
      </w:r>
      <w:r w:rsidR="00C519DF">
        <w:rPr>
          <w:rFonts w:ascii="Arial" w:hAnsi="Arial" w:cs="Arial"/>
          <w:color w:val="404040" w:themeColor="text1" w:themeTint="BF"/>
          <w:sz w:val="24"/>
          <w:szCs w:val="24"/>
        </w:rPr>
        <w:t>n</w:t>
      </w:r>
      <w:r w:rsidR="000576E8">
        <w:rPr>
          <w:rFonts w:ascii="Arial" w:hAnsi="Arial" w:cs="Arial"/>
          <w:color w:val="404040" w:themeColor="text1" w:themeTint="BF"/>
          <w:sz w:val="24"/>
          <w:szCs w:val="24"/>
        </w:rPr>
        <w:t xml:space="preserve">ot in </w:t>
      </w:r>
      <w:r w:rsidR="00C519DF">
        <w:rPr>
          <w:rFonts w:ascii="Arial" w:hAnsi="Arial" w:cs="Arial"/>
          <w:color w:val="404040" w:themeColor="text1" w:themeTint="BF"/>
          <w:sz w:val="24"/>
          <w:szCs w:val="24"/>
        </w:rPr>
        <w:t>e</w:t>
      </w:r>
      <w:r w:rsidR="000576E8">
        <w:rPr>
          <w:rFonts w:ascii="Arial" w:hAnsi="Arial" w:cs="Arial"/>
          <w:color w:val="404040" w:themeColor="text1" w:themeTint="BF"/>
          <w:sz w:val="24"/>
          <w:szCs w:val="24"/>
        </w:rPr>
        <w:t xml:space="preserve">ducation, </w:t>
      </w:r>
      <w:r w:rsidR="00C519DF">
        <w:rPr>
          <w:rFonts w:ascii="Arial" w:hAnsi="Arial" w:cs="Arial"/>
          <w:color w:val="404040" w:themeColor="text1" w:themeTint="BF"/>
          <w:sz w:val="24"/>
          <w:szCs w:val="24"/>
        </w:rPr>
        <w:t>e</w:t>
      </w:r>
      <w:r w:rsidR="000576E8">
        <w:rPr>
          <w:rFonts w:ascii="Arial" w:hAnsi="Arial" w:cs="Arial"/>
          <w:color w:val="404040" w:themeColor="text1" w:themeTint="BF"/>
          <w:sz w:val="24"/>
          <w:szCs w:val="24"/>
        </w:rPr>
        <w:t xml:space="preserve">mployment or </w:t>
      </w:r>
      <w:r w:rsidR="00C519DF">
        <w:rPr>
          <w:rFonts w:ascii="Arial" w:hAnsi="Arial" w:cs="Arial"/>
          <w:color w:val="404040" w:themeColor="text1" w:themeTint="BF"/>
          <w:sz w:val="24"/>
          <w:szCs w:val="24"/>
        </w:rPr>
        <w:t>t</w:t>
      </w:r>
      <w:r w:rsidR="000576E8">
        <w:rPr>
          <w:rFonts w:ascii="Arial" w:hAnsi="Arial" w:cs="Arial"/>
          <w:color w:val="404040" w:themeColor="text1" w:themeTint="BF"/>
          <w:sz w:val="24"/>
          <w:szCs w:val="24"/>
        </w:rPr>
        <w:t xml:space="preserve">raining. </w:t>
      </w:r>
    </w:p>
    <w:p w:rsidR="008C5543" w:rsidRDefault="008C5543" w:rsidP="00496326">
      <w:pPr>
        <w:spacing w:line="276" w:lineRule="auto"/>
        <w:rPr>
          <w:rFonts w:ascii="Arial" w:hAnsi="Arial" w:cs="Arial"/>
          <w:color w:val="404040" w:themeColor="text1" w:themeTint="BF"/>
          <w:sz w:val="24"/>
          <w:szCs w:val="24"/>
        </w:rPr>
      </w:pPr>
    </w:p>
    <w:p w:rsidR="00EA022F" w:rsidRDefault="00EA022F" w:rsidP="00496326">
      <w:pPr>
        <w:spacing w:line="276" w:lineRule="auto"/>
        <w:rPr>
          <w:rFonts w:ascii="Arial" w:hAnsi="Arial" w:cs="Arial"/>
          <w:color w:val="404040" w:themeColor="text1" w:themeTint="BF"/>
          <w:sz w:val="24"/>
          <w:szCs w:val="24"/>
        </w:rPr>
      </w:pPr>
    </w:p>
    <w:p w:rsidR="00496326" w:rsidRDefault="002113FC" w:rsidP="00496326">
      <w:pPr>
        <w:pStyle w:val="NICCYBodyText"/>
        <w:numPr>
          <w:ilvl w:val="0"/>
          <w:numId w:val="10"/>
        </w:numPr>
        <w:spacing w:line="276" w:lineRule="auto"/>
        <w:rPr>
          <w:b/>
          <w:color w:val="FF0000"/>
          <w:sz w:val="28"/>
          <w:szCs w:val="28"/>
        </w:rPr>
      </w:pPr>
      <w:r w:rsidRPr="002113FC">
        <w:rPr>
          <w:b/>
          <w:color w:val="FF0000"/>
          <w:sz w:val="28"/>
          <w:szCs w:val="28"/>
        </w:rPr>
        <w:t xml:space="preserve">Inquiry into post Special Educational Need Provision in education, employment and training for those with Learning Disabilities </w:t>
      </w:r>
    </w:p>
    <w:p w:rsidR="00606C39" w:rsidRDefault="00606C39" w:rsidP="00496326">
      <w:pPr>
        <w:pStyle w:val="NICCYBodyText"/>
        <w:spacing w:line="276" w:lineRule="auto"/>
        <w:rPr>
          <w:color w:val="404040" w:themeColor="text1" w:themeTint="BF"/>
        </w:rPr>
      </w:pPr>
    </w:p>
    <w:p w:rsidR="000969EA" w:rsidRDefault="000576E8" w:rsidP="00496326">
      <w:pPr>
        <w:pStyle w:val="NICCYBodyText"/>
        <w:spacing w:line="276" w:lineRule="auto"/>
        <w:rPr>
          <w:color w:val="404040" w:themeColor="text1" w:themeTint="BF"/>
        </w:rPr>
      </w:pPr>
      <w:r>
        <w:rPr>
          <w:color w:val="404040" w:themeColor="text1" w:themeTint="BF"/>
        </w:rPr>
        <w:t xml:space="preserve">NICCY welcomes the Committee Inquiry and submitted evidence </w:t>
      </w:r>
      <w:r w:rsidR="001F343A">
        <w:rPr>
          <w:color w:val="404040" w:themeColor="text1" w:themeTint="BF"/>
        </w:rPr>
        <w:t xml:space="preserve">to this </w:t>
      </w:r>
      <w:r>
        <w:rPr>
          <w:color w:val="404040" w:themeColor="text1" w:themeTint="BF"/>
        </w:rPr>
        <w:t>in March 2014 (see Appendix One)</w:t>
      </w:r>
      <w:r w:rsidR="00C870EF">
        <w:rPr>
          <w:color w:val="404040" w:themeColor="text1" w:themeTint="BF"/>
        </w:rPr>
        <w:t xml:space="preserve"> which </w:t>
      </w:r>
      <w:r w:rsidR="00283F69">
        <w:rPr>
          <w:color w:val="404040" w:themeColor="text1" w:themeTint="BF"/>
        </w:rPr>
        <w:t xml:space="preserve">highlighted </w:t>
      </w:r>
      <w:r w:rsidR="00236904">
        <w:rPr>
          <w:color w:val="404040" w:themeColor="text1" w:themeTint="BF"/>
        </w:rPr>
        <w:t xml:space="preserve">how young people’s access to </w:t>
      </w:r>
      <w:r w:rsidR="001F343A">
        <w:rPr>
          <w:color w:val="404040" w:themeColor="text1" w:themeTint="BF"/>
        </w:rPr>
        <w:t xml:space="preserve">provision </w:t>
      </w:r>
      <w:r w:rsidR="00236904">
        <w:rPr>
          <w:color w:val="404040" w:themeColor="text1" w:themeTint="BF"/>
        </w:rPr>
        <w:t>can be mediated by where they live, their age, the school they attend</w:t>
      </w:r>
      <w:r w:rsidR="001F343A">
        <w:rPr>
          <w:color w:val="404040" w:themeColor="text1" w:themeTint="BF"/>
        </w:rPr>
        <w:t>ed</w:t>
      </w:r>
      <w:r w:rsidR="00236904">
        <w:rPr>
          <w:color w:val="404040" w:themeColor="text1" w:themeTint="BF"/>
        </w:rPr>
        <w:t xml:space="preserve"> and the</w:t>
      </w:r>
      <w:r w:rsidR="00CB7646">
        <w:rPr>
          <w:color w:val="404040" w:themeColor="text1" w:themeTint="BF"/>
        </w:rPr>
        <w:t xml:space="preserve"> nature of their </w:t>
      </w:r>
      <w:r w:rsidR="00236904">
        <w:rPr>
          <w:color w:val="404040" w:themeColor="text1" w:themeTint="BF"/>
        </w:rPr>
        <w:t>learning disabilit</w:t>
      </w:r>
      <w:r w:rsidR="001F343A">
        <w:rPr>
          <w:color w:val="404040" w:themeColor="text1" w:themeTint="BF"/>
        </w:rPr>
        <w:t xml:space="preserve">y </w:t>
      </w:r>
      <w:r w:rsidR="00236904">
        <w:rPr>
          <w:color w:val="404040" w:themeColor="text1" w:themeTint="BF"/>
        </w:rPr>
        <w:t xml:space="preserve">rather than their needs and best interests. </w:t>
      </w:r>
      <w:r w:rsidR="001F343A">
        <w:rPr>
          <w:color w:val="404040" w:themeColor="text1" w:themeTint="BF"/>
        </w:rPr>
        <w:t>NICCY’s commissioned ‘</w:t>
      </w:r>
      <w:r w:rsidR="00CB7646">
        <w:rPr>
          <w:color w:val="404040" w:themeColor="text1" w:themeTint="BF"/>
        </w:rPr>
        <w:t>Review of Transitions to Adult Services for Young People with Learning Disabilities</w:t>
      </w:r>
      <w:r w:rsidR="001F343A">
        <w:rPr>
          <w:color w:val="404040" w:themeColor="text1" w:themeTint="BF"/>
        </w:rPr>
        <w:t>’</w:t>
      </w:r>
      <w:r w:rsidR="00CB7646">
        <w:rPr>
          <w:color w:val="404040" w:themeColor="text1" w:themeTint="BF"/>
        </w:rPr>
        <w:t xml:space="preserve"> noted that </w:t>
      </w:r>
      <w:r w:rsidR="0069120E">
        <w:rPr>
          <w:color w:val="404040" w:themeColor="text1" w:themeTint="BF"/>
        </w:rPr>
        <w:t xml:space="preserve">transition arrangements and </w:t>
      </w:r>
      <w:r w:rsidR="00CB7646" w:rsidRPr="00CB7646">
        <w:rPr>
          <w:color w:val="404040" w:themeColor="text1" w:themeTint="BF"/>
        </w:rPr>
        <w:t>opportunities available</w:t>
      </w:r>
      <w:r w:rsidR="00CB7646">
        <w:rPr>
          <w:color w:val="404040" w:themeColor="text1" w:themeTint="BF"/>
        </w:rPr>
        <w:t xml:space="preserve">, including in relation to further education and training, </w:t>
      </w:r>
      <w:r w:rsidR="00CB7646" w:rsidRPr="00CB7646">
        <w:rPr>
          <w:color w:val="404040" w:themeColor="text1" w:themeTint="BF"/>
        </w:rPr>
        <w:t>vary considerably from area to area</w:t>
      </w:r>
      <w:r w:rsidR="001F343A">
        <w:rPr>
          <w:color w:val="404040" w:themeColor="text1" w:themeTint="BF"/>
        </w:rPr>
        <w:t>.</w:t>
      </w:r>
      <w:r w:rsidR="00375D56">
        <w:rPr>
          <w:color w:val="404040" w:themeColor="text1" w:themeTint="BF"/>
        </w:rPr>
        <w:t xml:space="preserve"> </w:t>
      </w:r>
    </w:p>
    <w:p w:rsidR="000969EA" w:rsidRDefault="000969EA" w:rsidP="00496326">
      <w:pPr>
        <w:pStyle w:val="NICCYBodyText"/>
        <w:spacing w:line="276" w:lineRule="auto"/>
        <w:rPr>
          <w:color w:val="404040" w:themeColor="text1" w:themeTint="BF"/>
        </w:rPr>
      </w:pPr>
    </w:p>
    <w:p w:rsidR="00283F69" w:rsidRDefault="00007CEA" w:rsidP="00496326">
      <w:pPr>
        <w:pStyle w:val="NICCYBodyText"/>
        <w:spacing w:line="276" w:lineRule="auto"/>
        <w:rPr>
          <w:color w:val="404040" w:themeColor="text1" w:themeTint="BF"/>
        </w:rPr>
      </w:pPr>
      <w:r>
        <w:rPr>
          <w:color w:val="404040" w:themeColor="text1" w:themeTint="BF"/>
        </w:rPr>
        <w:t xml:space="preserve">In relation to transitions, </w:t>
      </w:r>
      <w:r w:rsidR="007B0078">
        <w:rPr>
          <w:color w:val="404040" w:themeColor="text1" w:themeTint="BF"/>
        </w:rPr>
        <w:t xml:space="preserve">our submission drew </w:t>
      </w:r>
      <w:r w:rsidR="00CB7646">
        <w:rPr>
          <w:color w:val="404040" w:themeColor="text1" w:themeTint="BF"/>
        </w:rPr>
        <w:t xml:space="preserve">attention to the need for </w:t>
      </w:r>
      <w:r w:rsidR="005F04F7">
        <w:rPr>
          <w:color w:val="404040" w:themeColor="text1" w:themeTint="BF"/>
        </w:rPr>
        <w:t xml:space="preserve">a single </w:t>
      </w:r>
      <w:r w:rsidR="00283F69">
        <w:rPr>
          <w:color w:val="404040" w:themeColor="text1" w:themeTint="BF"/>
        </w:rPr>
        <w:t>integrated, child centred planning process which takes proper account of the views</w:t>
      </w:r>
      <w:r w:rsidR="0069120E">
        <w:rPr>
          <w:color w:val="404040" w:themeColor="text1" w:themeTint="BF"/>
        </w:rPr>
        <w:t xml:space="preserve"> of the child</w:t>
      </w:r>
      <w:r w:rsidR="00283F69">
        <w:rPr>
          <w:color w:val="404040" w:themeColor="text1" w:themeTint="BF"/>
        </w:rPr>
        <w:t xml:space="preserve">. It is disappointing that the draft Special Education Needs Bill does not </w:t>
      </w:r>
      <w:r w:rsidR="005F04F7">
        <w:rPr>
          <w:color w:val="404040" w:themeColor="text1" w:themeTint="BF"/>
        </w:rPr>
        <w:t>address the critical issue of transition</w:t>
      </w:r>
      <w:r w:rsidR="00D250CC">
        <w:rPr>
          <w:color w:val="404040" w:themeColor="text1" w:themeTint="BF"/>
        </w:rPr>
        <w:t>s</w:t>
      </w:r>
      <w:r w:rsidR="005F04F7">
        <w:rPr>
          <w:color w:val="404040" w:themeColor="text1" w:themeTint="BF"/>
        </w:rPr>
        <w:t xml:space="preserve"> in detail and Members may wish to raise this directly with the Committee for Education.  </w:t>
      </w:r>
    </w:p>
    <w:p w:rsidR="00496326" w:rsidRDefault="00496326" w:rsidP="00496326">
      <w:pPr>
        <w:pStyle w:val="NICCYBodyText"/>
        <w:spacing w:line="276" w:lineRule="auto"/>
        <w:rPr>
          <w:color w:val="404040" w:themeColor="text1" w:themeTint="BF"/>
        </w:rPr>
      </w:pPr>
    </w:p>
    <w:p w:rsidR="004608D4" w:rsidRDefault="004F2BB6" w:rsidP="00496326">
      <w:pPr>
        <w:pStyle w:val="NICCYBodyText"/>
        <w:spacing w:line="276" w:lineRule="auto"/>
        <w:rPr>
          <w:color w:val="404040" w:themeColor="text1" w:themeTint="BF"/>
        </w:rPr>
      </w:pPr>
      <w:r>
        <w:rPr>
          <w:color w:val="404040" w:themeColor="text1" w:themeTint="BF"/>
        </w:rPr>
        <w:t xml:space="preserve">In addition to this, NICCY would note </w:t>
      </w:r>
      <w:r w:rsidR="00FF721C">
        <w:rPr>
          <w:color w:val="404040" w:themeColor="text1" w:themeTint="BF"/>
        </w:rPr>
        <w:t xml:space="preserve">concerns identified in </w:t>
      </w:r>
      <w:r w:rsidR="004608D4">
        <w:rPr>
          <w:color w:val="404040" w:themeColor="text1" w:themeTint="BF"/>
        </w:rPr>
        <w:t xml:space="preserve">our </w:t>
      </w:r>
      <w:r w:rsidR="00FF721C">
        <w:rPr>
          <w:color w:val="404040" w:themeColor="text1" w:themeTint="BF"/>
        </w:rPr>
        <w:t xml:space="preserve">Review and through our Legal and Investigations function that where a young person with a statement of special </w:t>
      </w:r>
      <w:r w:rsidR="007B0078">
        <w:rPr>
          <w:color w:val="404040" w:themeColor="text1" w:themeTint="BF"/>
        </w:rPr>
        <w:t xml:space="preserve">educational </w:t>
      </w:r>
      <w:r w:rsidR="00FF721C">
        <w:rPr>
          <w:color w:val="404040" w:themeColor="text1" w:themeTint="BF"/>
        </w:rPr>
        <w:t>needs moves from education into further education, for example at age 16 years, the statement and its provisions cease. This can result in two youn</w:t>
      </w:r>
      <w:r w:rsidR="004608D4">
        <w:rPr>
          <w:color w:val="404040" w:themeColor="text1" w:themeTint="BF"/>
        </w:rPr>
        <w:t xml:space="preserve">g people of the same age with similar disabilities undertaking the same course </w:t>
      </w:r>
      <w:r w:rsidR="000B04E4">
        <w:rPr>
          <w:color w:val="404040" w:themeColor="text1" w:themeTint="BF"/>
        </w:rPr>
        <w:t>yet</w:t>
      </w:r>
      <w:r w:rsidR="007B0078">
        <w:rPr>
          <w:color w:val="404040" w:themeColor="text1" w:themeTint="BF"/>
        </w:rPr>
        <w:t xml:space="preserve"> </w:t>
      </w:r>
      <w:r w:rsidR="004608D4">
        <w:rPr>
          <w:color w:val="404040" w:themeColor="text1" w:themeTint="BF"/>
        </w:rPr>
        <w:t xml:space="preserve">having access to significantly </w:t>
      </w:r>
      <w:r w:rsidR="007B0078">
        <w:rPr>
          <w:color w:val="404040" w:themeColor="text1" w:themeTint="BF"/>
        </w:rPr>
        <w:t>different</w:t>
      </w:r>
      <w:r w:rsidR="004608D4">
        <w:rPr>
          <w:color w:val="404040" w:themeColor="text1" w:themeTint="BF"/>
        </w:rPr>
        <w:t xml:space="preserve"> levels of support</w:t>
      </w:r>
      <w:r w:rsidR="000B04E4">
        <w:rPr>
          <w:color w:val="404040" w:themeColor="text1" w:themeTint="BF"/>
        </w:rPr>
        <w:t>,</w:t>
      </w:r>
      <w:r w:rsidR="007B0078">
        <w:rPr>
          <w:color w:val="404040" w:themeColor="text1" w:themeTint="BF"/>
        </w:rPr>
        <w:t xml:space="preserve"> </w:t>
      </w:r>
      <w:r w:rsidR="000B04E4">
        <w:rPr>
          <w:color w:val="404040" w:themeColor="text1" w:themeTint="BF"/>
        </w:rPr>
        <w:t>w</w:t>
      </w:r>
      <w:r w:rsidR="00BE1C82">
        <w:rPr>
          <w:color w:val="404040" w:themeColor="text1" w:themeTint="BF"/>
        </w:rPr>
        <w:t xml:space="preserve">hereby </w:t>
      </w:r>
      <w:r w:rsidR="000B04E4">
        <w:rPr>
          <w:color w:val="404040" w:themeColor="text1" w:themeTint="BF"/>
        </w:rPr>
        <w:t xml:space="preserve">the young person in </w:t>
      </w:r>
      <w:r w:rsidR="001919B8">
        <w:rPr>
          <w:color w:val="404040" w:themeColor="text1" w:themeTint="BF"/>
        </w:rPr>
        <w:t xml:space="preserve">the </w:t>
      </w:r>
      <w:r w:rsidR="000B04E4">
        <w:rPr>
          <w:color w:val="404040" w:themeColor="text1" w:themeTint="BF"/>
        </w:rPr>
        <w:t>education setting ha</w:t>
      </w:r>
      <w:r w:rsidR="00BE1C82">
        <w:rPr>
          <w:color w:val="404040" w:themeColor="text1" w:themeTint="BF"/>
        </w:rPr>
        <w:t>s</w:t>
      </w:r>
      <w:r w:rsidR="000B04E4">
        <w:rPr>
          <w:color w:val="404040" w:themeColor="text1" w:themeTint="BF"/>
        </w:rPr>
        <w:t xml:space="preserve"> legally enforceable rights which are not extended to the young person in further education. </w:t>
      </w:r>
    </w:p>
    <w:p w:rsidR="00EA022F" w:rsidRDefault="00831DFD" w:rsidP="00496326">
      <w:pPr>
        <w:pStyle w:val="NICCYBodyText"/>
        <w:spacing w:line="276" w:lineRule="auto"/>
        <w:rPr>
          <w:color w:val="404040" w:themeColor="text1" w:themeTint="BF"/>
        </w:rPr>
      </w:pPr>
      <w:r>
        <w:rPr>
          <w:color w:val="404040" w:themeColor="text1" w:themeTint="BF"/>
        </w:rPr>
        <w:t xml:space="preserve"> </w:t>
      </w:r>
    </w:p>
    <w:p w:rsidR="00496326" w:rsidRDefault="00520A58" w:rsidP="00496326">
      <w:pPr>
        <w:pStyle w:val="NICCYBodyText"/>
        <w:numPr>
          <w:ilvl w:val="0"/>
          <w:numId w:val="10"/>
        </w:numPr>
        <w:spacing w:line="276" w:lineRule="auto"/>
        <w:rPr>
          <w:b/>
          <w:color w:val="FF0000"/>
          <w:sz w:val="28"/>
          <w:szCs w:val="28"/>
        </w:rPr>
      </w:pPr>
      <w:r>
        <w:rPr>
          <w:b/>
          <w:color w:val="FF0000"/>
          <w:sz w:val="28"/>
          <w:szCs w:val="28"/>
        </w:rPr>
        <w:t>Young People who Need Education, Employment or T</w:t>
      </w:r>
      <w:r w:rsidR="00496326">
        <w:rPr>
          <w:b/>
          <w:color w:val="FF0000"/>
          <w:sz w:val="28"/>
          <w:szCs w:val="28"/>
        </w:rPr>
        <w:t xml:space="preserve">raining </w:t>
      </w:r>
    </w:p>
    <w:p w:rsidR="00496326" w:rsidRPr="00EA022F" w:rsidRDefault="00496326" w:rsidP="00EA022F">
      <w:pPr>
        <w:pStyle w:val="NICCYBodyText"/>
        <w:spacing w:line="276" w:lineRule="auto"/>
        <w:rPr>
          <w:color w:val="404040" w:themeColor="text1" w:themeTint="BF"/>
        </w:rPr>
      </w:pPr>
    </w:p>
    <w:p w:rsidR="00EA022F" w:rsidRDefault="00EA022F" w:rsidP="00EA022F">
      <w:pPr>
        <w:pStyle w:val="NICCYBodyText"/>
        <w:spacing w:line="276" w:lineRule="auto"/>
        <w:rPr>
          <w:color w:val="404040" w:themeColor="text1" w:themeTint="BF"/>
        </w:rPr>
      </w:pPr>
      <w:r w:rsidRPr="00EA022F">
        <w:rPr>
          <w:color w:val="404040" w:themeColor="text1" w:themeTint="BF"/>
        </w:rPr>
        <w:t xml:space="preserve">NICCY </w:t>
      </w:r>
      <w:r>
        <w:rPr>
          <w:color w:val="404040" w:themeColor="text1" w:themeTint="BF"/>
        </w:rPr>
        <w:t xml:space="preserve">commends the Committee for the substantial work it has undertaken in addressing this issue.  The Inquiry and the </w:t>
      </w:r>
      <w:r w:rsidR="00B82595">
        <w:rPr>
          <w:color w:val="404040" w:themeColor="text1" w:themeTint="BF"/>
        </w:rPr>
        <w:t>NI Executive’s</w:t>
      </w:r>
      <w:r>
        <w:rPr>
          <w:color w:val="404040" w:themeColor="text1" w:themeTint="BF"/>
        </w:rPr>
        <w:t xml:space="preserve"> Pathways to Success Strategy outlined a framework by which Northern Ireland could begin to </w:t>
      </w:r>
      <w:r w:rsidR="00B82595">
        <w:rPr>
          <w:color w:val="404040" w:themeColor="text1" w:themeTint="BF"/>
        </w:rPr>
        <w:t>ensure better outcomes for young people who need education, employment and training.  However we have been disappointed with the piecemeal implementation of the Pathways strategy.  Despite the fact that it was launched in June 2012 and the inter-sectoral advisory group first met in January the following year NICCY is not aware that an implementation plan was published nor a progress report.  It is deeply regrettable that the potential that this strategy presented has not been realised.</w:t>
      </w:r>
    </w:p>
    <w:p w:rsidR="00B82595" w:rsidRDefault="00B82595" w:rsidP="00EA022F">
      <w:pPr>
        <w:pStyle w:val="NICCYBodyText"/>
        <w:spacing w:line="276" w:lineRule="auto"/>
        <w:rPr>
          <w:color w:val="404040" w:themeColor="text1" w:themeTint="BF"/>
        </w:rPr>
      </w:pPr>
    </w:p>
    <w:p w:rsidR="00B82595" w:rsidRPr="00EA022F" w:rsidRDefault="00B82595" w:rsidP="00EA022F">
      <w:pPr>
        <w:pStyle w:val="NICCYBodyText"/>
        <w:spacing w:line="276" w:lineRule="auto"/>
        <w:rPr>
          <w:color w:val="404040" w:themeColor="text1" w:themeTint="BF"/>
        </w:rPr>
      </w:pPr>
      <w:r>
        <w:rPr>
          <w:color w:val="404040" w:themeColor="text1" w:themeTint="BF"/>
        </w:rPr>
        <w:t xml:space="preserve">It is not within NICCY’s remit to discuss the funding decisions that government makes but we are concerned with the impacts of such decisions on the lives of children and young people.  We have been impressed by the committee’s robust examination of DEL’s processes with regards to ESF and the work that it has commenced with the withdrawal of Pathways EMA.  The Commissioner </w:t>
      </w:r>
      <w:r w:rsidR="00520A58">
        <w:rPr>
          <w:color w:val="404040" w:themeColor="text1" w:themeTint="BF"/>
        </w:rPr>
        <w:t xml:space="preserve">is deeply disappointed that this innovative allowance has been withdrawn with little formal discussion or debate.  The introduction of this allowance was a direct result of the committee working with young people and it is regrettable that the department chose to remove it without recourse to both.  </w:t>
      </w:r>
    </w:p>
    <w:p w:rsidR="00B178FF" w:rsidRDefault="00B178FF" w:rsidP="00496326">
      <w:pPr>
        <w:pStyle w:val="NICCYBodyText"/>
        <w:spacing w:line="276" w:lineRule="auto"/>
        <w:ind w:left="360"/>
        <w:rPr>
          <w:b/>
          <w:color w:val="FF0000"/>
          <w:sz w:val="28"/>
          <w:szCs w:val="28"/>
        </w:rPr>
      </w:pPr>
    </w:p>
    <w:p w:rsidR="00496326" w:rsidRDefault="00496326" w:rsidP="00496326">
      <w:pPr>
        <w:pStyle w:val="NICCYBodyText"/>
        <w:numPr>
          <w:ilvl w:val="0"/>
          <w:numId w:val="10"/>
        </w:numPr>
        <w:spacing w:line="276" w:lineRule="auto"/>
        <w:rPr>
          <w:b/>
          <w:color w:val="FF0000"/>
          <w:sz w:val="28"/>
          <w:szCs w:val="28"/>
        </w:rPr>
      </w:pPr>
      <w:r>
        <w:rPr>
          <w:b/>
          <w:color w:val="FF0000"/>
          <w:sz w:val="28"/>
          <w:szCs w:val="28"/>
        </w:rPr>
        <w:t xml:space="preserve">Functions of the Department for Employment and Learning  </w:t>
      </w:r>
    </w:p>
    <w:p w:rsidR="00606C39" w:rsidRDefault="00606C39" w:rsidP="00496326">
      <w:pPr>
        <w:spacing w:line="276" w:lineRule="auto"/>
        <w:rPr>
          <w:rFonts w:ascii="Arial" w:hAnsi="Arial" w:cs="Arial"/>
          <w:color w:val="404040" w:themeColor="text1" w:themeTint="BF"/>
          <w:sz w:val="24"/>
          <w:szCs w:val="24"/>
        </w:rPr>
      </w:pPr>
    </w:p>
    <w:p w:rsidR="00831DFD" w:rsidRDefault="00B2143F" w:rsidP="00496326">
      <w:p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NICCY would like to take this opportunity to note that</w:t>
      </w:r>
      <w:r w:rsidR="00784EC9">
        <w:rPr>
          <w:rFonts w:ascii="Arial" w:hAnsi="Arial" w:cs="Arial"/>
          <w:color w:val="404040" w:themeColor="text1" w:themeTint="BF"/>
          <w:sz w:val="24"/>
          <w:szCs w:val="24"/>
        </w:rPr>
        <w:t xml:space="preserve"> </w:t>
      </w:r>
      <w:r w:rsidR="00A6796B">
        <w:rPr>
          <w:rFonts w:ascii="Arial" w:hAnsi="Arial" w:cs="Arial"/>
          <w:color w:val="404040" w:themeColor="text1" w:themeTint="BF"/>
          <w:sz w:val="24"/>
          <w:szCs w:val="24"/>
        </w:rPr>
        <w:t xml:space="preserve">careful </w:t>
      </w:r>
      <w:r w:rsidR="00784EC9">
        <w:rPr>
          <w:rFonts w:ascii="Arial" w:hAnsi="Arial" w:cs="Arial"/>
          <w:color w:val="404040" w:themeColor="text1" w:themeTint="BF"/>
          <w:sz w:val="24"/>
          <w:szCs w:val="24"/>
        </w:rPr>
        <w:t xml:space="preserve">consideration must be given to </w:t>
      </w:r>
      <w:r w:rsidR="009125B3">
        <w:rPr>
          <w:rFonts w:ascii="Arial" w:hAnsi="Arial" w:cs="Arial"/>
          <w:color w:val="404040" w:themeColor="text1" w:themeTint="BF"/>
          <w:sz w:val="24"/>
          <w:szCs w:val="24"/>
        </w:rPr>
        <w:t>proposals to restruc</w:t>
      </w:r>
      <w:r w:rsidR="00F147F0">
        <w:rPr>
          <w:rFonts w:ascii="Arial" w:hAnsi="Arial" w:cs="Arial"/>
          <w:color w:val="404040" w:themeColor="text1" w:themeTint="BF"/>
          <w:sz w:val="24"/>
          <w:szCs w:val="24"/>
        </w:rPr>
        <w:t xml:space="preserve">ture </w:t>
      </w:r>
      <w:r w:rsidR="00010AA5">
        <w:rPr>
          <w:rFonts w:ascii="Arial" w:hAnsi="Arial" w:cs="Arial"/>
          <w:color w:val="404040" w:themeColor="text1" w:themeTint="BF"/>
          <w:sz w:val="24"/>
          <w:szCs w:val="24"/>
        </w:rPr>
        <w:t xml:space="preserve">government functions relating to children and young people. We have consistently reported on how poor collaboration and cooperation across departments negatively impacts on </w:t>
      </w:r>
      <w:r w:rsidR="00CE2A49">
        <w:rPr>
          <w:rFonts w:ascii="Arial" w:hAnsi="Arial" w:cs="Arial"/>
          <w:color w:val="404040" w:themeColor="text1" w:themeTint="BF"/>
          <w:sz w:val="24"/>
          <w:szCs w:val="24"/>
        </w:rPr>
        <w:t xml:space="preserve">service delivery </w:t>
      </w:r>
      <w:r w:rsidR="000969EA">
        <w:rPr>
          <w:rFonts w:ascii="Arial" w:hAnsi="Arial" w:cs="Arial"/>
          <w:color w:val="404040" w:themeColor="text1" w:themeTint="BF"/>
          <w:sz w:val="24"/>
          <w:szCs w:val="24"/>
        </w:rPr>
        <w:t xml:space="preserve">for </w:t>
      </w:r>
      <w:r w:rsidR="00010AA5">
        <w:rPr>
          <w:rFonts w:ascii="Arial" w:hAnsi="Arial" w:cs="Arial"/>
          <w:color w:val="404040" w:themeColor="text1" w:themeTint="BF"/>
          <w:sz w:val="24"/>
          <w:szCs w:val="24"/>
        </w:rPr>
        <w:t xml:space="preserve">children and young people. </w:t>
      </w:r>
      <w:r w:rsidR="00745227">
        <w:rPr>
          <w:rFonts w:ascii="Arial" w:hAnsi="Arial" w:cs="Arial"/>
          <w:color w:val="404040" w:themeColor="text1" w:themeTint="BF"/>
          <w:sz w:val="24"/>
          <w:szCs w:val="24"/>
        </w:rPr>
        <w:t>The res</w:t>
      </w:r>
      <w:r w:rsidR="00F147F0">
        <w:rPr>
          <w:rFonts w:ascii="Arial" w:hAnsi="Arial" w:cs="Arial"/>
          <w:color w:val="404040" w:themeColor="text1" w:themeTint="BF"/>
          <w:sz w:val="24"/>
          <w:szCs w:val="24"/>
        </w:rPr>
        <w:t xml:space="preserve">haping </w:t>
      </w:r>
      <w:r w:rsidR="00745227">
        <w:rPr>
          <w:rFonts w:ascii="Arial" w:hAnsi="Arial" w:cs="Arial"/>
          <w:color w:val="404040" w:themeColor="text1" w:themeTint="BF"/>
          <w:sz w:val="24"/>
          <w:szCs w:val="24"/>
        </w:rPr>
        <w:t xml:space="preserve">of </w:t>
      </w:r>
      <w:r w:rsidR="00F147F0">
        <w:rPr>
          <w:rFonts w:ascii="Arial" w:hAnsi="Arial" w:cs="Arial"/>
          <w:color w:val="404040" w:themeColor="text1" w:themeTint="BF"/>
          <w:sz w:val="24"/>
          <w:szCs w:val="24"/>
        </w:rPr>
        <w:t>departmental portfolios p</w:t>
      </w:r>
      <w:r w:rsidR="00745227">
        <w:rPr>
          <w:rFonts w:ascii="Arial" w:hAnsi="Arial" w:cs="Arial"/>
          <w:color w:val="404040" w:themeColor="text1" w:themeTint="BF"/>
          <w:sz w:val="24"/>
          <w:szCs w:val="24"/>
        </w:rPr>
        <w:t xml:space="preserve">resents an important opportunity for government to </w:t>
      </w:r>
      <w:r w:rsidR="00A6796B">
        <w:rPr>
          <w:rFonts w:ascii="Arial" w:hAnsi="Arial" w:cs="Arial"/>
          <w:color w:val="404040" w:themeColor="text1" w:themeTint="BF"/>
          <w:sz w:val="24"/>
          <w:szCs w:val="24"/>
        </w:rPr>
        <w:t xml:space="preserve">address </w:t>
      </w:r>
      <w:r w:rsidR="00F66968">
        <w:rPr>
          <w:rFonts w:ascii="Arial" w:hAnsi="Arial" w:cs="Arial"/>
          <w:color w:val="404040" w:themeColor="text1" w:themeTint="BF"/>
          <w:sz w:val="24"/>
          <w:szCs w:val="24"/>
        </w:rPr>
        <w:t xml:space="preserve">how </w:t>
      </w:r>
      <w:r w:rsidR="00745227">
        <w:rPr>
          <w:rFonts w:ascii="Arial" w:hAnsi="Arial" w:cs="Arial"/>
          <w:color w:val="404040" w:themeColor="text1" w:themeTint="BF"/>
          <w:sz w:val="24"/>
          <w:szCs w:val="24"/>
        </w:rPr>
        <w:t>its statutory responsibilities for children and families</w:t>
      </w:r>
      <w:r w:rsidR="00F66968">
        <w:rPr>
          <w:rFonts w:ascii="Arial" w:hAnsi="Arial" w:cs="Arial"/>
          <w:color w:val="404040" w:themeColor="text1" w:themeTint="BF"/>
          <w:sz w:val="24"/>
          <w:szCs w:val="24"/>
        </w:rPr>
        <w:t xml:space="preserve"> can be most effectively</w:t>
      </w:r>
      <w:r w:rsidR="001E4874">
        <w:rPr>
          <w:rFonts w:ascii="Arial" w:hAnsi="Arial" w:cs="Arial"/>
          <w:color w:val="404040" w:themeColor="text1" w:themeTint="BF"/>
          <w:sz w:val="24"/>
          <w:szCs w:val="24"/>
        </w:rPr>
        <w:t xml:space="preserve"> structured</w:t>
      </w:r>
      <w:r w:rsidR="00745227">
        <w:rPr>
          <w:rFonts w:ascii="Arial" w:hAnsi="Arial" w:cs="Arial"/>
          <w:color w:val="404040" w:themeColor="text1" w:themeTint="BF"/>
          <w:sz w:val="24"/>
          <w:szCs w:val="24"/>
        </w:rPr>
        <w:t xml:space="preserve">.  </w:t>
      </w:r>
    </w:p>
    <w:p w:rsidR="00831DFD" w:rsidRDefault="00831DFD">
      <w:pPr>
        <w:rPr>
          <w:rFonts w:ascii="Arial" w:hAnsi="Arial" w:cs="Arial"/>
          <w:color w:val="404040" w:themeColor="text1" w:themeTint="BF"/>
          <w:sz w:val="24"/>
          <w:szCs w:val="24"/>
        </w:rPr>
      </w:pPr>
      <w:r>
        <w:rPr>
          <w:rFonts w:ascii="Arial" w:hAnsi="Arial" w:cs="Arial"/>
          <w:color w:val="404040" w:themeColor="text1" w:themeTint="BF"/>
          <w:sz w:val="24"/>
          <w:szCs w:val="24"/>
        </w:rPr>
        <w:br w:type="page"/>
      </w:r>
    </w:p>
    <w:p w:rsidR="00010AA5" w:rsidRDefault="00010AA5" w:rsidP="00496326">
      <w:pPr>
        <w:spacing w:line="276" w:lineRule="auto"/>
        <w:rPr>
          <w:rFonts w:ascii="Arial" w:hAnsi="Arial" w:cs="Arial"/>
          <w:color w:val="404040" w:themeColor="text1" w:themeTint="BF"/>
          <w:sz w:val="24"/>
          <w:szCs w:val="24"/>
        </w:rPr>
      </w:pPr>
    </w:p>
    <w:p w:rsidR="006D66B8" w:rsidRDefault="001170DC" w:rsidP="003608BD">
      <w:pPr>
        <w:pStyle w:val="NICCYBodyText"/>
        <w:spacing w:line="276" w:lineRule="auto"/>
        <w:rPr>
          <w:b/>
          <w:color w:val="FF0000"/>
          <w:sz w:val="36"/>
          <w:szCs w:val="36"/>
        </w:rPr>
      </w:pPr>
      <w:r>
        <w:rPr>
          <w:b/>
          <w:color w:val="FF0000"/>
          <w:sz w:val="36"/>
          <w:szCs w:val="36"/>
        </w:rPr>
        <w:t xml:space="preserve">Appendix </w:t>
      </w:r>
      <w:r w:rsidR="000576E8">
        <w:rPr>
          <w:b/>
          <w:color w:val="FF0000"/>
          <w:sz w:val="36"/>
          <w:szCs w:val="36"/>
        </w:rPr>
        <w:t>One</w:t>
      </w:r>
    </w:p>
    <w:p w:rsidR="00484E2A" w:rsidRDefault="00484E2A" w:rsidP="003608BD">
      <w:pPr>
        <w:pStyle w:val="NICCYBodyText"/>
        <w:spacing w:line="276" w:lineRule="auto"/>
        <w:rPr>
          <w:b/>
          <w:i/>
          <w:color w:val="FF0000"/>
          <w:sz w:val="36"/>
          <w:szCs w:val="36"/>
        </w:rPr>
      </w:pPr>
      <w:r w:rsidRPr="00484E2A">
        <w:rPr>
          <w:b/>
          <w:i/>
          <w:color w:val="FF0000"/>
          <w:sz w:val="36"/>
          <w:szCs w:val="36"/>
        </w:rPr>
        <w:t>Submission from the Northern Ireland Commissioner for Children and Young People</w:t>
      </w:r>
    </w:p>
    <w:p w:rsidR="00F6279D" w:rsidRPr="005B0901" w:rsidRDefault="00F6279D" w:rsidP="003608BD">
      <w:pPr>
        <w:pStyle w:val="NICCYBodyText"/>
        <w:spacing w:line="276" w:lineRule="auto"/>
        <w:rPr>
          <w:color w:val="404040" w:themeColor="text1" w:themeTint="BF"/>
        </w:rPr>
      </w:pPr>
    </w:p>
    <w:p w:rsidR="00960B36" w:rsidRPr="00960B36" w:rsidRDefault="00960B36" w:rsidP="003608BD">
      <w:pPr>
        <w:pStyle w:val="NICCYBodyText"/>
        <w:spacing w:line="276" w:lineRule="auto"/>
        <w:rPr>
          <w:b/>
          <w:color w:val="FF0000"/>
          <w:sz w:val="28"/>
          <w:szCs w:val="28"/>
        </w:rPr>
      </w:pPr>
      <w:r w:rsidRPr="00960B36">
        <w:rPr>
          <w:b/>
          <w:color w:val="FF0000"/>
          <w:sz w:val="28"/>
          <w:szCs w:val="28"/>
        </w:rPr>
        <w:t>1.0</w:t>
      </w:r>
      <w:r w:rsidRPr="00960B36">
        <w:rPr>
          <w:b/>
          <w:color w:val="FF0000"/>
          <w:sz w:val="28"/>
          <w:szCs w:val="28"/>
        </w:rPr>
        <w:tab/>
      </w:r>
      <w:r w:rsidR="00370201">
        <w:rPr>
          <w:b/>
          <w:color w:val="FF0000"/>
          <w:sz w:val="28"/>
          <w:szCs w:val="28"/>
        </w:rPr>
        <w:t>Northern Ireland Commissioner for Children and Young People</w:t>
      </w:r>
    </w:p>
    <w:p w:rsidR="00850AC3" w:rsidRDefault="00850AC3" w:rsidP="003608BD">
      <w:pPr>
        <w:pStyle w:val="NICCYBodyText"/>
        <w:spacing w:line="276" w:lineRule="auto"/>
        <w:rPr>
          <w:color w:val="404040" w:themeColor="text1" w:themeTint="BF"/>
        </w:rPr>
      </w:pPr>
    </w:p>
    <w:p w:rsidR="00370201" w:rsidRPr="00370201" w:rsidRDefault="00370201" w:rsidP="00370201">
      <w:pPr>
        <w:spacing w:line="276" w:lineRule="auto"/>
        <w:rPr>
          <w:rFonts w:ascii="Arial" w:hAnsi="Arial" w:cs="Arial"/>
          <w:color w:val="404040" w:themeColor="text1" w:themeTint="BF"/>
          <w:sz w:val="24"/>
          <w:szCs w:val="24"/>
        </w:rPr>
      </w:pPr>
      <w:r w:rsidRPr="00370201">
        <w:rPr>
          <w:rFonts w:ascii="Arial" w:hAnsi="Arial" w:cs="Arial"/>
          <w:color w:val="404040" w:themeColor="text1" w:themeTint="BF"/>
          <w:sz w:val="24"/>
          <w:szCs w:val="24"/>
        </w:rPr>
        <w:t xml:space="preserve">The Office of the Commissioner for Children and Young People (NICCY) was created in accordance with ‘The Commissioner for Children and Young People (Northern Ireland) Order’ (2003) to safeguard and promote the rights and best interests of children and young people in Northern Ireland. </w:t>
      </w:r>
    </w:p>
    <w:p w:rsidR="00370201" w:rsidRPr="00370201" w:rsidRDefault="00370201" w:rsidP="00370201">
      <w:pPr>
        <w:spacing w:line="276" w:lineRule="auto"/>
        <w:rPr>
          <w:rFonts w:ascii="Arial" w:hAnsi="Arial" w:cs="Arial"/>
          <w:color w:val="404040" w:themeColor="text1" w:themeTint="BF"/>
          <w:sz w:val="24"/>
          <w:szCs w:val="24"/>
        </w:rPr>
      </w:pPr>
    </w:p>
    <w:p w:rsidR="00370201" w:rsidRPr="00370201" w:rsidRDefault="00370201" w:rsidP="00370201">
      <w:pPr>
        <w:spacing w:line="276" w:lineRule="auto"/>
        <w:rPr>
          <w:rFonts w:ascii="Arial" w:hAnsi="Arial" w:cs="Arial"/>
          <w:color w:val="404040" w:themeColor="text1" w:themeTint="BF"/>
          <w:sz w:val="24"/>
          <w:szCs w:val="24"/>
        </w:rPr>
      </w:pPr>
      <w:r w:rsidRPr="00370201">
        <w:rPr>
          <w:rFonts w:ascii="Arial" w:hAnsi="Arial" w:cs="Arial"/>
          <w:color w:val="404040" w:themeColor="text1" w:themeTint="BF"/>
          <w:sz w:val="24"/>
          <w:szCs w:val="24"/>
        </w:rPr>
        <w:t>Under Articles 7(2)(3) of this legislation, NICCY has a mandate to keep under review the adequacy and effectiveness of law, practice and services relating to the rights and best interests of children and young people by relevant authorities. The remit of the Office is children and young people from birth up to18 years, or 21 years of age if the young person is disabled or care experienced.</w:t>
      </w:r>
    </w:p>
    <w:p w:rsidR="00370201" w:rsidRPr="00370201" w:rsidRDefault="00370201" w:rsidP="00370201">
      <w:pPr>
        <w:spacing w:line="276" w:lineRule="auto"/>
        <w:rPr>
          <w:rFonts w:ascii="Arial" w:hAnsi="Arial" w:cs="Arial"/>
          <w:color w:val="404040" w:themeColor="text1" w:themeTint="BF"/>
          <w:sz w:val="24"/>
          <w:szCs w:val="24"/>
        </w:rPr>
      </w:pPr>
    </w:p>
    <w:p w:rsidR="00370201" w:rsidRPr="00370201" w:rsidRDefault="00370201" w:rsidP="00370201">
      <w:pPr>
        <w:spacing w:line="276" w:lineRule="auto"/>
        <w:rPr>
          <w:rFonts w:ascii="Arial" w:hAnsi="Arial" w:cs="Arial"/>
          <w:color w:val="404040" w:themeColor="text1" w:themeTint="BF"/>
          <w:sz w:val="24"/>
          <w:szCs w:val="24"/>
        </w:rPr>
      </w:pPr>
      <w:r w:rsidRPr="00370201">
        <w:rPr>
          <w:rFonts w:ascii="Arial" w:hAnsi="Arial" w:cs="Arial"/>
          <w:color w:val="404040" w:themeColor="text1" w:themeTint="BF"/>
          <w:sz w:val="24"/>
          <w:szCs w:val="24"/>
        </w:rPr>
        <w:t>In determining how to carry out her functions, the Commissioner’s paramount consideration is the rights of the child and NICCY is required to base all its work on the United Nations Convention on the Rights of the Child (UNCRC).</w:t>
      </w:r>
      <w:r>
        <w:rPr>
          <w:rFonts w:ascii="Arial" w:hAnsi="Arial" w:cs="Arial"/>
          <w:color w:val="404040" w:themeColor="text1" w:themeTint="BF"/>
          <w:sz w:val="24"/>
          <w:szCs w:val="24"/>
        </w:rPr>
        <w:t xml:space="preserve">  </w:t>
      </w:r>
      <w:r w:rsidRPr="00370201">
        <w:rPr>
          <w:rFonts w:ascii="Arial" w:hAnsi="Arial" w:cs="Arial"/>
          <w:color w:val="404040" w:themeColor="text1" w:themeTint="BF"/>
          <w:sz w:val="24"/>
          <w:szCs w:val="24"/>
        </w:rPr>
        <w:t xml:space="preserve">The UNCRC provides the overarching framework which guides the work of NICCY.  </w:t>
      </w:r>
      <w:r w:rsidRPr="00370201">
        <w:rPr>
          <w:rFonts w:ascii="Arial" w:hAnsi="Arial" w:cs="Arial"/>
          <w:bCs/>
          <w:color w:val="404040" w:themeColor="text1" w:themeTint="BF"/>
          <w:sz w:val="24"/>
          <w:szCs w:val="24"/>
        </w:rPr>
        <w:t>The UK Government, including Northern Ireland, is a signatory to the Convention and has agreed to uphold the rights of children and young people based on the Convention.</w:t>
      </w:r>
    </w:p>
    <w:p w:rsidR="00370201" w:rsidRPr="00370201" w:rsidRDefault="00370201" w:rsidP="00370201">
      <w:pPr>
        <w:pStyle w:val="NICCYBodyText"/>
        <w:spacing w:line="276" w:lineRule="auto"/>
        <w:rPr>
          <w:color w:val="404040" w:themeColor="text1" w:themeTint="BF"/>
        </w:rPr>
      </w:pPr>
    </w:p>
    <w:p w:rsidR="00354E3C" w:rsidRDefault="00370201" w:rsidP="003608BD">
      <w:pPr>
        <w:pStyle w:val="NICCYBodyText"/>
        <w:spacing w:line="276" w:lineRule="auto"/>
        <w:rPr>
          <w:b/>
          <w:color w:val="FF0000"/>
          <w:sz w:val="28"/>
          <w:szCs w:val="28"/>
        </w:rPr>
      </w:pPr>
      <w:r w:rsidRPr="00370201">
        <w:rPr>
          <w:b/>
          <w:color w:val="FF0000"/>
          <w:sz w:val="28"/>
          <w:szCs w:val="28"/>
        </w:rPr>
        <w:t>2.0</w:t>
      </w:r>
      <w:r w:rsidRPr="00370201">
        <w:rPr>
          <w:b/>
          <w:color w:val="FF0000"/>
          <w:sz w:val="28"/>
          <w:szCs w:val="28"/>
        </w:rPr>
        <w:tab/>
        <w:t>Transitions for Young People with Learning Disabilities</w:t>
      </w:r>
    </w:p>
    <w:p w:rsidR="00370201" w:rsidRPr="00370201" w:rsidRDefault="00370201" w:rsidP="003608BD">
      <w:pPr>
        <w:pStyle w:val="NICCYBodyText"/>
        <w:spacing w:line="276" w:lineRule="auto"/>
        <w:rPr>
          <w:b/>
          <w:color w:val="FF0000"/>
          <w:sz w:val="28"/>
          <w:szCs w:val="28"/>
        </w:rPr>
      </w:pPr>
    </w:p>
    <w:p w:rsidR="00354E3C" w:rsidRDefault="00354E3C" w:rsidP="003608BD">
      <w:pPr>
        <w:pStyle w:val="NICCYBodyText"/>
        <w:spacing w:line="276" w:lineRule="auto"/>
        <w:rPr>
          <w:color w:val="404040" w:themeColor="text1" w:themeTint="BF"/>
        </w:rPr>
      </w:pPr>
      <w:r>
        <w:rPr>
          <w:color w:val="404040" w:themeColor="text1" w:themeTint="BF"/>
        </w:rPr>
        <w:t>The effectiveness of arrangements to address transitions for young people with learning disabilitie</w:t>
      </w:r>
      <w:r w:rsidR="00370201">
        <w:rPr>
          <w:color w:val="404040" w:themeColor="text1" w:themeTint="BF"/>
        </w:rPr>
        <w:t xml:space="preserve">s has been a recurrent theme in </w:t>
      </w:r>
      <w:r>
        <w:rPr>
          <w:color w:val="404040" w:themeColor="text1" w:themeTint="BF"/>
        </w:rPr>
        <w:t xml:space="preserve">the </w:t>
      </w:r>
      <w:r w:rsidR="006D66B8">
        <w:rPr>
          <w:color w:val="404040" w:themeColor="text1" w:themeTint="BF"/>
        </w:rPr>
        <w:t xml:space="preserve">work of the </w:t>
      </w:r>
      <w:r>
        <w:rPr>
          <w:color w:val="404040" w:themeColor="text1" w:themeTint="BF"/>
        </w:rPr>
        <w:t>Northern Ireland Commissioner</w:t>
      </w:r>
      <w:r w:rsidR="006D66B8">
        <w:rPr>
          <w:color w:val="404040" w:themeColor="text1" w:themeTint="BF"/>
        </w:rPr>
        <w:t xml:space="preserve"> for Children and Young People (NICCY), </w:t>
      </w:r>
      <w:r>
        <w:rPr>
          <w:color w:val="404040" w:themeColor="text1" w:themeTint="BF"/>
        </w:rPr>
        <w:t xml:space="preserve">and a range of barriers, gaps and concerns </w:t>
      </w:r>
      <w:r w:rsidR="006D66B8">
        <w:rPr>
          <w:color w:val="404040" w:themeColor="text1" w:themeTint="BF"/>
        </w:rPr>
        <w:t xml:space="preserve">relating to the provisions for young people with learning disabilities </w:t>
      </w:r>
      <w:r>
        <w:rPr>
          <w:color w:val="404040" w:themeColor="text1" w:themeTint="BF"/>
        </w:rPr>
        <w:t xml:space="preserve">have been brought to the Commissioner’s attention by various stakeholders since the inception of the Office in 2003.  </w:t>
      </w:r>
      <w:bookmarkStart w:id="0" w:name="_GoBack"/>
      <w:bookmarkEnd w:id="0"/>
    </w:p>
    <w:p w:rsidR="00354E3C" w:rsidRDefault="00354E3C" w:rsidP="003608BD">
      <w:pPr>
        <w:pStyle w:val="NICCYBodyText"/>
        <w:spacing w:line="276" w:lineRule="auto"/>
        <w:rPr>
          <w:color w:val="404040" w:themeColor="text1" w:themeTint="BF"/>
        </w:rPr>
      </w:pPr>
    </w:p>
    <w:p w:rsidR="006A7C82" w:rsidRDefault="00354E3C" w:rsidP="003608BD">
      <w:pPr>
        <w:pStyle w:val="NICCYBodyText"/>
        <w:spacing w:line="276" w:lineRule="auto"/>
      </w:pPr>
      <w:r>
        <w:rPr>
          <w:color w:val="404040" w:themeColor="text1" w:themeTint="BF"/>
        </w:rPr>
        <w:t>In order t</w:t>
      </w:r>
      <w:r w:rsidR="006D66B8">
        <w:rPr>
          <w:color w:val="404040" w:themeColor="text1" w:themeTint="BF"/>
        </w:rPr>
        <w:t>o address the issue in more detail</w:t>
      </w:r>
      <w:r>
        <w:rPr>
          <w:color w:val="404040" w:themeColor="text1" w:themeTint="BF"/>
        </w:rPr>
        <w:t xml:space="preserve">, NICCY commissioned </w:t>
      </w:r>
      <w:r w:rsidR="00E313C2">
        <w:rPr>
          <w:color w:val="404040" w:themeColor="text1" w:themeTint="BF"/>
        </w:rPr>
        <w:t>a critical analysis of transitions to adult services for young people with learning disabilities in Northern Ireland</w:t>
      </w:r>
      <w:r w:rsidR="00A908D1">
        <w:rPr>
          <w:color w:val="404040" w:themeColor="text1" w:themeTint="BF"/>
        </w:rPr>
        <w:t xml:space="preserve"> in 2012. Transitions were explored</w:t>
      </w:r>
      <w:r w:rsidR="00E313C2">
        <w:rPr>
          <w:color w:val="404040" w:themeColor="text1" w:themeTint="BF"/>
        </w:rPr>
        <w:t xml:space="preserve"> in the context of education, employment and training and health and social care.  A</w:t>
      </w:r>
      <w:r>
        <w:rPr>
          <w:color w:val="404040" w:themeColor="text1" w:themeTint="BF"/>
        </w:rPr>
        <w:t xml:space="preserve"> report of the findings, compiled by researchers from T</w:t>
      </w:r>
      <w:r w:rsidR="00E313C2">
        <w:rPr>
          <w:color w:val="404040" w:themeColor="text1" w:themeTint="BF"/>
        </w:rPr>
        <w:t>he Queen’s University Belfast</w:t>
      </w:r>
      <w:r w:rsidR="00A908D1">
        <w:rPr>
          <w:color w:val="404040" w:themeColor="text1" w:themeTint="BF"/>
        </w:rPr>
        <w:t>,</w:t>
      </w:r>
      <w:r w:rsidR="00E313C2">
        <w:rPr>
          <w:color w:val="404040" w:themeColor="text1" w:themeTint="BF"/>
        </w:rPr>
        <w:t xml:space="preserve"> included an analysis of children’s rights standards as these relate to young </w:t>
      </w:r>
      <w:r w:rsidR="00E313C2">
        <w:rPr>
          <w:color w:val="404040" w:themeColor="text1" w:themeTint="BF"/>
        </w:rPr>
        <w:lastRenderedPageBreak/>
        <w:t xml:space="preserve">people with disabilities, a review of policy, legislation and literature and discussions with a variety of stakeholders across each of the thematic areas outlined above. </w:t>
      </w:r>
      <w:r w:rsidR="00F378D8">
        <w:rPr>
          <w:color w:val="404040" w:themeColor="text1" w:themeTint="BF"/>
        </w:rPr>
        <w:t>A small cohort of young peo</w:t>
      </w:r>
      <w:r>
        <w:rPr>
          <w:color w:val="404040" w:themeColor="text1" w:themeTint="BF"/>
        </w:rPr>
        <w:t>ple and their families were</w:t>
      </w:r>
      <w:r w:rsidR="00F378D8">
        <w:rPr>
          <w:color w:val="404040" w:themeColor="text1" w:themeTint="BF"/>
        </w:rPr>
        <w:t xml:space="preserve"> consulted about the issues </w:t>
      </w:r>
      <w:r w:rsidR="006D66B8">
        <w:rPr>
          <w:color w:val="404040" w:themeColor="text1" w:themeTint="BF"/>
        </w:rPr>
        <w:t xml:space="preserve">being </w:t>
      </w:r>
      <w:r w:rsidR="00F378D8">
        <w:rPr>
          <w:color w:val="404040" w:themeColor="text1" w:themeTint="BF"/>
        </w:rPr>
        <w:t>addressed.</w:t>
      </w:r>
      <w:r w:rsidRPr="00354E3C">
        <w:rPr>
          <w:rStyle w:val="FootnoteReference"/>
          <w:color w:val="404040" w:themeColor="text1" w:themeTint="BF"/>
        </w:rPr>
        <w:t xml:space="preserve"> </w:t>
      </w:r>
      <w:r w:rsidR="001161DB">
        <w:rPr>
          <w:color w:val="404040" w:themeColor="text1" w:themeTint="BF"/>
        </w:rPr>
        <w:t xml:space="preserve"> </w:t>
      </w:r>
      <w:r w:rsidRPr="00354E3C">
        <w:rPr>
          <w:color w:val="404040" w:themeColor="text1" w:themeTint="BF"/>
        </w:rPr>
        <w:t xml:space="preserve">The Report is entitled </w:t>
      </w:r>
      <w:r w:rsidRPr="00354E3C">
        <w:t xml:space="preserve">‘Review of Transitions to Adult Services for Young People with Learning Disabilities’ and the authors are </w:t>
      </w:r>
      <w:r>
        <w:t xml:space="preserve">Professor </w:t>
      </w:r>
      <w:r w:rsidRPr="00354E3C">
        <w:t xml:space="preserve">Laura Lundy, </w:t>
      </w:r>
      <w:r>
        <w:t xml:space="preserve">Dr. </w:t>
      </w:r>
      <w:r w:rsidRPr="00354E3C">
        <w:t xml:space="preserve">Bronagh Byrne and </w:t>
      </w:r>
      <w:r>
        <w:t xml:space="preserve">Dr. </w:t>
      </w:r>
      <w:r w:rsidRPr="00354E3C">
        <w:t>Paschal McKeown. It may be accessed at</w:t>
      </w:r>
      <w:r w:rsidR="003608BD">
        <w:t xml:space="preserve">; </w:t>
      </w:r>
      <w:hyperlink r:id="rId8" w:history="1">
        <w:r w:rsidRPr="00354E3C">
          <w:rPr>
            <w:rStyle w:val="Hyperlink"/>
          </w:rPr>
          <w:t>http://www.niccy.org/Publications/policyandresearchreportsandpapers/publications-from-2012/reviewoftransitionsforyoungpeoplewithlearningdisabilities</w:t>
        </w:r>
      </w:hyperlink>
    </w:p>
    <w:p w:rsidR="006D66B8" w:rsidRPr="00354E3C" w:rsidRDefault="006D66B8" w:rsidP="003608BD">
      <w:pPr>
        <w:pStyle w:val="NICCYBodyText"/>
        <w:spacing w:line="276" w:lineRule="auto"/>
        <w:rPr>
          <w:color w:val="404040" w:themeColor="text1" w:themeTint="BF"/>
        </w:rPr>
      </w:pPr>
      <w:r>
        <w:t xml:space="preserve">Hereafter, it is referred to as ‘The Report’. </w:t>
      </w:r>
    </w:p>
    <w:p w:rsidR="001C6BC1" w:rsidRDefault="001C6BC1" w:rsidP="003608BD">
      <w:pPr>
        <w:pStyle w:val="NICCYBodyText"/>
        <w:spacing w:line="276" w:lineRule="auto"/>
        <w:rPr>
          <w:color w:val="404040" w:themeColor="text1" w:themeTint="BF"/>
        </w:rPr>
      </w:pPr>
    </w:p>
    <w:p w:rsidR="001C6BC1" w:rsidRDefault="00354E3C" w:rsidP="003608BD">
      <w:pPr>
        <w:pStyle w:val="NICCYBodyText"/>
        <w:spacing w:line="276" w:lineRule="auto"/>
        <w:rPr>
          <w:color w:val="404040" w:themeColor="text1" w:themeTint="BF"/>
        </w:rPr>
      </w:pPr>
      <w:r>
        <w:rPr>
          <w:color w:val="404040" w:themeColor="text1" w:themeTint="BF"/>
        </w:rPr>
        <w:t>The authors note</w:t>
      </w:r>
      <w:r w:rsidR="00310DEC">
        <w:rPr>
          <w:color w:val="404040" w:themeColor="text1" w:themeTint="BF"/>
        </w:rPr>
        <w:t xml:space="preserve"> that ‘Transitions to adult services for young people with learning disabilities have long been identified as </w:t>
      </w:r>
      <w:r w:rsidR="0097619F">
        <w:rPr>
          <w:color w:val="404040" w:themeColor="text1" w:themeTint="BF"/>
        </w:rPr>
        <w:t>a particular issue and…</w:t>
      </w:r>
      <w:r w:rsidR="00310DEC">
        <w:rPr>
          <w:color w:val="404040" w:themeColor="text1" w:themeTint="BF"/>
        </w:rPr>
        <w:t>a clear history of attempts to address the associate difficulties through a range of both government and NGO based initiatives</w:t>
      </w:r>
      <w:r w:rsidR="00CA33CE">
        <w:rPr>
          <w:color w:val="404040" w:themeColor="text1" w:themeTint="BF"/>
        </w:rPr>
        <w:t>’ (p.5)</w:t>
      </w:r>
      <w:r w:rsidR="00310DEC">
        <w:rPr>
          <w:color w:val="404040" w:themeColor="text1" w:themeTint="BF"/>
        </w:rPr>
        <w:t>. However the Report clearly demonstrates that young people continue to encounter significant difficulties as they transition from child to adult services.</w:t>
      </w:r>
    </w:p>
    <w:p w:rsidR="00ED0288" w:rsidRDefault="00ED0288" w:rsidP="003608BD">
      <w:pPr>
        <w:pStyle w:val="NICCYBodyText"/>
        <w:spacing w:line="276" w:lineRule="auto"/>
        <w:rPr>
          <w:color w:val="404040" w:themeColor="text1" w:themeTint="BF"/>
        </w:rPr>
      </w:pPr>
    </w:p>
    <w:p w:rsidR="00CA33CE" w:rsidRDefault="009E32E6" w:rsidP="003608BD">
      <w:pPr>
        <w:pStyle w:val="NICCYBodyText"/>
        <w:spacing w:line="276" w:lineRule="auto"/>
        <w:rPr>
          <w:color w:val="404040" w:themeColor="text1" w:themeTint="BF"/>
        </w:rPr>
      </w:pPr>
      <w:r>
        <w:rPr>
          <w:color w:val="404040" w:themeColor="text1" w:themeTint="BF"/>
        </w:rPr>
        <w:t>In addressing the key issues</w:t>
      </w:r>
      <w:r w:rsidR="00ED0288">
        <w:rPr>
          <w:color w:val="404040" w:themeColor="text1" w:themeTint="BF"/>
        </w:rPr>
        <w:t xml:space="preserve"> of the Co</w:t>
      </w:r>
      <w:r w:rsidR="0097619F">
        <w:rPr>
          <w:color w:val="404040" w:themeColor="text1" w:themeTint="BF"/>
        </w:rPr>
        <w:t>mmittee’s inquiry, this submission</w:t>
      </w:r>
      <w:r w:rsidR="00ED0288">
        <w:rPr>
          <w:color w:val="404040" w:themeColor="text1" w:themeTint="BF"/>
        </w:rPr>
        <w:t xml:space="preserve"> highlights the main</w:t>
      </w:r>
      <w:r w:rsidR="00CA33CE">
        <w:rPr>
          <w:color w:val="404040" w:themeColor="text1" w:themeTint="BF"/>
        </w:rPr>
        <w:t xml:space="preserve"> findings from the Report</w:t>
      </w:r>
      <w:r w:rsidR="0098362E">
        <w:rPr>
          <w:color w:val="404040" w:themeColor="text1" w:themeTint="BF"/>
        </w:rPr>
        <w:t xml:space="preserve"> in relation to young people’s experiences of transitions to education, training and employment.</w:t>
      </w:r>
      <w:r>
        <w:rPr>
          <w:color w:val="404040" w:themeColor="text1" w:themeTint="BF"/>
        </w:rPr>
        <w:t xml:space="preserve"> It mainly </w:t>
      </w:r>
      <w:r w:rsidR="00ED0288">
        <w:rPr>
          <w:color w:val="404040" w:themeColor="text1" w:themeTint="BF"/>
        </w:rPr>
        <w:t>addresses</w:t>
      </w:r>
      <w:r>
        <w:rPr>
          <w:color w:val="404040" w:themeColor="text1" w:themeTint="BF"/>
        </w:rPr>
        <w:t xml:space="preserve"> </w:t>
      </w:r>
      <w:r w:rsidR="00370201">
        <w:rPr>
          <w:color w:val="404040" w:themeColor="text1" w:themeTint="BF"/>
        </w:rPr>
        <w:t xml:space="preserve">the first three </w:t>
      </w:r>
      <w:r w:rsidR="00ED0288">
        <w:rPr>
          <w:color w:val="404040" w:themeColor="text1" w:themeTint="BF"/>
        </w:rPr>
        <w:t>terms of reference</w:t>
      </w:r>
      <w:r>
        <w:rPr>
          <w:color w:val="404040" w:themeColor="text1" w:themeTint="BF"/>
        </w:rPr>
        <w:t xml:space="preserve"> for the Inquiry</w:t>
      </w:r>
      <w:r w:rsidR="00ED0288">
        <w:rPr>
          <w:color w:val="404040" w:themeColor="text1" w:themeTint="BF"/>
        </w:rPr>
        <w:t xml:space="preserve">.  Further details may be accessed </w:t>
      </w:r>
      <w:r w:rsidR="0097619F">
        <w:rPr>
          <w:color w:val="404040" w:themeColor="text1" w:themeTint="BF"/>
        </w:rPr>
        <w:t xml:space="preserve">directly </w:t>
      </w:r>
      <w:r w:rsidR="00ED0288">
        <w:rPr>
          <w:color w:val="404040" w:themeColor="text1" w:themeTint="BF"/>
        </w:rPr>
        <w:t>in the Report</w:t>
      </w:r>
      <w:r w:rsidR="00370201">
        <w:rPr>
          <w:color w:val="404040" w:themeColor="text1" w:themeTint="BF"/>
        </w:rPr>
        <w:t>.</w:t>
      </w:r>
    </w:p>
    <w:p w:rsidR="00310DEC" w:rsidRDefault="00310DEC" w:rsidP="003608BD">
      <w:pPr>
        <w:pStyle w:val="NICCYBodyText"/>
        <w:spacing w:line="276" w:lineRule="auto"/>
        <w:rPr>
          <w:color w:val="404040" w:themeColor="text1" w:themeTint="BF"/>
        </w:rPr>
      </w:pPr>
    </w:p>
    <w:p w:rsidR="0098362E" w:rsidRPr="00960B36" w:rsidRDefault="00370201" w:rsidP="003608BD">
      <w:pPr>
        <w:pStyle w:val="NICCYBodyText"/>
        <w:spacing w:line="276" w:lineRule="auto"/>
        <w:rPr>
          <w:b/>
          <w:color w:val="FF0000"/>
          <w:sz w:val="28"/>
          <w:szCs w:val="28"/>
        </w:rPr>
      </w:pPr>
      <w:r>
        <w:rPr>
          <w:b/>
          <w:color w:val="FF0000"/>
          <w:sz w:val="28"/>
          <w:szCs w:val="28"/>
        </w:rPr>
        <w:t>3</w:t>
      </w:r>
      <w:r w:rsidR="00960B36" w:rsidRPr="00960B36">
        <w:rPr>
          <w:b/>
          <w:color w:val="FF0000"/>
          <w:sz w:val="28"/>
          <w:szCs w:val="28"/>
        </w:rPr>
        <w:t>.0</w:t>
      </w:r>
      <w:r w:rsidR="00960B36" w:rsidRPr="00960B36">
        <w:rPr>
          <w:b/>
          <w:color w:val="FF0000"/>
          <w:sz w:val="28"/>
          <w:szCs w:val="28"/>
        </w:rPr>
        <w:tab/>
      </w:r>
      <w:r w:rsidR="003608BD">
        <w:rPr>
          <w:b/>
          <w:color w:val="FF0000"/>
          <w:sz w:val="28"/>
          <w:szCs w:val="28"/>
        </w:rPr>
        <w:t>Transitions Planning in</w:t>
      </w:r>
      <w:r w:rsidR="0098362E" w:rsidRPr="00960B36">
        <w:rPr>
          <w:b/>
          <w:color w:val="FF0000"/>
          <w:sz w:val="28"/>
          <w:szCs w:val="28"/>
        </w:rPr>
        <w:t xml:space="preserve"> E</w:t>
      </w:r>
      <w:r w:rsidR="00CA33CE" w:rsidRPr="00960B36">
        <w:rPr>
          <w:b/>
          <w:color w:val="FF0000"/>
          <w:sz w:val="28"/>
          <w:szCs w:val="28"/>
        </w:rPr>
        <w:t>ducation</w:t>
      </w:r>
      <w:r w:rsidR="003608BD">
        <w:rPr>
          <w:rStyle w:val="FootnoteReference"/>
          <w:b/>
          <w:color w:val="FF0000"/>
          <w:sz w:val="28"/>
          <w:szCs w:val="28"/>
        </w:rPr>
        <w:footnoteReference w:id="1"/>
      </w:r>
      <w:r w:rsidR="0098362E" w:rsidRPr="00960B36">
        <w:rPr>
          <w:b/>
          <w:color w:val="FF0000"/>
          <w:sz w:val="28"/>
          <w:szCs w:val="28"/>
        </w:rPr>
        <w:t xml:space="preserve"> </w:t>
      </w:r>
    </w:p>
    <w:p w:rsidR="00960B36" w:rsidRDefault="00960B36" w:rsidP="003608BD">
      <w:pPr>
        <w:pStyle w:val="NICCYBodyText"/>
        <w:spacing w:line="276" w:lineRule="auto"/>
        <w:rPr>
          <w:b/>
          <w:color w:val="404040" w:themeColor="text1" w:themeTint="BF"/>
        </w:rPr>
      </w:pPr>
    </w:p>
    <w:p w:rsidR="0098362E" w:rsidRPr="00796F06" w:rsidRDefault="00370201" w:rsidP="003608BD">
      <w:pPr>
        <w:pStyle w:val="NICCYBodyText"/>
        <w:spacing w:line="276" w:lineRule="auto"/>
        <w:rPr>
          <w:b/>
          <w:color w:val="404040" w:themeColor="text1" w:themeTint="BF"/>
        </w:rPr>
      </w:pPr>
      <w:r>
        <w:rPr>
          <w:b/>
          <w:color w:val="404040" w:themeColor="text1" w:themeTint="BF"/>
        </w:rPr>
        <w:t>3</w:t>
      </w:r>
      <w:r w:rsidR="00960B36">
        <w:rPr>
          <w:b/>
          <w:color w:val="404040" w:themeColor="text1" w:themeTint="BF"/>
        </w:rPr>
        <w:t>.1</w:t>
      </w:r>
      <w:r w:rsidR="00960B36">
        <w:rPr>
          <w:b/>
          <w:color w:val="404040" w:themeColor="text1" w:themeTint="BF"/>
        </w:rPr>
        <w:tab/>
      </w:r>
      <w:r w:rsidR="0098362E" w:rsidRPr="00796F06">
        <w:rPr>
          <w:b/>
          <w:color w:val="404040" w:themeColor="text1" w:themeTint="BF"/>
        </w:rPr>
        <w:t>St</w:t>
      </w:r>
      <w:r w:rsidR="002871F6">
        <w:rPr>
          <w:b/>
          <w:color w:val="404040" w:themeColor="text1" w:themeTint="BF"/>
        </w:rPr>
        <w:t xml:space="preserve">atementing Issues </w:t>
      </w:r>
    </w:p>
    <w:p w:rsidR="00D6463A" w:rsidRPr="00796F06" w:rsidRDefault="00A55BB6" w:rsidP="003608BD">
      <w:pPr>
        <w:pStyle w:val="NICCYBodyText"/>
        <w:spacing w:line="276" w:lineRule="auto"/>
        <w:rPr>
          <w:color w:val="404040" w:themeColor="text1" w:themeTint="BF"/>
        </w:rPr>
      </w:pPr>
      <w:r>
        <w:rPr>
          <w:color w:val="404040" w:themeColor="text1" w:themeTint="BF"/>
        </w:rPr>
        <w:t>The Report notes that existing statutory provision for transition is dependent on a young person having a statement of special education</w:t>
      </w:r>
      <w:r w:rsidR="0097619F">
        <w:rPr>
          <w:color w:val="404040" w:themeColor="text1" w:themeTint="BF"/>
        </w:rPr>
        <w:t>al need. The Department of Education is</w:t>
      </w:r>
      <w:r>
        <w:rPr>
          <w:color w:val="404040" w:themeColor="text1" w:themeTint="BF"/>
        </w:rPr>
        <w:t xml:space="preserve"> currently reviewi</w:t>
      </w:r>
      <w:r w:rsidR="001A5348">
        <w:rPr>
          <w:color w:val="404040" w:themeColor="text1" w:themeTint="BF"/>
        </w:rPr>
        <w:t xml:space="preserve">ng SEN </w:t>
      </w:r>
      <w:r w:rsidR="0097619F">
        <w:rPr>
          <w:color w:val="404040" w:themeColor="text1" w:themeTint="BF"/>
        </w:rPr>
        <w:t xml:space="preserve">and inclusion </w:t>
      </w:r>
      <w:r w:rsidR="001A5348">
        <w:rPr>
          <w:color w:val="404040" w:themeColor="text1" w:themeTint="BF"/>
        </w:rPr>
        <w:t>provision</w:t>
      </w:r>
      <w:r w:rsidR="00DD1DFB">
        <w:rPr>
          <w:color w:val="404040" w:themeColor="text1" w:themeTint="BF"/>
        </w:rPr>
        <w:t>s</w:t>
      </w:r>
      <w:r w:rsidR="0097619F">
        <w:rPr>
          <w:color w:val="404040" w:themeColor="text1" w:themeTint="BF"/>
        </w:rPr>
        <w:t xml:space="preserve"> and </w:t>
      </w:r>
      <w:r w:rsidR="00DD1DFB">
        <w:rPr>
          <w:color w:val="404040" w:themeColor="text1" w:themeTint="BF"/>
        </w:rPr>
        <w:t xml:space="preserve">draft legislative proposals along with proposed changes to </w:t>
      </w:r>
      <w:r w:rsidR="001161DB">
        <w:rPr>
          <w:color w:val="404040" w:themeColor="text1" w:themeTint="BF"/>
        </w:rPr>
        <w:t>the code of practice are due to be published in the near future</w:t>
      </w:r>
      <w:r w:rsidR="00DD1DFB">
        <w:rPr>
          <w:color w:val="404040" w:themeColor="text1" w:themeTint="BF"/>
        </w:rPr>
        <w:t>. Details of the Department’</w:t>
      </w:r>
      <w:r w:rsidR="00D6463A">
        <w:rPr>
          <w:color w:val="404040" w:themeColor="text1" w:themeTint="BF"/>
        </w:rPr>
        <w:t xml:space="preserve">s intentions </w:t>
      </w:r>
      <w:r w:rsidR="00DD1DFB">
        <w:rPr>
          <w:color w:val="404040" w:themeColor="text1" w:themeTint="BF"/>
        </w:rPr>
        <w:t>indicate however</w:t>
      </w:r>
      <w:r w:rsidR="00716B47">
        <w:rPr>
          <w:color w:val="404040" w:themeColor="text1" w:themeTint="BF"/>
        </w:rPr>
        <w:t>,</w:t>
      </w:r>
      <w:r w:rsidR="00DD1DFB">
        <w:rPr>
          <w:color w:val="404040" w:themeColor="text1" w:themeTint="BF"/>
        </w:rPr>
        <w:t xml:space="preserve"> that current </w:t>
      </w:r>
      <w:r w:rsidR="001A5348">
        <w:rPr>
          <w:color w:val="404040" w:themeColor="text1" w:themeTint="BF"/>
        </w:rPr>
        <w:t>statement</w:t>
      </w:r>
      <w:r w:rsidR="00DD1DFB">
        <w:rPr>
          <w:color w:val="404040" w:themeColor="text1" w:themeTint="BF"/>
        </w:rPr>
        <w:t>s</w:t>
      </w:r>
      <w:r w:rsidR="001A5348">
        <w:rPr>
          <w:color w:val="404040" w:themeColor="text1" w:themeTint="BF"/>
        </w:rPr>
        <w:t xml:space="preserve"> will be replaced by Co-ordinated Support Pla</w:t>
      </w:r>
      <w:r w:rsidR="00DD1DFB">
        <w:rPr>
          <w:color w:val="404040" w:themeColor="text1" w:themeTint="BF"/>
        </w:rPr>
        <w:t>ns (CSPs) and</w:t>
      </w:r>
      <w:r w:rsidR="001161DB">
        <w:rPr>
          <w:color w:val="404040" w:themeColor="text1" w:themeTint="BF"/>
        </w:rPr>
        <w:t xml:space="preserve"> it is likely there will be a reduction in the</w:t>
      </w:r>
      <w:r w:rsidR="00DD1DFB">
        <w:rPr>
          <w:color w:val="FF0000"/>
        </w:rPr>
        <w:t xml:space="preserve"> </w:t>
      </w:r>
      <w:r w:rsidR="00DD1DFB" w:rsidRPr="001161DB">
        <w:rPr>
          <w:color w:val="404040" w:themeColor="text1" w:themeTint="BF"/>
        </w:rPr>
        <w:t>number issued</w:t>
      </w:r>
      <w:r w:rsidR="001A5348" w:rsidRPr="001161DB">
        <w:rPr>
          <w:color w:val="404040" w:themeColor="text1" w:themeTint="BF"/>
        </w:rPr>
        <w:t>.</w:t>
      </w:r>
      <w:r w:rsidR="001A5348">
        <w:rPr>
          <w:color w:val="404040" w:themeColor="text1" w:themeTint="BF"/>
        </w:rPr>
        <w:t xml:space="preserve">  </w:t>
      </w:r>
      <w:r w:rsidR="00FE2883">
        <w:rPr>
          <w:color w:val="404040" w:themeColor="text1" w:themeTint="BF"/>
        </w:rPr>
        <w:t>Clearly this will raise</w:t>
      </w:r>
      <w:r w:rsidR="002A6958">
        <w:rPr>
          <w:color w:val="404040" w:themeColor="text1" w:themeTint="BF"/>
        </w:rPr>
        <w:t xml:space="preserve"> significant</w:t>
      </w:r>
      <w:r w:rsidR="00DD1DFB">
        <w:rPr>
          <w:color w:val="404040" w:themeColor="text1" w:themeTint="BF"/>
        </w:rPr>
        <w:t xml:space="preserve"> concern</w:t>
      </w:r>
      <w:r w:rsidR="00FE2883">
        <w:rPr>
          <w:color w:val="404040" w:themeColor="text1" w:themeTint="BF"/>
        </w:rPr>
        <w:t>s</w:t>
      </w:r>
      <w:r w:rsidR="00DD1DFB">
        <w:rPr>
          <w:color w:val="404040" w:themeColor="text1" w:themeTint="BF"/>
        </w:rPr>
        <w:t xml:space="preserve"> if </w:t>
      </w:r>
      <w:r w:rsidR="002A6958">
        <w:rPr>
          <w:color w:val="404040" w:themeColor="text1" w:themeTint="BF"/>
        </w:rPr>
        <w:t>it were to result</w:t>
      </w:r>
      <w:r w:rsidR="00DD1DFB">
        <w:rPr>
          <w:color w:val="404040" w:themeColor="text1" w:themeTint="BF"/>
        </w:rPr>
        <w:t xml:space="preserve"> in a</w:t>
      </w:r>
      <w:r w:rsidR="00C46544">
        <w:rPr>
          <w:color w:val="404040" w:themeColor="text1" w:themeTint="BF"/>
        </w:rPr>
        <w:t xml:space="preserve"> reduced level of p</w:t>
      </w:r>
      <w:r w:rsidR="00DD1DFB">
        <w:rPr>
          <w:color w:val="404040" w:themeColor="text1" w:themeTint="BF"/>
        </w:rPr>
        <w:t>rovision and statutory protection</w:t>
      </w:r>
      <w:r w:rsidR="00C46544">
        <w:rPr>
          <w:color w:val="404040" w:themeColor="text1" w:themeTint="BF"/>
        </w:rPr>
        <w:t xml:space="preserve"> for children who will no longer receive a statement of SEN under current proposals</w:t>
      </w:r>
      <w:r w:rsidR="002A6958">
        <w:rPr>
          <w:color w:val="404040" w:themeColor="text1" w:themeTint="BF"/>
        </w:rPr>
        <w:t xml:space="preserve">. </w:t>
      </w:r>
      <w:r w:rsidR="00D6463A">
        <w:rPr>
          <w:color w:val="404040" w:themeColor="text1" w:themeTint="BF"/>
        </w:rPr>
        <w:t>Furthermore, the Minister of Education’s original proposals</w:t>
      </w:r>
      <w:r w:rsidR="00796F06">
        <w:rPr>
          <w:color w:val="404040" w:themeColor="text1" w:themeTint="BF"/>
        </w:rPr>
        <w:t xml:space="preserve"> (issued in 2009) for all pupils with SEN to have access to Transitions Support Services have been revised as the Minister then felt this could </w:t>
      </w:r>
      <w:r w:rsidR="00796F06" w:rsidRPr="00796F06">
        <w:rPr>
          <w:i/>
          <w:color w:val="404040" w:themeColor="text1" w:themeTint="BF"/>
        </w:rPr>
        <w:t>‘result in an increased bureaucratic burden on schools, with limited, if any benefit to the pupils’.</w:t>
      </w:r>
      <w:r w:rsidR="00796F06" w:rsidRPr="00796F06">
        <w:rPr>
          <w:color w:val="404040" w:themeColor="text1" w:themeTint="BF"/>
        </w:rPr>
        <w:t xml:space="preserve"> It has also been proposed that f</w:t>
      </w:r>
      <w:r w:rsidR="00D6463A" w:rsidRPr="00796F06">
        <w:rPr>
          <w:color w:val="404040" w:themeColor="text1" w:themeTint="BF"/>
        </w:rPr>
        <w:t>ull, annual reviews of statements</w:t>
      </w:r>
      <w:r w:rsidR="00796F06" w:rsidRPr="00796F06">
        <w:rPr>
          <w:color w:val="404040" w:themeColor="text1" w:themeTint="BF"/>
        </w:rPr>
        <w:t xml:space="preserve"> will no longer be </w:t>
      </w:r>
      <w:r w:rsidR="00D6463A" w:rsidRPr="00796F06">
        <w:rPr>
          <w:color w:val="404040" w:themeColor="text1" w:themeTint="BF"/>
        </w:rPr>
        <w:t>mandatory</w:t>
      </w:r>
      <w:r w:rsidR="00796F06" w:rsidRPr="00796F06">
        <w:rPr>
          <w:color w:val="404040" w:themeColor="text1" w:themeTint="BF"/>
        </w:rPr>
        <w:t xml:space="preserve"> but instead, a parent or school will be able to call for an annual review.</w:t>
      </w:r>
      <w:r w:rsidR="00960B36">
        <w:rPr>
          <w:color w:val="404040" w:themeColor="text1" w:themeTint="BF"/>
        </w:rPr>
        <w:t xml:space="preserve">  An additional issue which has arisen in queries to NICCY’s Legal and Investigation </w:t>
      </w:r>
      <w:r w:rsidR="00960B36">
        <w:rPr>
          <w:color w:val="404040" w:themeColor="text1" w:themeTint="BF"/>
        </w:rPr>
        <w:lastRenderedPageBreak/>
        <w:t>team</w:t>
      </w:r>
      <w:r w:rsidR="00484E2A">
        <w:rPr>
          <w:color w:val="404040" w:themeColor="text1" w:themeTint="BF"/>
        </w:rPr>
        <w:t>,</w:t>
      </w:r>
      <w:r w:rsidR="00960B36">
        <w:rPr>
          <w:color w:val="404040" w:themeColor="text1" w:themeTint="BF"/>
        </w:rPr>
        <w:t xml:space="preserve"> concerns</w:t>
      </w:r>
      <w:r w:rsidR="00484E2A">
        <w:rPr>
          <w:color w:val="404040" w:themeColor="text1" w:themeTint="BF"/>
        </w:rPr>
        <w:t xml:space="preserve"> the</w:t>
      </w:r>
      <w:r w:rsidR="002871F6">
        <w:rPr>
          <w:color w:val="404040" w:themeColor="text1" w:themeTint="BF"/>
        </w:rPr>
        <w:t xml:space="preserve"> support and provisions </w:t>
      </w:r>
      <w:r w:rsidR="00484E2A">
        <w:rPr>
          <w:color w:val="404040" w:themeColor="text1" w:themeTint="BF"/>
        </w:rPr>
        <w:t>available to</w:t>
      </w:r>
      <w:r w:rsidR="00960B36">
        <w:rPr>
          <w:color w:val="404040" w:themeColor="text1" w:themeTint="BF"/>
        </w:rPr>
        <w:t xml:space="preserve"> young people</w:t>
      </w:r>
      <w:r w:rsidR="002871F6">
        <w:rPr>
          <w:color w:val="404040" w:themeColor="text1" w:themeTint="BF"/>
        </w:rPr>
        <w:t>,</w:t>
      </w:r>
      <w:r w:rsidR="00960B36">
        <w:rPr>
          <w:color w:val="404040" w:themeColor="text1" w:themeTint="BF"/>
        </w:rPr>
        <w:t xml:space="preserve"> once the statutory statement of provision ceases when the</w:t>
      </w:r>
      <w:r w:rsidR="00484E2A">
        <w:rPr>
          <w:color w:val="404040" w:themeColor="text1" w:themeTint="BF"/>
        </w:rPr>
        <w:t>y leave school between 16 and</w:t>
      </w:r>
      <w:r w:rsidR="00960B36">
        <w:rPr>
          <w:color w:val="404040" w:themeColor="text1" w:themeTint="BF"/>
        </w:rPr>
        <w:t xml:space="preserve"> 19 years of age.</w:t>
      </w:r>
    </w:p>
    <w:p w:rsidR="0098362E" w:rsidRPr="00796F06" w:rsidRDefault="0098362E" w:rsidP="003608BD">
      <w:pPr>
        <w:pStyle w:val="NICCYBodyText"/>
        <w:spacing w:line="276" w:lineRule="auto"/>
        <w:rPr>
          <w:color w:val="auto"/>
        </w:rPr>
      </w:pPr>
    </w:p>
    <w:p w:rsidR="00C46544" w:rsidRPr="00960B36" w:rsidRDefault="00370201" w:rsidP="003608BD">
      <w:pPr>
        <w:pStyle w:val="NICCYBodyText"/>
        <w:spacing w:line="276" w:lineRule="auto"/>
        <w:rPr>
          <w:b/>
          <w:color w:val="404040" w:themeColor="text1" w:themeTint="BF"/>
        </w:rPr>
      </w:pPr>
      <w:r>
        <w:rPr>
          <w:b/>
          <w:color w:val="404040" w:themeColor="text1" w:themeTint="BF"/>
        </w:rPr>
        <w:t>3</w:t>
      </w:r>
      <w:r w:rsidR="002871F6">
        <w:rPr>
          <w:b/>
          <w:color w:val="404040" w:themeColor="text1" w:themeTint="BF"/>
        </w:rPr>
        <w:t>.2</w:t>
      </w:r>
      <w:r w:rsidR="002871F6">
        <w:rPr>
          <w:b/>
          <w:color w:val="404040" w:themeColor="text1" w:themeTint="BF"/>
        </w:rPr>
        <w:tab/>
      </w:r>
      <w:r w:rsidR="00960B36" w:rsidRPr="00960B36">
        <w:rPr>
          <w:b/>
          <w:color w:val="404040" w:themeColor="text1" w:themeTint="BF"/>
        </w:rPr>
        <w:t>Transition Arrangements</w:t>
      </w:r>
    </w:p>
    <w:p w:rsidR="003608BD" w:rsidRDefault="00960B36" w:rsidP="003608BD">
      <w:pPr>
        <w:pStyle w:val="NICCYBodyText"/>
        <w:spacing w:line="276" w:lineRule="auto"/>
        <w:rPr>
          <w:color w:val="404040" w:themeColor="text1" w:themeTint="BF"/>
        </w:rPr>
      </w:pPr>
      <w:r w:rsidRPr="00960B36">
        <w:rPr>
          <w:color w:val="404040" w:themeColor="text1" w:themeTint="BF"/>
        </w:rPr>
        <w:t>The Report recognises the valuable work undertaken by</w:t>
      </w:r>
      <w:r w:rsidR="00DD1DFB" w:rsidRPr="00960B36">
        <w:rPr>
          <w:color w:val="404040" w:themeColor="text1" w:themeTint="BF"/>
        </w:rPr>
        <w:t xml:space="preserve"> Transition Officers across the Education and Library Boards </w:t>
      </w:r>
      <w:r w:rsidR="002871F6">
        <w:rPr>
          <w:color w:val="404040" w:themeColor="text1" w:themeTint="BF"/>
        </w:rPr>
        <w:t>(ELBs) although it notes a tendency for</w:t>
      </w:r>
      <w:r w:rsidR="00DD1DFB" w:rsidRPr="00960B36">
        <w:rPr>
          <w:color w:val="404040" w:themeColor="text1" w:themeTint="BF"/>
        </w:rPr>
        <w:t xml:space="preserve"> </w:t>
      </w:r>
      <w:r w:rsidR="00892CF8">
        <w:rPr>
          <w:color w:val="404040" w:themeColor="text1" w:themeTint="BF"/>
        </w:rPr>
        <w:t xml:space="preserve">differences in </w:t>
      </w:r>
      <w:r w:rsidR="002871F6">
        <w:rPr>
          <w:color w:val="404040" w:themeColor="text1" w:themeTint="BF"/>
        </w:rPr>
        <w:t>practice</w:t>
      </w:r>
      <w:r>
        <w:rPr>
          <w:color w:val="404040" w:themeColor="text1" w:themeTint="BF"/>
        </w:rPr>
        <w:t>. T</w:t>
      </w:r>
      <w:r w:rsidR="00DD1DFB" w:rsidRPr="00960B36">
        <w:rPr>
          <w:color w:val="404040" w:themeColor="text1" w:themeTint="BF"/>
        </w:rPr>
        <w:t>here appears to be v</w:t>
      </w:r>
      <w:r w:rsidR="00C46544" w:rsidRPr="00960B36">
        <w:rPr>
          <w:color w:val="404040" w:themeColor="text1" w:themeTint="BF"/>
        </w:rPr>
        <w:t xml:space="preserve">ariation in </w:t>
      </w:r>
      <w:r w:rsidR="00DD1DFB" w:rsidRPr="00960B36">
        <w:rPr>
          <w:color w:val="404040" w:themeColor="text1" w:themeTint="BF"/>
        </w:rPr>
        <w:t xml:space="preserve">the </w:t>
      </w:r>
      <w:r w:rsidR="00C46544" w:rsidRPr="00960B36">
        <w:rPr>
          <w:color w:val="404040" w:themeColor="text1" w:themeTint="BF"/>
        </w:rPr>
        <w:t>availability and adequacy of transition planning,</w:t>
      </w:r>
      <w:r w:rsidR="00DD1DFB" w:rsidRPr="00960B36">
        <w:rPr>
          <w:color w:val="404040" w:themeColor="text1" w:themeTint="BF"/>
        </w:rPr>
        <w:t xml:space="preserve"> supp</w:t>
      </w:r>
      <w:r w:rsidR="002A6958" w:rsidRPr="00960B36">
        <w:rPr>
          <w:color w:val="404040" w:themeColor="text1" w:themeTint="BF"/>
        </w:rPr>
        <w:t>ort and options pro</w:t>
      </w:r>
      <w:r>
        <w:rPr>
          <w:color w:val="404040" w:themeColor="text1" w:themeTint="BF"/>
        </w:rPr>
        <w:t>vided</w:t>
      </w:r>
      <w:r w:rsidR="00892CF8">
        <w:rPr>
          <w:color w:val="404040" w:themeColor="text1" w:themeTint="BF"/>
        </w:rPr>
        <w:t>. Q</w:t>
      </w:r>
      <w:r w:rsidR="002871F6">
        <w:rPr>
          <w:color w:val="404040" w:themeColor="text1" w:themeTint="BF"/>
        </w:rPr>
        <w:t xml:space="preserve">ueries received by NICCY’s Legal and Investigation’s team </w:t>
      </w:r>
      <w:r w:rsidR="00892CF8">
        <w:rPr>
          <w:color w:val="404040" w:themeColor="text1" w:themeTint="BF"/>
        </w:rPr>
        <w:t xml:space="preserve">provide </w:t>
      </w:r>
      <w:r w:rsidR="002871F6">
        <w:rPr>
          <w:color w:val="404040" w:themeColor="text1" w:themeTint="BF"/>
        </w:rPr>
        <w:t xml:space="preserve">evidence </w:t>
      </w:r>
      <w:r w:rsidR="00892CF8">
        <w:rPr>
          <w:color w:val="404040" w:themeColor="text1" w:themeTint="BF"/>
        </w:rPr>
        <w:t>of such concerns</w:t>
      </w:r>
      <w:r w:rsidR="002871F6">
        <w:rPr>
          <w:color w:val="404040" w:themeColor="text1" w:themeTint="BF"/>
        </w:rPr>
        <w:t xml:space="preserve">. </w:t>
      </w:r>
      <w:r w:rsidR="00D6463A" w:rsidRPr="00960B36">
        <w:rPr>
          <w:color w:val="404040" w:themeColor="text1" w:themeTint="BF"/>
        </w:rPr>
        <w:t>While the Report recognised ‘well established and detailed’ transition arrangements in MLD (Moderate Learning Disabi</w:t>
      </w:r>
      <w:r w:rsidR="002871F6">
        <w:rPr>
          <w:color w:val="404040" w:themeColor="text1" w:themeTint="BF"/>
        </w:rPr>
        <w:t xml:space="preserve">lity) schools, there </w:t>
      </w:r>
      <w:r>
        <w:rPr>
          <w:color w:val="404040" w:themeColor="text1" w:themeTint="BF"/>
        </w:rPr>
        <w:t>seem</w:t>
      </w:r>
      <w:r w:rsidR="002871F6">
        <w:rPr>
          <w:color w:val="404040" w:themeColor="text1" w:themeTint="BF"/>
        </w:rPr>
        <w:t>s</w:t>
      </w:r>
      <w:r w:rsidR="00D6463A" w:rsidRPr="00960B36">
        <w:rPr>
          <w:color w:val="404040" w:themeColor="text1" w:themeTint="BF"/>
        </w:rPr>
        <w:t xml:space="preserve"> to be an inconsistency in the age a</w:t>
      </w:r>
      <w:r w:rsidR="002871F6">
        <w:rPr>
          <w:color w:val="404040" w:themeColor="text1" w:themeTint="BF"/>
        </w:rPr>
        <w:t>t which young people transfer</w:t>
      </w:r>
      <w:r w:rsidR="00D6463A" w:rsidRPr="00960B36">
        <w:rPr>
          <w:color w:val="404040" w:themeColor="text1" w:themeTint="BF"/>
        </w:rPr>
        <w:t xml:space="preserve"> from MLD schools across the ELBs, causing some confusion and concern for parents and young people, </w:t>
      </w:r>
      <w:r w:rsidR="00892CF8">
        <w:rPr>
          <w:color w:val="404040" w:themeColor="text1" w:themeTint="BF"/>
        </w:rPr>
        <w:t xml:space="preserve">and </w:t>
      </w:r>
      <w:r w:rsidR="00D6463A" w:rsidRPr="00960B36">
        <w:rPr>
          <w:color w:val="404040" w:themeColor="text1" w:themeTint="BF"/>
        </w:rPr>
        <w:t>particularly</w:t>
      </w:r>
      <w:r w:rsidR="002871F6">
        <w:rPr>
          <w:color w:val="404040" w:themeColor="text1" w:themeTint="BF"/>
        </w:rPr>
        <w:t xml:space="preserve"> where</w:t>
      </w:r>
      <w:r w:rsidR="00D6463A" w:rsidRPr="00960B36">
        <w:rPr>
          <w:color w:val="404040" w:themeColor="text1" w:themeTint="BF"/>
        </w:rPr>
        <w:t xml:space="preserve"> </w:t>
      </w:r>
      <w:r>
        <w:rPr>
          <w:color w:val="404040" w:themeColor="text1" w:themeTint="BF"/>
        </w:rPr>
        <w:t xml:space="preserve">it was felt that </w:t>
      </w:r>
      <w:r w:rsidR="00D6463A" w:rsidRPr="00960B36">
        <w:rPr>
          <w:color w:val="404040" w:themeColor="text1" w:themeTint="BF"/>
        </w:rPr>
        <w:t xml:space="preserve">a young person would benefit from an additional year in an MLD school. </w:t>
      </w:r>
      <w:r w:rsidR="003608BD">
        <w:rPr>
          <w:color w:val="404040" w:themeColor="text1" w:themeTint="BF"/>
        </w:rPr>
        <w:t xml:space="preserve"> The Report also refers to the need for greater communication and co-operation between education and health and social care providers and a holistic, joined-up approach to ensure the provision of timely and effective services and support. </w:t>
      </w:r>
    </w:p>
    <w:p w:rsidR="00716B47" w:rsidRDefault="00716B47" w:rsidP="003608BD">
      <w:pPr>
        <w:pStyle w:val="NICCYBodyText"/>
        <w:spacing w:line="276" w:lineRule="auto"/>
        <w:rPr>
          <w:color w:val="404040" w:themeColor="text1" w:themeTint="BF"/>
        </w:rPr>
      </w:pPr>
    </w:p>
    <w:p w:rsidR="002871F6" w:rsidRPr="002871F6" w:rsidRDefault="00370201" w:rsidP="00370201">
      <w:pPr>
        <w:pStyle w:val="NICCYBodyText"/>
        <w:spacing w:line="276" w:lineRule="auto"/>
        <w:rPr>
          <w:b/>
          <w:color w:val="404040" w:themeColor="text1" w:themeTint="BF"/>
        </w:rPr>
      </w:pPr>
      <w:r>
        <w:rPr>
          <w:b/>
          <w:color w:val="404040" w:themeColor="text1" w:themeTint="BF"/>
        </w:rPr>
        <w:t>3.3</w:t>
      </w:r>
      <w:r w:rsidR="003608BD">
        <w:rPr>
          <w:b/>
          <w:color w:val="404040" w:themeColor="text1" w:themeTint="BF"/>
        </w:rPr>
        <w:t xml:space="preserve">    </w:t>
      </w:r>
      <w:r w:rsidR="00312D59">
        <w:rPr>
          <w:b/>
          <w:color w:val="404040" w:themeColor="text1" w:themeTint="BF"/>
        </w:rPr>
        <w:t>Information Sharing and Participation</w:t>
      </w:r>
    </w:p>
    <w:p w:rsidR="002871F6" w:rsidRPr="00AE56DA" w:rsidRDefault="002871F6" w:rsidP="00312D59">
      <w:pPr>
        <w:pStyle w:val="NICCYBodyText"/>
        <w:spacing w:line="276" w:lineRule="auto"/>
        <w:rPr>
          <w:color w:val="404040" w:themeColor="text1" w:themeTint="BF"/>
        </w:rPr>
      </w:pPr>
      <w:r>
        <w:rPr>
          <w:color w:val="404040" w:themeColor="text1" w:themeTint="BF"/>
        </w:rPr>
        <w:t>More generally, the Report highlights the n</w:t>
      </w:r>
      <w:r w:rsidR="00F378D8">
        <w:rPr>
          <w:color w:val="404040" w:themeColor="text1" w:themeTint="BF"/>
        </w:rPr>
        <w:t xml:space="preserve">eed for more information </w:t>
      </w:r>
      <w:r>
        <w:rPr>
          <w:color w:val="404040" w:themeColor="text1" w:themeTint="BF"/>
        </w:rPr>
        <w:t>to be made available to</w:t>
      </w:r>
      <w:r w:rsidR="00F378D8">
        <w:rPr>
          <w:color w:val="404040" w:themeColor="text1" w:themeTint="BF"/>
        </w:rPr>
        <w:t xml:space="preserve"> young people and their families about </w:t>
      </w:r>
      <w:r>
        <w:rPr>
          <w:color w:val="404040" w:themeColor="text1" w:themeTint="BF"/>
        </w:rPr>
        <w:t xml:space="preserve">the </w:t>
      </w:r>
      <w:r w:rsidR="003608BD">
        <w:rPr>
          <w:color w:val="404040" w:themeColor="text1" w:themeTint="BF"/>
        </w:rPr>
        <w:t xml:space="preserve">transition </w:t>
      </w:r>
      <w:r w:rsidR="005C7002">
        <w:rPr>
          <w:color w:val="404040" w:themeColor="text1" w:themeTint="BF"/>
        </w:rPr>
        <w:t>process and choices open</w:t>
      </w:r>
      <w:r w:rsidR="00F378D8">
        <w:rPr>
          <w:color w:val="404040" w:themeColor="text1" w:themeTint="BF"/>
        </w:rPr>
        <w:t xml:space="preserve"> </w:t>
      </w:r>
      <w:r>
        <w:rPr>
          <w:color w:val="404040" w:themeColor="text1" w:themeTint="BF"/>
        </w:rPr>
        <w:t xml:space="preserve">to them </w:t>
      </w:r>
      <w:r w:rsidR="00892CF8">
        <w:rPr>
          <w:color w:val="404040" w:themeColor="text1" w:themeTint="BF"/>
        </w:rPr>
        <w:t>after school, as they</w:t>
      </w:r>
      <w:r w:rsidR="005C7002">
        <w:rPr>
          <w:color w:val="404040" w:themeColor="text1" w:themeTint="BF"/>
        </w:rPr>
        <w:t xml:space="preserve"> are not always in receipt of the appropriate information about the options and support available. </w:t>
      </w:r>
      <w:r w:rsidR="001161DB">
        <w:rPr>
          <w:color w:val="404040" w:themeColor="text1" w:themeTint="BF"/>
        </w:rPr>
        <w:t xml:space="preserve"> Articles 12 and 13 of the UNCRC afford young people the right to seek and receive information which will facilitate their participation in decision-making and support them to make choices about their future. </w:t>
      </w:r>
      <w:r w:rsidR="005C7002">
        <w:rPr>
          <w:color w:val="404040" w:themeColor="text1" w:themeTint="BF"/>
        </w:rPr>
        <w:t>A</w:t>
      </w:r>
      <w:r w:rsidR="001161DB">
        <w:rPr>
          <w:color w:val="404040" w:themeColor="text1" w:themeTint="BF"/>
        </w:rPr>
        <w:t xml:space="preserve"> further</w:t>
      </w:r>
      <w:r w:rsidR="00892CF8">
        <w:rPr>
          <w:color w:val="404040" w:themeColor="text1" w:themeTint="BF"/>
        </w:rPr>
        <w:t xml:space="preserve"> concern is </w:t>
      </w:r>
      <w:r w:rsidR="005C7002">
        <w:rPr>
          <w:color w:val="404040" w:themeColor="text1" w:themeTint="BF"/>
        </w:rPr>
        <w:t xml:space="preserve">expressed about the lack of participation by young people in </w:t>
      </w:r>
      <w:r w:rsidR="001161DB">
        <w:rPr>
          <w:color w:val="404040" w:themeColor="text1" w:themeTint="BF"/>
        </w:rPr>
        <w:t>decision making about matters affecting them.</w:t>
      </w:r>
      <w:r w:rsidR="00312D59">
        <w:rPr>
          <w:color w:val="404040" w:themeColor="text1" w:themeTint="BF"/>
        </w:rPr>
        <w:t xml:space="preserve"> </w:t>
      </w:r>
      <w:r w:rsidR="001161DB">
        <w:rPr>
          <w:color w:val="404040" w:themeColor="text1" w:themeTint="BF"/>
        </w:rPr>
        <w:t xml:space="preserve">Article 7(3) of the United Nations Convention on the Rights of People with Disabilities (UNCRPD) requires States Parties to ensure that children with disabilities are able to express their views in all matters affecting them and to be provided with disability and age-appropriate assistance to realise that right. </w:t>
      </w:r>
      <w:r w:rsidR="001161DB" w:rsidRPr="00AE56DA">
        <w:rPr>
          <w:color w:val="404040" w:themeColor="text1" w:themeTint="BF"/>
        </w:rPr>
        <w:t>Greater efforts need to be made to ensure young people are included fully in all decision making regarding their transition</w:t>
      </w:r>
      <w:r w:rsidR="00AE56DA" w:rsidRPr="00AE56DA">
        <w:rPr>
          <w:color w:val="404040" w:themeColor="text1" w:themeTint="BF"/>
        </w:rPr>
        <w:t>s</w:t>
      </w:r>
      <w:r w:rsidR="001161DB" w:rsidRPr="00AE56DA">
        <w:rPr>
          <w:color w:val="404040" w:themeColor="text1" w:themeTint="BF"/>
        </w:rPr>
        <w:t xml:space="preserve"> from school and provided with appropriate information to support them in the decision-making process. </w:t>
      </w:r>
    </w:p>
    <w:p w:rsidR="00F378D8" w:rsidRDefault="00F378D8" w:rsidP="003608BD">
      <w:pPr>
        <w:pStyle w:val="NICCYBodyText"/>
        <w:spacing w:line="276" w:lineRule="auto"/>
        <w:rPr>
          <w:color w:val="404040" w:themeColor="text1" w:themeTint="BF"/>
        </w:rPr>
      </w:pPr>
    </w:p>
    <w:p w:rsidR="0098362E" w:rsidRPr="00E71EE2" w:rsidRDefault="00370201" w:rsidP="003608BD">
      <w:pPr>
        <w:pStyle w:val="NICCYBodyText"/>
        <w:spacing w:line="276" w:lineRule="auto"/>
        <w:rPr>
          <w:b/>
          <w:color w:val="FF0000"/>
          <w:sz w:val="28"/>
          <w:szCs w:val="28"/>
        </w:rPr>
      </w:pPr>
      <w:r>
        <w:rPr>
          <w:b/>
          <w:color w:val="FF0000"/>
          <w:sz w:val="28"/>
          <w:szCs w:val="28"/>
        </w:rPr>
        <w:t>4</w:t>
      </w:r>
      <w:r w:rsidR="00E71EE2" w:rsidRPr="00E71EE2">
        <w:rPr>
          <w:b/>
          <w:color w:val="FF0000"/>
          <w:sz w:val="28"/>
          <w:szCs w:val="28"/>
        </w:rPr>
        <w:t>.0</w:t>
      </w:r>
      <w:r w:rsidR="00E71EE2" w:rsidRPr="00E71EE2">
        <w:rPr>
          <w:b/>
          <w:color w:val="FF0000"/>
          <w:sz w:val="28"/>
          <w:szCs w:val="28"/>
        </w:rPr>
        <w:tab/>
      </w:r>
      <w:r w:rsidR="00370D9A">
        <w:rPr>
          <w:b/>
          <w:color w:val="FF0000"/>
          <w:sz w:val="28"/>
          <w:szCs w:val="28"/>
        </w:rPr>
        <w:t>Access</w:t>
      </w:r>
      <w:r w:rsidR="00ED0288" w:rsidRPr="00E71EE2">
        <w:rPr>
          <w:b/>
          <w:color w:val="FF0000"/>
          <w:sz w:val="28"/>
          <w:szCs w:val="28"/>
        </w:rPr>
        <w:t xml:space="preserve"> to</w:t>
      </w:r>
      <w:r w:rsidR="003608BD" w:rsidRPr="00E71EE2">
        <w:rPr>
          <w:b/>
          <w:color w:val="FF0000"/>
          <w:sz w:val="28"/>
          <w:szCs w:val="28"/>
        </w:rPr>
        <w:t xml:space="preserve"> Effective Education and</w:t>
      </w:r>
      <w:r w:rsidR="00ED0288" w:rsidRPr="00E71EE2">
        <w:rPr>
          <w:b/>
          <w:color w:val="FF0000"/>
          <w:sz w:val="28"/>
          <w:szCs w:val="28"/>
        </w:rPr>
        <w:t xml:space="preserve"> </w:t>
      </w:r>
      <w:r w:rsidR="0098362E" w:rsidRPr="00E71EE2">
        <w:rPr>
          <w:b/>
          <w:color w:val="FF0000"/>
          <w:sz w:val="28"/>
          <w:szCs w:val="28"/>
        </w:rPr>
        <w:t>T</w:t>
      </w:r>
      <w:r w:rsidR="00CA33CE" w:rsidRPr="00E71EE2">
        <w:rPr>
          <w:b/>
          <w:color w:val="FF0000"/>
          <w:sz w:val="28"/>
          <w:szCs w:val="28"/>
        </w:rPr>
        <w:t>raining</w:t>
      </w:r>
      <w:r w:rsidR="00A664C4">
        <w:rPr>
          <w:rStyle w:val="FootnoteReference"/>
          <w:b/>
          <w:color w:val="FF0000"/>
          <w:sz w:val="28"/>
          <w:szCs w:val="28"/>
        </w:rPr>
        <w:footnoteReference w:id="2"/>
      </w:r>
    </w:p>
    <w:p w:rsidR="00892CF8" w:rsidRDefault="00892CF8" w:rsidP="003608BD">
      <w:pPr>
        <w:pStyle w:val="NICCYBodyText"/>
        <w:spacing w:line="276" w:lineRule="auto"/>
        <w:rPr>
          <w:color w:val="404040" w:themeColor="text1" w:themeTint="BF"/>
        </w:rPr>
      </w:pPr>
    </w:p>
    <w:p w:rsidR="00E71EE2" w:rsidRDefault="009C3AE8" w:rsidP="003608BD">
      <w:pPr>
        <w:pStyle w:val="NICCYBodyText"/>
        <w:spacing w:line="276" w:lineRule="auto"/>
        <w:rPr>
          <w:color w:val="404040" w:themeColor="text1" w:themeTint="BF"/>
        </w:rPr>
      </w:pPr>
      <w:r w:rsidRPr="009C3AE8">
        <w:rPr>
          <w:color w:val="404040" w:themeColor="text1" w:themeTint="BF"/>
        </w:rPr>
        <w:t xml:space="preserve">On transition from school, the </w:t>
      </w:r>
      <w:r>
        <w:rPr>
          <w:color w:val="404040" w:themeColor="text1" w:themeTint="BF"/>
        </w:rPr>
        <w:t xml:space="preserve">Report notes that the range, quality and accessibility of educational provision varies quite considerably. This issue has also been raised through queries registered with NICCY’s Legal and Investigations team.  </w:t>
      </w:r>
    </w:p>
    <w:p w:rsidR="00370D9A" w:rsidRDefault="00370D9A" w:rsidP="003608BD">
      <w:pPr>
        <w:pStyle w:val="NICCYBodyText"/>
        <w:spacing w:line="276" w:lineRule="auto"/>
        <w:rPr>
          <w:color w:val="404040" w:themeColor="text1" w:themeTint="BF"/>
        </w:rPr>
      </w:pPr>
    </w:p>
    <w:p w:rsidR="00370D9A" w:rsidRPr="00370D9A" w:rsidRDefault="00370D9A" w:rsidP="003608BD">
      <w:pPr>
        <w:pStyle w:val="NICCYBodyText"/>
        <w:spacing w:line="276" w:lineRule="auto"/>
        <w:rPr>
          <w:b/>
          <w:color w:val="404040" w:themeColor="text1" w:themeTint="BF"/>
        </w:rPr>
      </w:pPr>
      <w:r w:rsidRPr="00370D9A">
        <w:rPr>
          <w:b/>
          <w:color w:val="404040" w:themeColor="text1" w:themeTint="BF"/>
        </w:rPr>
        <w:lastRenderedPageBreak/>
        <w:t xml:space="preserve">4.1 </w:t>
      </w:r>
      <w:r w:rsidRPr="00370D9A">
        <w:rPr>
          <w:b/>
          <w:color w:val="404040" w:themeColor="text1" w:themeTint="BF"/>
        </w:rPr>
        <w:tab/>
        <w:t>International Standards</w:t>
      </w:r>
    </w:p>
    <w:p w:rsidR="00370D9A" w:rsidRDefault="00370D9A" w:rsidP="003608BD">
      <w:pPr>
        <w:pStyle w:val="NICCYBodyText"/>
        <w:spacing w:line="276" w:lineRule="auto"/>
        <w:rPr>
          <w:color w:val="404040" w:themeColor="text1" w:themeTint="BF"/>
        </w:rPr>
      </w:pPr>
      <w:r>
        <w:rPr>
          <w:color w:val="404040" w:themeColor="text1" w:themeTint="BF"/>
        </w:rPr>
        <w:t xml:space="preserve">Article 28 of the UNCRC obliges States parties to ‘encourage the development of different forms of secondary education, including general </w:t>
      </w:r>
      <w:r w:rsidR="00DF41A0">
        <w:rPr>
          <w:color w:val="404040" w:themeColor="text1" w:themeTint="BF"/>
        </w:rPr>
        <w:t>and vocational education and make them available and accessible to every child.  Young people with learning disabilities have the same rights as other young people and therefore they should have equal access to good quality education without discrimination.  Article</w:t>
      </w:r>
      <w:r w:rsidR="001A08BE">
        <w:rPr>
          <w:color w:val="404040" w:themeColor="text1" w:themeTint="BF"/>
        </w:rPr>
        <w:t xml:space="preserve"> 24</w:t>
      </w:r>
      <w:r w:rsidR="00DF41A0">
        <w:rPr>
          <w:color w:val="404040" w:themeColor="text1" w:themeTint="BF"/>
        </w:rPr>
        <w:t xml:space="preserve"> of the UNCRPD also obliges States Parties to ensure ‘an inclusive education system at all levels and lifelong learning’.</w:t>
      </w:r>
    </w:p>
    <w:p w:rsidR="00E71EE2" w:rsidRDefault="00E71EE2" w:rsidP="003608BD">
      <w:pPr>
        <w:pStyle w:val="NICCYBodyText"/>
        <w:spacing w:line="276" w:lineRule="auto"/>
        <w:rPr>
          <w:color w:val="404040" w:themeColor="text1" w:themeTint="BF"/>
        </w:rPr>
      </w:pPr>
    </w:p>
    <w:p w:rsidR="00E71EE2" w:rsidRPr="00E71EE2" w:rsidRDefault="00370201" w:rsidP="003608BD">
      <w:pPr>
        <w:pStyle w:val="NICCYBodyText"/>
        <w:spacing w:line="276" w:lineRule="auto"/>
        <w:rPr>
          <w:b/>
          <w:color w:val="404040" w:themeColor="text1" w:themeTint="BF"/>
        </w:rPr>
      </w:pPr>
      <w:r>
        <w:rPr>
          <w:b/>
          <w:color w:val="404040" w:themeColor="text1" w:themeTint="BF"/>
        </w:rPr>
        <w:t>4</w:t>
      </w:r>
      <w:r w:rsidR="00DF41A0">
        <w:rPr>
          <w:b/>
          <w:color w:val="404040" w:themeColor="text1" w:themeTint="BF"/>
        </w:rPr>
        <w:t>.2</w:t>
      </w:r>
      <w:r w:rsidR="00E71EE2" w:rsidRPr="00E71EE2">
        <w:rPr>
          <w:b/>
          <w:color w:val="404040" w:themeColor="text1" w:themeTint="BF"/>
        </w:rPr>
        <w:tab/>
      </w:r>
      <w:r w:rsidR="00E71EE2">
        <w:rPr>
          <w:b/>
          <w:color w:val="404040" w:themeColor="text1" w:themeTint="BF"/>
        </w:rPr>
        <w:t xml:space="preserve">Provision and </w:t>
      </w:r>
      <w:r w:rsidR="00E71EE2" w:rsidRPr="00E71EE2">
        <w:rPr>
          <w:b/>
          <w:color w:val="404040" w:themeColor="text1" w:themeTint="BF"/>
        </w:rPr>
        <w:t>Progression</w:t>
      </w:r>
    </w:p>
    <w:p w:rsidR="009C3AE8" w:rsidRDefault="009C3AE8" w:rsidP="003608BD">
      <w:pPr>
        <w:pStyle w:val="NICCYBodyText"/>
        <w:spacing w:line="276" w:lineRule="auto"/>
        <w:rPr>
          <w:color w:val="404040" w:themeColor="text1" w:themeTint="BF"/>
        </w:rPr>
      </w:pPr>
      <w:r>
        <w:rPr>
          <w:color w:val="404040" w:themeColor="text1" w:themeTint="BF"/>
        </w:rPr>
        <w:t>Reference is made</w:t>
      </w:r>
      <w:r w:rsidR="00E71EE2">
        <w:rPr>
          <w:color w:val="404040" w:themeColor="text1" w:themeTint="BF"/>
        </w:rPr>
        <w:t xml:space="preserve"> in the Report</w:t>
      </w:r>
      <w:r w:rsidR="00A664C4">
        <w:rPr>
          <w:color w:val="404040" w:themeColor="text1" w:themeTint="BF"/>
        </w:rPr>
        <w:t xml:space="preserve"> to the differences in</w:t>
      </w:r>
      <w:r>
        <w:rPr>
          <w:color w:val="404040" w:themeColor="text1" w:themeTint="BF"/>
        </w:rPr>
        <w:t xml:space="preserve"> cou</w:t>
      </w:r>
      <w:r w:rsidR="00E71EE2">
        <w:rPr>
          <w:color w:val="404040" w:themeColor="text1" w:themeTint="BF"/>
        </w:rPr>
        <w:t>rse provision</w:t>
      </w:r>
      <w:r>
        <w:rPr>
          <w:color w:val="404040" w:themeColor="text1" w:themeTint="BF"/>
        </w:rPr>
        <w:t xml:space="preserve"> offered </w:t>
      </w:r>
      <w:r w:rsidR="00A664C4">
        <w:rPr>
          <w:color w:val="404040" w:themeColor="text1" w:themeTint="BF"/>
        </w:rPr>
        <w:t>across</w:t>
      </w:r>
      <w:r>
        <w:rPr>
          <w:color w:val="404040" w:themeColor="text1" w:themeTint="BF"/>
        </w:rPr>
        <w:t xml:space="preserve"> further education campuses and to the </w:t>
      </w:r>
      <w:r w:rsidR="00D942D5">
        <w:rPr>
          <w:color w:val="404040" w:themeColor="text1" w:themeTint="BF"/>
        </w:rPr>
        <w:t>opportunity for progression withi</w:t>
      </w:r>
      <w:r w:rsidR="00716B47">
        <w:rPr>
          <w:color w:val="404040" w:themeColor="text1" w:themeTint="BF"/>
        </w:rPr>
        <w:t>n and onwards from</w:t>
      </w:r>
      <w:r w:rsidR="00D942D5">
        <w:rPr>
          <w:color w:val="404040" w:themeColor="text1" w:themeTint="BF"/>
        </w:rPr>
        <w:t xml:space="preserve"> FE provision.  </w:t>
      </w:r>
      <w:r w:rsidR="00A664C4">
        <w:rPr>
          <w:color w:val="404040" w:themeColor="text1" w:themeTint="BF"/>
        </w:rPr>
        <w:t>T</w:t>
      </w:r>
      <w:r w:rsidR="00D942D5">
        <w:rPr>
          <w:color w:val="404040" w:themeColor="text1" w:themeTint="BF"/>
        </w:rPr>
        <w:t>he Department of Employment</w:t>
      </w:r>
      <w:r w:rsidR="00A664C4">
        <w:rPr>
          <w:color w:val="404040" w:themeColor="text1" w:themeTint="BF"/>
        </w:rPr>
        <w:t xml:space="preserve"> has indicated that </w:t>
      </w:r>
      <w:r w:rsidR="00D942D5">
        <w:rPr>
          <w:color w:val="404040" w:themeColor="text1" w:themeTint="BF"/>
        </w:rPr>
        <w:t>progression is regarded as</w:t>
      </w:r>
      <w:r w:rsidR="00E630A5">
        <w:rPr>
          <w:color w:val="404040" w:themeColor="text1" w:themeTint="BF"/>
        </w:rPr>
        <w:t xml:space="preserve"> an important goal and there is an expectation</w:t>
      </w:r>
      <w:r w:rsidR="00D942D5">
        <w:rPr>
          <w:color w:val="404040" w:themeColor="text1" w:themeTint="BF"/>
        </w:rPr>
        <w:t xml:space="preserve"> that clear progression routes will be defined</w:t>
      </w:r>
      <w:r w:rsidR="00E630A5">
        <w:rPr>
          <w:color w:val="404040" w:themeColor="text1" w:themeTint="BF"/>
        </w:rPr>
        <w:t xml:space="preserve"> for all young people </w:t>
      </w:r>
      <w:r w:rsidR="00A664C4">
        <w:rPr>
          <w:color w:val="404040" w:themeColor="text1" w:themeTint="BF"/>
        </w:rPr>
        <w:t xml:space="preserve">with learning disabilities </w:t>
      </w:r>
      <w:r w:rsidR="00E630A5">
        <w:rPr>
          <w:color w:val="404040" w:themeColor="text1" w:themeTint="BF"/>
        </w:rPr>
        <w:t>enrolled on courses</w:t>
      </w:r>
      <w:r w:rsidR="00D942D5">
        <w:rPr>
          <w:color w:val="404040" w:themeColor="text1" w:themeTint="BF"/>
        </w:rPr>
        <w:t>. However, re</w:t>
      </w:r>
      <w:r w:rsidR="00E71EE2">
        <w:rPr>
          <w:color w:val="404040" w:themeColor="text1" w:themeTint="BF"/>
        </w:rPr>
        <w:t xml:space="preserve">cent consultation </w:t>
      </w:r>
      <w:r w:rsidR="00D942D5">
        <w:rPr>
          <w:color w:val="404040" w:themeColor="text1" w:themeTint="BF"/>
        </w:rPr>
        <w:t>with young p</w:t>
      </w:r>
      <w:r w:rsidR="00E71EE2">
        <w:rPr>
          <w:color w:val="404040" w:themeColor="text1" w:themeTint="BF"/>
        </w:rPr>
        <w:t>eople</w:t>
      </w:r>
      <w:r w:rsidR="00D942D5">
        <w:rPr>
          <w:color w:val="404040" w:themeColor="text1" w:themeTint="BF"/>
        </w:rPr>
        <w:t xml:space="preserve"> suggests that </w:t>
      </w:r>
      <w:r w:rsidR="00E630A5">
        <w:rPr>
          <w:color w:val="404040" w:themeColor="text1" w:themeTint="BF"/>
        </w:rPr>
        <w:t xml:space="preserve">this remains an issue for some (Kelly 2013, </w:t>
      </w:r>
      <w:r w:rsidR="00E71EE2">
        <w:rPr>
          <w:color w:val="404040" w:themeColor="text1" w:themeTint="BF"/>
        </w:rPr>
        <w:t>CYPSP Transitions Sub group 2012)</w:t>
      </w:r>
      <w:r w:rsidR="00AE56DA">
        <w:rPr>
          <w:rStyle w:val="FootnoteReference"/>
          <w:color w:val="404040" w:themeColor="text1" w:themeTint="BF"/>
        </w:rPr>
        <w:footnoteReference w:id="3"/>
      </w:r>
      <w:r w:rsidR="00E71EE2">
        <w:rPr>
          <w:color w:val="404040" w:themeColor="text1" w:themeTint="BF"/>
        </w:rPr>
        <w:t>.</w:t>
      </w:r>
    </w:p>
    <w:p w:rsidR="009642BF" w:rsidRDefault="009642BF" w:rsidP="003608BD">
      <w:pPr>
        <w:pStyle w:val="NICCYBodyText"/>
        <w:spacing w:line="276" w:lineRule="auto"/>
        <w:rPr>
          <w:color w:val="404040" w:themeColor="text1" w:themeTint="BF"/>
        </w:rPr>
      </w:pPr>
    </w:p>
    <w:p w:rsidR="009642BF" w:rsidRPr="00370D9A" w:rsidRDefault="009642BF" w:rsidP="003608BD">
      <w:pPr>
        <w:pStyle w:val="NICCYBodyText"/>
        <w:spacing w:line="276" w:lineRule="auto"/>
        <w:rPr>
          <w:color w:val="404040" w:themeColor="text1" w:themeTint="BF"/>
        </w:rPr>
      </w:pPr>
      <w:r>
        <w:rPr>
          <w:color w:val="404040" w:themeColor="text1" w:themeTint="BF"/>
        </w:rPr>
        <w:t xml:space="preserve">The Report </w:t>
      </w:r>
      <w:r w:rsidR="00716B47">
        <w:rPr>
          <w:color w:val="404040" w:themeColor="text1" w:themeTint="BF"/>
        </w:rPr>
        <w:t xml:space="preserve">also </w:t>
      </w:r>
      <w:r>
        <w:rPr>
          <w:color w:val="404040" w:themeColor="text1" w:themeTint="BF"/>
        </w:rPr>
        <w:t xml:space="preserve">highlights the significant concern regarding educational opportunities for young people with severe or profound learning disabilities after leaving school.  </w:t>
      </w:r>
      <w:r w:rsidR="00A664C4">
        <w:rPr>
          <w:color w:val="404040" w:themeColor="text1" w:themeTint="BF"/>
        </w:rPr>
        <w:t>Many of these young people attend d</w:t>
      </w:r>
      <w:r>
        <w:rPr>
          <w:color w:val="404040" w:themeColor="text1" w:themeTint="BF"/>
        </w:rPr>
        <w:t xml:space="preserve">ay centres </w:t>
      </w:r>
      <w:r w:rsidR="00A664C4">
        <w:rPr>
          <w:color w:val="404040" w:themeColor="text1" w:themeTint="BF"/>
        </w:rPr>
        <w:t>which</w:t>
      </w:r>
      <w:r w:rsidR="00484E2A">
        <w:rPr>
          <w:color w:val="404040" w:themeColor="text1" w:themeTint="BF"/>
        </w:rPr>
        <w:t>, although offering</w:t>
      </w:r>
      <w:r>
        <w:rPr>
          <w:color w:val="404040" w:themeColor="text1" w:themeTint="BF"/>
        </w:rPr>
        <w:t xml:space="preserve"> different </w:t>
      </w:r>
      <w:r w:rsidR="00A664C4">
        <w:rPr>
          <w:color w:val="404040" w:themeColor="text1" w:themeTint="BF"/>
        </w:rPr>
        <w:t>activiti</w:t>
      </w:r>
      <w:r w:rsidR="00892CF8">
        <w:rPr>
          <w:color w:val="404040" w:themeColor="text1" w:themeTint="BF"/>
        </w:rPr>
        <w:t>es, generally do</w:t>
      </w:r>
      <w:r>
        <w:rPr>
          <w:color w:val="404040" w:themeColor="text1" w:themeTint="BF"/>
        </w:rPr>
        <w:t xml:space="preserve"> no</w:t>
      </w:r>
      <w:r w:rsidR="00892CF8">
        <w:rPr>
          <w:color w:val="404040" w:themeColor="text1" w:themeTint="BF"/>
        </w:rPr>
        <w:t>t</w:t>
      </w:r>
      <w:r>
        <w:rPr>
          <w:color w:val="404040" w:themeColor="text1" w:themeTint="BF"/>
        </w:rPr>
        <w:t xml:space="preserve"> </w:t>
      </w:r>
      <w:r w:rsidR="00892CF8">
        <w:rPr>
          <w:color w:val="404040" w:themeColor="text1" w:themeTint="BF"/>
        </w:rPr>
        <w:t>focus on educational outcomes and</w:t>
      </w:r>
      <w:r w:rsidR="00A664C4">
        <w:rPr>
          <w:color w:val="404040" w:themeColor="text1" w:themeTint="BF"/>
        </w:rPr>
        <w:t xml:space="preserve"> individual education plan</w:t>
      </w:r>
      <w:r w:rsidR="00892CF8">
        <w:rPr>
          <w:color w:val="404040" w:themeColor="text1" w:themeTint="BF"/>
        </w:rPr>
        <w:t>s</w:t>
      </w:r>
      <w:r w:rsidR="00A664C4">
        <w:rPr>
          <w:color w:val="404040" w:themeColor="text1" w:themeTint="BF"/>
        </w:rPr>
        <w:t xml:space="preserve"> or assessment</w:t>
      </w:r>
      <w:r w:rsidR="00892CF8">
        <w:rPr>
          <w:color w:val="404040" w:themeColor="text1" w:themeTint="BF"/>
        </w:rPr>
        <w:t>s are</w:t>
      </w:r>
      <w:r w:rsidR="00A664C4">
        <w:rPr>
          <w:color w:val="404040" w:themeColor="text1" w:themeTint="BF"/>
        </w:rPr>
        <w:t xml:space="preserve"> not provided.</w:t>
      </w:r>
      <w:r w:rsidR="00716B47">
        <w:rPr>
          <w:color w:val="404040" w:themeColor="text1" w:themeTint="BF"/>
        </w:rPr>
        <w:t xml:space="preserve">  Parents have expressed concerns that </w:t>
      </w:r>
      <w:r w:rsidR="00370D9A">
        <w:rPr>
          <w:color w:val="404040" w:themeColor="text1" w:themeTint="BF"/>
        </w:rPr>
        <w:t xml:space="preserve">educational </w:t>
      </w:r>
      <w:r w:rsidR="00370D9A" w:rsidRPr="00370D9A">
        <w:rPr>
          <w:color w:val="404040" w:themeColor="text1" w:themeTint="BF"/>
        </w:rPr>
        <w:t>development</w:t>
      </w:r>
      <w:r w:rsidR="009A4099" w:rsidRPr="00370D9A">
        <w:rPr>
          <w:color w:val="404040" w:themeColor="text1" w:themeTint="BF"/>
        </w:rPr>
        <w:t xml:space="preserve"> opportunities for these young people can</w:t>
      </w:r>
      <w:r w:rsidR="00370D9A" w:rsidRPr="00370D9A">
        <w:rPr>
          <w:color w:val="404040" w:themeColor="text1" w:themeTint="BF"/>
        </w:rPr>
        <w:t>,</w:t>
      </w:r>
      <w:r w:rsidR="00312D59" w:rsidRPr="00370D9A">
        <w:rPr>
          <w:color w:val="404040" w:themeColor="text1" w:themeTint="BF"/>
        </w:rPr>
        <w:t xml:space="preserve"> essentially then come to an</w:t>
      </w:r>
      <w:r w:rsidR="00370D9A">
        <w:rPr>
          <w:color w:val="404040" w:themeColor="text1" w:themeTint="BF"/>
        </w:rPr>
        <w:t xml:space="preserve"> abrupt halt, thus impacting on their right to an effective education</w:t>
      </w:r>
      <w:r w:rsidR="00312D59" w:rsidRPr="00370D9A">
        <w:rPr>
          <w:color w:val="404040" w:themeColor="text1" w:themeTint="BF"/>
        </w:rPr>
        <w:t>.</w:t>
      </w:r>
    </w:p>
    <w:p w:rsidR="00850AC3" w:rsidRDefault="00850AC3" w:rsidP="003608BD">
      <w:pPr>
        <w:pStyle w:val="NICCYBodyText"/>
        <w:spacing w:line="276" w:lineRule="auto"/>
        <w:rPr>
          <w:color w:val="FF0000"/>
        </w:rPr>
      </w:pPr>
    </w:p>
    <w:p w:rsidR="00DF41A0" w:rsidRPr="00DF41A0" w:rsidRDefault="00DF41A0" w:rsidP="003608BD">
      <w:pPr>
        <w:pStyle w:val="NICCYBodyText"/>
        <w:spacing w:line="276" w:lineRule="auto"/>
        <w:rPr>
          <w:b/>
          <w:color w:val="404040" w:themeColor="text1" w:themeTint="BF"/>
        </w:rPr>
      </w:pPr>
      <w:r w:rsidRPr="00DF41A0">
        <w:rPr>
          <w:b/>
          <w:color w:val="404040" w:themeColor="text1" w:themeTint="BF"/>
        </w:rPr>
        <w:t>4.3</w:t>
      </w:r>
      <w:r w:rsidRPr="00DF41A0">
        <w:rPr>
          <w:b/>
          <w:color w:val="404040" w:themeColor="text1" w:themeTint="BF"/>
        </w:rPr>
        <w:tab/>
        <w:t>Supporting the needs of young people with learning disabilities</w:t>
      </w:r>
    </w:p>
    <w:p w:rsidR="002151F6" w:rsidRDefault="00DF41A0" w:rsidP="003608BD">
      <w:pPr>
        <w:pStyle w:val="NICCYBodyText"/>
        <w:spacing w:line="276" w:lineRule="auto"/>
        <w:rPr>
          <w:color w:val="FF0000"/>
        </w:rPr>
      </w:pPr>
      <w:r>
        <w:rPr>
          <w:color w:val="404040" w:themeColor="text1" w:themeTint="BF"/>
        </w:rPr>
        <w:t xml:space="preserve">The </w:t>
      </w:r>
      <w:r w:rsidRPr="002151F6">
        <w:rPr>
          <w:color w:val="404040" w:themeColor="text1" w:themeTint="BF"/>
        </w:rPr>
        <w:t xml:space="preserve">Report highlights the need to provide effective personal support to </w:t>
      </w:r>
      <w:r w:rsidR="00850AC3" w:rsidRPr="002151F6">
        <w:rPr>
          <w:color w:val="404040" w:themeColor="text1" w:themeTint="BF"/>
        </w:rPr>
        <w:t>young people to</w:t>
      </w:r>
      <w:r w:rsidRPr="002151F6">
        <w:rPr>
          <w:color w:val="404040" w:themeColor="text1" w:themeTint="BF"/>
        </w:rPr>
        <w:t xml:space="preserve"> enable them to</w:t>
      </w:r>
      <w:r w:rsidR="00850AC3" w:rsidRPr="002151F6">
        <w:rPr>
          <w:color w:val="404040" w:themeColor="text1" w:themeTint="BF"/>
        </w:rPr>
        <w:t xml:space="preserve"> settle into further education</w:t>
      </w:r>
      <w:r w:rsidRPr="002151F6">
        <w:rPr>
          <w:color w:val="404040" w:themeColor="text1" w:themeTint="BF"/>
        </w:rPr>
        <w:t xml:space="preserve">. </w:t>
      </w:r>
      <w:r w:rsidR="002151F6" w:rsidRPr="002151F6">
        <w:rPr>
          <w:color w:val="404040" w:themeColor="text1" w:themeTint="BF"/>
        </w:rPr>
        <w:t>Kelly (2013) underlines the need to recognise the extent of bullying and abuse experienced by young people in transition and the need for clear policies and procedures to address discrimination and violence at multiple levels of society</w:t>
      </w:r>
      <w:r w:rsidR="002151F6" w:rsidRPr="002151F6">
        <w:rPr>
          <w:rStyle w:val="FootnoteReference"/>
          <w:color w:val="404040" w:themeColor="text1" w:themeTint="BF"/>
        </w:rPr>
        <w:footnoteReference w:id="4"/>
      </w:r>
      <w:r w:rsidR="002151F6" w:rsidRPr="002151F6">
        <w:rPr>
          <w:color w:val="404040" w:themeColor="text1" w:themeTint="BF"/>
        </w:rPr>
        <w:t>.  In addition, she recommends that the emotional wellbeing of disabled young people should be</w:t>
      </w:r>
      <w:r w:rsidR="002151F6">
        <w:rPr>
          <w:color w:val="FF0000"/>
        </w:rPr>
        <w:t xml:space="preserve"> </w:t>
      </w:r>
      <w:r w:rsidR="002151F6" w:rsidRPr="002151F6">
        <w:rPr>
          <w:color w:val="404040" w:themeColor="text1" w:themeTint="BF"/>
        </w:rPr>
        <w:t>addressed through the provision of more opportunities to explore issues of self-confidence, identity and self-esteem</w:t>
      </w:r>
      <w:r w:rsidR="002151F6">
        <w:rPr>
          <w:color w:val="404040" w:themeColor="text1" w:themeTint="BF"/>
        </w:rPr>
        <w:t>.</w:t>
      </w:r>
      <w:r w:rsidR="002151F6" w:rsidRPr="002151F6">
        <w:rPr>
          <w:rStyle w:val="FootnoteReference"/>
          <w:color w:val="404040" w:themeColor="text1" w:themeTint="BF"/>
        </w:rPr>
        <w:footnoteReference w:id="5"/>
      </w:r>
    </w:p>
    <w:p w:rsidR="002151F6" w:rsidRDefault="002151F6" w:rsidP="003608BD">
      <w:pPr>
        <w:pStyle w:val="NICCYBodyText"/>
        <w:spacing w:line="276" w:lineRule="auto"/>
        <w:rPr>
          <w:color w:val="FF0000"/>
        </w:rPr>
      </w:pPr>
    </w:p>
    <w:p w:rsidR="00111FDC" w:rsidRDefault="00111FDC" w:rsidP="003608BD">
      <w:pPr>
        <w:pStyle w:val="NICCYBodyText"/>
        <w:spacing w:line="276" w:lineRule="auto"/>
        <w:rPr>
          <w:b/>
          <w:color w:val="FF0000"/>
          <w:sz w:val="28"/>
          <w:szCs w:val="28"/>
        </w:rPr>
      </w:pPr>
    </w:p>
    <w:p w:rsidR="00310DEC" w:rsidRDefault="00370201" w:rsidP="003608BD">
      <w:pPr>
        <w:pStyle w:val="NICCYBodyText"/>
        <w:spacing w:line="276" w:lineRule="auto"/>
        <w:rPr>
          <w:b/>
          <w:color w:val="FF0000"/>
          <w:sz w:val="28"/>
          <w:szCs w:val="28"/>
        </w:rPr>
      </w:pPr>
      <w:r>
        <w:rPr>
          <w:b/>
          <w:color w:val="FF0000"/>
          <w:sz w:val="28"/>
          <w:szCs w:val="28"/>
        </w:rPr>
        <w:lastRenderedPageBreak/>
        <w:t>5</w:t>
      </w:r>
      <w:r w:rsidR="004C3DBD" w:rsidRPr="004C3DBD">
        <w:rPr>
          <w:b/>
          <w:color w:val="FF0000"/>
          <w:sz w:val="28"/>
          <w:szCs w:val="28"/>
        </w:rPr>
        <w:t>.0</w:t>
      </w:r>
      <w:r w:rsidR="004C3DBD" w:rsidRPr="004C3DBD">
        <w:rPr>
          <w:b/>
          <w:color w:val="FF0000"/>
          <w:sz w:val="28"/>
          <w:szCs w:val="28"/>
        </w:rPr>
        <w:tab/>
      </w:r>
      <w:r w:rsidR="00ED0288" w:rsidRPr="004C3DBD">
        <w:rPr>
          <w:b/>
          <w:color w:val="FF0000"/>
          <w:sz w:val="28"/>
          <w:szCs w:val="28"/>
        </w:rPr>
        <w:t>Transitions to E</w:t>
      </w:r>
      <w:r w:rsidR="00CA33CE" w:rsidRPr="004C3DBD">
        <w:rPr>
          <w:b/>
          <w:color w:val="FF0000"/>
          <w:sz w:val="28"/>
          <w:szCs w:val="28"/>
        </w:rPr>
        <w:t>mployment</w:t>
      </w:r>
      <w:r w:rsidR="00D80E42">
        <w:rPr>
          <w:rStyle w:val="FootnoteReference"/>
          <w:b/>
          <w:color w:val="FF0000"/>
          <w:sz w:val="28"/>
          <w:szCs w:val="28"/>
        </w:rPr>
        <w:footnoteReference w:id="6"/>
      </w:r>
      <w:r w:rsidR="00CA33CE" w:rsidRPr="004C3DBD">
        <w:rPr>
          <w:b/>
          <w:color w:val="FF0000"/>
          <w:sz w:val="28"/>
          <w:szCs w:val="28"/>
        </w:rPr>
        <w:t xml:space="preserve"> </w:t>
      </w:r>
    </w:p>
    <w:p w:rsidR="009642BF" w:rsidRDefault="009642BF" w:rsidP="003608BD">
      <w:pPr>
        <w:pStyle w:val="NICCYBodyText"/>
        <w:spacing w:line="276" w:lineRule="auto"/>
        <w:rPr>
          <w:b/>
          <w:color w:val="FF0000"/>
          <w:sz w:val="28"/>
          <w:szCs w:val="28"/>
        </w:rPr>
      </w:pPr>
    </w:p>
    <w:p w:rsidR="001A08BE" w:rsidRDefault="001A08BE" w:rsidP="003608BD">
      <w:pPr>
        <w:pStyle w:val="NICCYBodyText"/>
        <w:spacing w:line="276" w:lineRule="auto"/>
        <w:rPr>
          <w:b/>
          <w:color w:val="404040" w:themeColor="text1" w:themeTint="BF"/>
        </w:rPr>
      </w:pPr>
      <w:r w:rsidRPr="001A08BE">
        <w:rPr>
          <w:b/>
          <w:color w:val="404040" w:themeColor="text1" w:themeTint="BF"/>
        </w:rPr>
        <w:t>5.1</w:t>
      </w:r>
      <w:r w:rsidRPr="001A08BE">
        <w:rPr>
          <w:b/>
          <w:color w:val="404040" w:themeColor="text1" w:themeTint="BF"/>
        </w:rPr>
        <w:tab/>
        <w:t>International Standards</w:t>
      </w:r>
    </w:p>
    <w:p w:rsidR="00335131" w:rsidRPr="00961A3E" w:rsidRDefault="00335131" w:rsidP="003608BD">
      <w:pPr>
        <w:pStyle w:val="NICCYBodyText"/>
        <w:spacing w:line="276" w:lineRule="auto"/>
        <w:rPr>
          <w:color w:val="404040" w:themeColor="text1" w:themeTint="BF"/>
        </w:rPr>
      </w:pPr>
      <w:r w:rsidRPr="00961A3E">
        <w:rPr>
          <w:color w:val="404040" w:themeColor="text1" w:themeTint="BF"/>
        </w:rPr>
        <w:t>Article 25 of the UNCRPD outlines the right to work and employment without discrimination.  The article further expands on the rights of people with disabilities to promote their career advancement and employment opportunities, to ensure reasonable accommodation is provided to persons with disabilities within the workplace, and to promote the acquisition of experience for persons with disabilities in the open labour market.</w:t>
      </w:r>
    </w:p>
    <w:p w:rsidR="001A08BE" w:rsidRPr="001A08BE" w:rsidRDefault="001A08BE" w:rsidP="003608BD">
      <w:pPr>
        <w:pStyle w:val="NICCYBodyText"/>
        <w:spacing w:line="276" w:lineRule="auto"/>
        <w:rPr>
          <w:b/>
          <w:color w:val="404040" w:themeColor="text1" w:themeTint="BF"/>
        </w:rPr>
      </w:pPr>
    </w:p>
    <w:p w:rsidR="00850AC3" w:rsidRPr="00850AC3" w:rsidRDefault="00370201" w:rsidP="003608BD">
      <w:pPr>
        <w:pStyle w:val="NICCYBodyText"/>
        <w:spacing w:line="276" w:lineRule="auto"/>
        <w:rPr>
          <w:b/>
          <w:color w:val="auto"/>
        </w:rPr>
      </w:pPr>
      <w:r>
        <w:rPr>
          <w:b/>
          <w:color w:val="auto"/>
        </w:rPr>
        <w:t>5</w:t>
      </w:r>
      <w:r w:rsidR="001A08BE">
        <w:rPr>
          <w:b/>
          <w:color w:val="auto"/>
        </w:rPr>
        <w:t>.2</w:t>
      </w:r>
      <w:r w:rsidR="00850AC3">
        <w:rPr>
          <w:b/>
          <w:color w:val="auto"/>
        </w:rPr>
        <w:t xml:space="preserve">   </w:t>
      </w:r>
      <w:r w:rsidR="00850AC3">
        <w:rPr>
          <w:b/>
          <w:color w:val="auto"/>
        </w:rPr>
        <w:tab/>
        <w:t>Opportunities for Work Experience</w:t>
      </w:r>
    </w:p>
    <w:p w:rsidR="00D80E42" w:rsidRPr="00405460" w:rsidRDefault="009642BF" w:rsidP="003608BD">
      <w:pPr>
        <w:pStyle w:val="NICCYBodyText"/>
        <w:spacing w:line="276" w:lineRule="auto"/>
        <w:rPr>
          <w:color w:val="auto"/>
        </w:rPr>
      </w:pPr>
      <w:r w:rsidRPr="00405460">
        <w:rPr>
          <w:color w:val="auto"/>
        </w:rPr>
        <w:t xml:space="preserve">Research </w:t>
      </w:r>
      <w:r w:rsidR="009A4099" w:rsidRPr="00405460">
        <w:rPr>
          <w:color w:val="auto"/>
        </w:rPr>
        <w:t>indicates that</w:t>
      </w:r>
      <w:r w:rsidRPr="00405460">
        <w:rPr>
          <w:color w:val="auto"/>
        </w:rPr>
        <w:t xml:space="preserve"> opportunities</w:t>
      </w:r>
      <w:r w:rsidR="009A4099" w:rsidRPr="00405460">
        <w:rPr>
          <w:color w:val="auto"/>
        </w:rPr>
        <w:t xml:space="preserve"> for young people with learning disabilities</w:t>
      </w:r>
      <w:r w:rsidRPr="00405460">
        <w:rPr>
          <w:color w:val="auto"/>
        </w:rPr>
        <w:t xml:space="preserve"> to achieve fulfilling paid employment </w:t>
      </w:r>
      <w:r w:rsidR="009A4099" w:rsidRPr="00405460">
        <w:rPr>
          <w:color w:val="auto"/>
        </w:rPr>
        <w:t xml:space="preserve">are </w:t>
      </w:r>
      <w:r w:rsidRPr="00405460">
        <w:rPr>
          <w:color w:val="auto"/>
        </w:rPr>
        <w:t>scarce</w:t>
      </w:r>
      <w:r w:rsidR="00484E2A">
        <w:rPr>
          <w:rStyle w:val="FootnoteReference"/>
          <w:color w:val="auto"/>
        </w:rPr>
        <w:footnoteReference w:id="7"/>
      </w:r>
      <w:r w:rsidR="00A74B37" w:rsidRPr="00405460">
        <w:rPr>
          <w:color w:val="auto"/>
        </w:rPr>
        <w:t xml:space="preserve">. Transition </w:t>
      </w:r>
      <w:r w:rsidR="009A4099" w:rsidRPr="00405460">
        <w:rPr>
          <w:color w:val="auto"/>
        </w:rPr>
        <w:t xml:space="preserve">is </w:t>
      </w:r>
      <w:r w:rsidR="00A74B37" w:rsidRPr="00405460">
        <w:rPr>
          <w:color w:val="auto"/>
        </w:rPr>
        <w:t xml:space="preserve">more likely to lead to further education or a day service than employment. </w:t>
      </w:r>
      <w:r w:rsidR="009A4099" w:rsidRPr="00405460">
        <w:rPr>
          <w:color w:val="auto"/>
        </w:rPr>
        <w:t>The Report notes that pupils attending MLD schools do have annual work experience placements throughout Key Stage 4 and in-house or community-based placements may be made available to some pupils in SLD schools for whom this is appropriate. However provision is inconsistent and may be arranged on an informal basis</w:t>
      </w:r>
      <w:r w:rsidR="009A4099">
        <w:rPr>
          <w:color w:val="FF0000"/>
        </w:rPr>
        <w:t xml:space="preserve"> </w:t>
      </w:r>
      <w:r w:rsidR="009A4099" w:rsidRPr="00405460">
        <w:rPr>
          <w:color w:val="auto"/>
        </w:rPr>
        <w:t xml:space="preserve">through family members.  </w:t>
      </w:r>
      <w:r w:rsidR="00D80E42" w:rsidRPr="00405460">
        <w:rPr>
          <w:color w:val="auto"/>
        </w:rPr>
        <w:t>Therefore there appears to be a need for more opportunities for young people to access work experience while at school in order to increase their potential to progress to paid employment at a later stage.</w:t>
      </w:r>
    </w:p>
    <w:p w:rsidR="00D80E42" w:rsidRDefault="00D80E42" w:rsidP="003608BD">
      <w:pPr>
        <w:pStyle w:val="NICCYBodyText"/>
        <w:spacing w:line="276" w:lineRule="auto"/>
        <w:rPr>
          <w:color w:val="FF0000"/>
        </w:rPr>
      </w:pPr>
    </w:p>
    <w:p w:rsidR="00850AC3" w:rsidRPr="00850AC3" w:rsidRDefault="00370201" w:rsidP="003608BD">
      <w:pPr>
        <w:pStyle w:val="NICCYBodyText"/>
        <w:spacing w:line="276" w:lineRule="auto"/>
        <w:rPr>
          <w:b/>
          <w:color w:val="auto"/>
        </w:rPr>
      </w:pPr>
      <w:r>
        <w:rPr>
          <w:b/>
          <w:color w:val="auto"/>
        </w:rPr>
        <w:t>5</w:t>
      </w:r>
      <w:r w:rsidR="00850AC3" w:rsidRPr="00850AC3">
        <w:rPr>
          <w:b/>
          <w:color w:val="auto"/>
        </w:rPr>
        <w:t>.</w:t>
      </w:r>
      <w:r w:rsidR="001A08BE">
        <w:rPr>
          <w:b/>
          <w:color w:val="auto"/>
        </w:rPr>
        <w:t>3</w:t>
      </w:r>
      <w:r w:rsidR="00850AC3" w:rsidRPr="00850AC3">
        <w:rPr>
          <w:b/>
          <w:color w:val="auto"/>
        </w:rPr>
        <w:t xml:space="preserve">   Transition to Paid Employment</w:t>
      </w:r>
    </w:p>
    <w:p w:rsidR="00405460" w:rsidRPr="00405460" w:rsidRDefault="00370201" w:rsidP="003608BD">
      <w:pPr>
        <w:pStyle w:val="NICCYBodyText"/>
        <w:spacing w:line="276" w:lineRule="auto"/>
        <w:rPr>
          <w:color w:val="auto"/>
        </w:rPr>
      </w:pPr>
      <w:r>
        <w:rPr>
          <w:color w:val="auto"/>
        </w:rPr>
        <w:t xml:space="preserve">The </w:t>
      </w:r>
      <w:r w:rsidR="00405460" w:rsidRPr="00405460">
        <w:rPr>
          <w:color w:val="auto"/>
        </w:rPr>
        <w:t xml:space="preserve">Report </w:t>
      </w:r>
      <w:r w:rsidR="008A21C7">
        <w:rPr>
          <w:color w:val="auto"/>
        </w:rPr>
        <w:t>refers to</w:t>
      </w:r>
      <w:r w:rsidR="00405460">
        <w:rPr>
          <w:color w:val="auto"/>
        </w:rPr>
        <w:t xml:space="preserve"> </w:t>
      </w:r>
      <w:r>
        <w:rPr>
          <w:color w:val="auto"/>
        </w:rPr>
        <w:t xml:space="preserve">the </w:t>
      </w:r>
      <w:r w:rsidR="00405460">
        <w:rPr>
          <w:color w:val="auto"/>
        </w:rPr>
        <w:t>benefits of government based employment schemes for people with disabilities but also notes that signifi</w:t>
      </w:r>
      <w:r w:rsidR="00961A3E">
        <w:rPr>
          <w:color w:val="auto"/>
        </w:rPr>
        <w:t>cant numbers do not then progress</w:t>
      </w:r>
      <w:r w:rsidR="00405460">
        <w:rPr>
          <w:color w:val="auto"/>
        </w:rPr>
        <w:t xml:space="preserve"> to paid employment. An evaluation of the Workable (NI) Programme</w:t>
      </w:r>
      <w:r w:rsidR="008A21C7">
        <w:rPr>
          <w:color w:val="auto"/>
        </w:rPr>
        <w:t xml:space="preserve"> in 2010</w:t>
      </w:r>
      <w:r w:rsidR="00405460">
        <w:rPr>
          <w:color w:val="auto"/>
        </w:rPr>
        <w:t xml:space="preserve"> indicated th</w:t>
      </w:r>
      <w:r w:rsidR="00961A3E">
        <w:rPr>
          <w:color w:val="auto"/>
        </w:rPr>
        <w:t>at only 9% of participants move</w:t>
      </w:r>
      <w:r w:rsidR="0079526D">
        <w:rPr>
          <w:color w:val="auto"/>
        </w:rPr>
        <w:t xml:space="preserve"> to unsupported employment</w:t>
      </w:r>
      <w:r w:rsidR="00370D9A">
        <w:rPr>
          <w:rStyle w:val="FootnoteReference"/>
          <w:color w:val="auto"/>
        </w:rPr>
        <w:footnoteReference w:id="8"/>
      </w:r>
      <w:r w:rsidR="008A21C7">
        <w:rPr>
          <w:color w:val="auto"/>
        </w:rPr>
        <w:t>.  Reference is al</w:t>
      </w:r>
      <w:r w:rsidR="00961A3E">
        <w:rPr>
          <w:color w:val="auto"/>
        </w:rPr>
        <w:t>so made to other factors limiting</w:t>
      </w:r>
      <w:r w:rsidR="008A21C7">
        <w:rPr>
          <w:color w:val="auto"/>
        </w:rPr>
        <w:t xml:space="preserve"> access to employment, including admission criteria, duration of the programme, the pattern of provision, an absence of clear intra-agency partnerships, low expectations and inflexible benefit rules</w:t>
      </w:r>
      <w:r w:rsidR="008A21C7">
        <w:rPr>
          <w:rStyle w:val="FootnoteReference"/>
          <w:color w:val="auto"/>
        </w:rPr>
        <w:footnoteReference w:id="9"/>
      </w:r>
      <w:r w:rsidR="008A21C7">
        <w:rPr>
          <w:color w:val="auto"/>
        </w:rPr>
        <w:t>.</w:t>
      </w:r>
    </w:p>
    <w:p w:rsidR="00D80E42" w:rsidRDefault="00D80E42" w:rsidP="003608BD">
      <w:pPr>
        <w:pStyle w:val="NICCYBodyText"/>
        <w:spacing w:line="276" w:lineRule="auto"/>
        <w:rPr>
          <w:color w:val="FF0000"/>
        </w:rPr>
      </w:pPr>
    </w:p>
    <w:p w:rsidR="009A4099" w:rsidRPr="00DA408F" w:rsidRDefault="006129A5" w:rsidP="003608BD">
      <w:pPr>
        <w:pStyle w:val="NICCYBodyText"/>
        <w:spacing w:line="276" w:lineRule="auto"/>
        <w:rPr>
          <w:color w:val="404040" w:themeColor="text1" w:themeTint="BF"/>
        </w:rPr>
      </w:pPr>
      <w:r w:rsidRPr="00484E2A">
        <w:rPr>
          <w:color w:val="404040" w:themeColor="text1" w:themeTint="BF"/>
        </w:rPr>
        <w:t>A range of community and voluntary sector organ</w:t>
      </w:r>
      <w:r w:rsidR="005C7002" w:rsidRPr="00484E2A">
        <w:rPr>
          <w:color w:val="404040" w:themeColor="text1" w:themeTint="BF"/>
        </w:rPr>
        <w:t>isations in Northern Ireland offer</w:t>
      </w:r>
      <w:r w:rsidRPr="00484E2A">
        <w:rPr>
          <w:color w:val="404040" w:themeColor="text1" w:themeTint="BF"/>
        </w:rPr>
        <w:t xml:space="preserve"> supported employment opportunities and these aim to provide meaningful work-based and skills develop</w:t>
      </w:r>
      <w:r w:rsidR="005C7002" w:rsidRPr="00484E2A">
        <w:rPr>
          <w:color w:val="404040" w:themeColor="text1" w:themeTint="BF"/>
        </w:rPr>
        <w:t>ment experiences for young people, some of who</w:t>
      </w:r>
      <w:r w:rsidR="00961A3E">
        <w:rPr>
          <w:color w:val="404040" w:themeColor="text1" w:themeTint="BF"/>
        </w:rPr>
        <w:t>m</w:t>
      </w:r>
      <w:r w:rsidR="005C7002" w:rsidRPr="00484E2A">
        <w:rPr>
          <w:color w:val="404040" w:themeColor="text1" w:themeTint="BF"/>
        </w:rPr>
        <w:t xml:space="preserve"> have severe learning d</w:t>
      </w:r>
      <w:r w:rsidR="00484E2A" w:rsidRPr="00484E2A">
        <w:rPr>
          <w:color w:val="404040" w:themeColor="text1" w:themeTint="BF"/>
        </w:rPr>
        <w:t>isabilities. While the</w:t>
      </w:r>
      <w:r w:rsidR="005C7002" w:rsidRPr="00484E2A">
        <w:rPr>
          <w:color w:val="404040" w:themeColor="text1" w:themeTint="BF"/>
        </w:rPr>
        <w:t xml:space="preserve"> opportunities available through these organisations are </w:t>
      </w:r>
      <w:r w:rsidR="00484E2A" w:rsidRPr="00484E2A">
        <w:rPr>
          <w:color w:val="404040" w:themeColor="text1" w:themeTint="BF"/>
        </w:rPr>
        <w:t xml:space="preserve">clearly regarded as very </w:t>
      </w:r>
      <w:r w:rsidR="00484E2A" w:rsidRPr="00484E2A">
        <w:rPr>
          <w:color w:val="404040" w:themeColor="text1" w:themeTint="BF"/>
        </w:rPr>
        <w:lastRenderedPageBreak/>
        <w:t>valuable there is a requirement to ensure they are provided with sufficient resources to enable them to continue</w:t>
      </w:r>
      <w:r w:rsidR="00961A3E">
        <w:rPr>
          <w:color w:val="404040" w:themeColor="text1" w:themeTint="BF"/>
        </w:rPr>
        <w:t xml:space="preserve"> with</w:t>
      </w:r>
      <w:r w:rsidR="00484E2A" w:rsidRPr="00484E2A">
        <w:rPr>
          <w:color w:val="404040" w:themeColor="text1" w:themeTint="BF"/>
        </w:rPr>
        <w:t xml:space="preserve"> such provision.</w:t>
      </w:r>
    </w:p>
    <w:p w:rsidR="009A4099" w:rsidRDefault="009A4099" w:rsidP="003608BD">
      <w:pPr>
        <w:pStyle w:val="NICCYBodyText"/>
        <w:spacing w:line="276" w:lineRule="auto"/>
        <w:rPr>
          <w:color w:val="404040" w:themeColor="text1" w:themeTint="BF"/>
        </w:rPr>
      </w:pPr>
    </w:p>
    <w:p w:rsidR="00961A3E" w:rsidRDefault="009C2670" w:rsidP="009C2670">
      <w:pPr>
        <w:pStyle w:val="NICCYBodyText"/>
        <w:numPr>
          <w:ilvl w:val="0"/>
          <w:numId w:val="7"/>
        </w:numPr>
        <w:spacing w:line="276" w:lineRule="auto"/>
        <w:ind w:left="426"/>
        <w:rPr>
          <w:b/>
          <w:color w:val="FF0000"/>
          <w:sz w:val="28"/>
          <w:szCs w:val="28"/>
        </w:rPr>
      </w:pPr>
      <w:r>
        <w:rPr>
          <w:b/>
          <w:color w:val="FF0000"/>
          <w:sz w:val="28"/>
          <w:szCs w:val="28"/>
        </w:rPr>
        <w:t xml:space="preserve">     </w:t>
      </w:r>
      <w:r w:rsidR="00335131">
        <w:rPr>
          <w:b/>
          <w:color w:val="FF0000"/>
          <w:sz w:val="28"/>
          <w:szCs w:val="28"/>
        </w:rPr>
        <w:t>Additional issues</w:t>
      </w:r>
    </w:p>
    <w:p w:rsidR="00ED0288" w:rsidRDefault="00335131" w:rsidP="00961A3E">
      <w:pPr>
        <w:pStyle w:val="NICCYBodyText"/>
        <w:spacing w:line="276" w:lineRule="auto"/>
        <w:ind w:left="426"/>
        <w:rPr>
          <w:b/>
          <w:color w:val="FF0000"/>
          <w:sz w:val="28"/>
          <w:szCs w:val="28"/>
        </w:rPr>
      </w:pPr>
      <w:r>
        <w:rPr>
          <w:b/>
          <w:color w:val="FF0000"/>
          <w:sz w:val="28"/>
          <w:szCs w:val="28"/>
        </w:rPr>
        <w:t xml:space="preserve"> </w:t>
      </w:r>
    </w:p>
    <w:p w:rsidR="009C2670" w:rsidRPr="009C2670" w:rsidRDefault="009C2670" w:rsidP="009C2670">
      <w:pPr>
        <w:pStyle w:val="NICCYBodyText"/>
        <w:spacing w:line="276" w:lineRule="auto"/>
        <w:ind w:left="21"/>
        <w:rPr>
          <w:b/>
          <w:color w:val="404040" w:themeColor="text1" w:themeTint="BF"/>
        </w:rPr>
      </w:pPr>
      <w:r w:rsidRPr="009C2670">
        <w:rPr>
          <w:b/>
          <w:color w:val="404040" w:themeColor="text1" w:themeTint="BF"/>
        </w:rPr>
        <w:t>6.1</w:t>
      </w:r>
      <w:r w:rsidRPr="009C2670">
        <w:rPr>
          <w:b/>
          <w:color w:val="404040" w:themeColor="text1" w:themeTint="BF"/>
        </w:rPr>
        <w:tab/>
        <w:t>Availability of Relevant Data</w:t>
      </w:r>
    </w:p>
    <w:p w:rsidR="009C2670" w:rsidRDefault="00961A3E" w:rsidP="00335131">
      <w:pPr>
        <w:pStyle w:val="NICCYBodyText"/>
        <w:spacing w:line="276" w:lineRule="auto"/>
        <w:rPr>
          <w:color w:val="404040" w:themeColor="text1" w:themeTint="BF"/>
        </w:rPr>
      </w:pPr>
      <w:r>
        <w:rPr>
          <w:color w:val="404040" w:themeColor="text1" w:themeTint="BF"/>
        </w:rPr>
        <w:t>In order to evaluate</w:t>
      </w:r>
      <w:r w:rsidR="009C2670">
        <w:rPr>
          <w:color w:val="404040" w:themeColor="text1" w:themeTint="BF"/>
        </w:rPr>
        <w:t xml:space="preserve"> current provision and to plan for effective future provision, there is a need to gather relevant, up-to-date, flexible data which can provide information on the progression, qualifications and outcomes for young people with learning disabilities. </w:t>
      </w:r>
      <w:r w:rsidR="00C603C2">
        <w:rPr>
          <w:color w:val="404040" w:themeColor="text1" w:themeTint="BF"/>
        </w:rPr>
        <w:t>Article 31 of the UNCRPD states that countries must collect information about people</w:t>
      </w:r>
      <w:r w:rsidR="00DA408F">
        <w:rPr>
          <w:color w:val="404040" w:themeColor="text1" w:themeTint="BF"/>
        </w:rPr>
        <w:t xml:space="preserve"> with disabilities, </w:t>
      </w:r>
      <w:r w:rsidR="00C603C2">
        <w:rPr>
          <w:color w:val="404040" w:themeColor="text1" w:themeTint="BF"/>
        </w:rPr>
        <w:t>actively involving them</w:t>
      </w:r>
      <w:r>
        <w:rPr>
          <w:color w:val="404040" w:themeColor="text1" w:themeTint="BF"/>
        </w:rPr>
        <w:t xml:space="preserve"> in this collection</w:t>
      </w:r>
      <w:r w:rsidR="00C603C2">
        <w:rPr>
          <w:color w:val="404040" w:themeColor="text1" w:themeTint="BF"/>
        </w:rPr>
        <w:t xml:space="preserve">. </w:t>
      </w:r>
      <w:r w:rsidR="009C2670">
        <w:rPr>
          <w:color w:val="404040" w:themeColor="text1" w:themeTint="BF"/>
        </w:rPr>
        <w:t>Such data should be shared across relevant government departments and be readily accessible to all stakeholders.</w:t>
      </w:r>
    </w:p>
    <w:p w:rsidR="009C2670" w:rsidRDefault="009C2670" w:rsidP="009C2670">
      <w:pPr>
        <w:pStyle w:val="NICCYBodyText"/>
        <w:spacing w:line="276" w:lineRule="auto"/>
        <w:rPr>
          <w:color w:val="404040" w:themeColor="text1" w:themeTint="BF"/>
        </w:rPr>
      </w:pPr>
    </w:p>
    <w:p w:rsidR="009C2670" w:rsidRPr="009C2670" w:rsidRDefault="009C2670" w:rsidP="009C2670">
      <w:pPr>
        <w:pStyle w:val="NICCYBodyText"/>
        <w:spacing w:line="276" w:lineRule="auto"/>
        <w:rPr>
          <w:b/>
          <w:color w:val="404040" w:themeColor="text1" w:themeTint="BF"/>
        </w:rPr>
      </w:pPr>
      <w:r w:rsidRPr="009C2670">
        <w:rPr>
          <w:b/>
          <w:color w:val="404040" w:themeColor="text1" w:themeTint="BF"/>
        </w:rPr>
        <w:t>6.2</w:t>
      </w:r>
      <w:r w:rsidRPr="009C2670">
        <w:rPr>
          <w:b/>
          <w:color w:val="404040" w:themeColor="text1" w:themeTint="BF"/>
        </w:rPr>
        <w:tab/>
        <w:t>Person-centred Planning</w:t>
      </w:r>
    </w:p>
    <w:p w:rsidR="00C603C2" w:rsidRDefault="009C2670" w:rsidP="009C2670">
      <w:pPr>
        <w:pStyle w:val="NICCYBodyText"/>
        <w:spacing w:line="276" w:lineRule="auto"/>
        <w:rPr>
          <w:color w:val="404040" w:themeColor="text1" w:themeTint="BF"/>
        </w:rPr>
      </w:pPr>
      <w:r>
        <w:rPr>
          <w:color w:val="404040" w:themeColor="text1" w:themeTint="BF"/>
        </w:rPr>
        <w:t xml:space="preserve">The importance of adopting a </w:t>
      </w:r>
      <w:r w:rsidR="00CA33CE">
        <w:rPr>
          <w:color w:val="404040" w:themeColor="text1" w:themeTint="BF"/>
        </w:rPr>
        <w:t>person-centred transition planning and approach</w:t>
      </w:r>
      <w:r>
        <w:rPr>
          <w:color w:val="404040" w:themeColor="text1" w:themeTint="BF"/>
        </w:rPr>
        <w:t xml:space="preserve"> is highlighted in the Report, reflecting a position outlined in other </w:t>
      </w:r>
      <w:r w:rsidR="00961A3E">
        <w:rPr>
          <w:color w:val="404040" w:themeColor="text1" w:themeTint="BF"/>
        </w:rPr>
        <w:t>documents</w:t>
      </w:r>
      <w:r w:rsidR="00C603C2">
        <w:rPr>
          <w:rStyle w:val="FootnoteReference"/>
          <w:color w:val="404040" w:themeColor="text1" w:themeTint="BF"/>
        </w:rPr>
        <w:footnoteReference w:id="10"/>
      </w:r>
      <w:r w:rsidR="00C603C2">
        <w:rPr>
          <w:color w:val="404040" w:themeColor="text1" w:themeTint="BF"/>
        </w:rPr>
        <w:t>. It is vitally important that decisions regarding the provision of education, training and employment are determined by the best interests of the young person rather than by what is available or accessible. There has been a demand from parents and young people for more flexible packages which are tailored to their particular interests, strengths and needs. Young people themselves have emphasised that they would like transition processes to be positive experiences, ‘focusing on what they can do, rather than what they cannot</w:t>
      </w:r>
      <w:r w:rsidR="00961A3E">
        <w:rPr>
          <w:color w:val="404040" w:themeColor="text1" w:themeTint="BF"/>
        </w:rPr>
        <w:t xml:space="preserve"> (p.63)</w:t>
      </w:r>
      <w:r w:rsidR="000168AB">
        <w:rPr>
          <w:color w:val="404040" w:themeColor="text1" w:themeTint="BF"/>
        </w:rPr>
        <w:t>.</w:t>
      </w:r>
    </w:p>
    <w:p w:rsidR="00C603C2" w:rsidRDefault="00C603C2" w:rsidP="009C2670">
      <w:pPr>
        <w:pStyle w:val="NICCYBodyText"/>
        <w:spacing w:line="276" w:lineRule="auto"/>
        <w:rPr>
          <w:color w:val="404040" w:themeColor="text1" w:themeTint="BF"/>
        </w:rPr>
      </w:pPr>
    </w:p>
    <w:p w:rsidR="00370D9A" w:rsidRPr="00C603C2" w:rsidRDefault="00C603C2" w:rsidP="00C603C2">
      <w:pPr>
        <w:pStyle w:val="NICCYBodyText"/>
        <w:numPr>
          <w:ilvl w:val="1"/>
          <w:numId w:val="9"/>
        </w:numPr>
        <w:spacing w:line="276" w:lineRule="auto"/>
        <w:rPr>
          <w:b/>
          <w:color w:val="404040" w:themeColor="text1" w:themeTint="BF"/>
        </w:rPr>
      </w:pPr>
      <w:r w:rsidRPr="00C603C2">
        <w:rPr>
          <w:b/>
          <w:color w:val="404040" w:themeColor="text1" w:themeTint="BF"/>
        </w:rPr>
        <w:t xml:space="preserve">      I</w:t>
      </w:r>
      <w:r w:rsidR="00370D9A" w:rsidRPr="00C603C2">
        <w:rPr>
          <w:b/>
          <w:color w:val="404040" w:themeColor="text1" w:themeTint="BF"/>
        </w:rPr>
        <w:t>ntegrated Planning</w:t>
      </w:r>
    </w:p>
    <w:p w:rsidR="00370D9A" w:rsidRPr="005B0901" w:rsidRDefault="00C603C2" w:rsidP="00C603C2">
      <w:pPr>
        <w:pStyle w:val="NICCYBodyText"/>
        <w:spacing w:line="276" w:lineRule="auto"/>
        <w:rPr>
          <w:color w:val="404040" w:themeColor="text1" w:themeTint="BF"/>
        </w:rPr>
      </w:pPr>
      <w:r>
        <w:rPr>
          <w:color w:val="404040" w:themeColor="text1" w:themeTint="BF"/>
        </w:rPr>
        <w:t>A perennial issue, widely acknowledged by ma</w:t>
      </w:r>
      <w:r w:rsidR="006D66B8">
        <w:rPr>
          <w:color w:val="404040" w:themeColor="text1" w:themeTint="BF"/>
        </w:rPr>
        <w:t>ny stakeholders</w:t>
      </w:r>
      <w:r w:rsidR="00961A3E">
        <w:rPr>
          <w:color w:val="404040" w:themeColor="text1" w:themeTint="BF"/>
        </w:rPr>
        <w:t>,</w:t>
      </w:r>
      <w:r w:rsidR="006D66B8">
        <w:rPr>
          <w:color w:val="404040" w:themeColor="text1" w:themeTint="BF"/>
        </w:rPr>
        <w:t xml:space="preserve"> is the need for </w:t>
      </w:r>
      <w:r w:rsidR="000168AB">
        <w:rPr>
          <w:color w:val="404040" w:themeColor="text1" w:themeTint="BF"/>
        </w:rPr>
        <w:t>integrated planning services between education and health and social care.  While the</w:t>
      </w:r>
      <w:r w:rsidR="00961A3E">
        <w:rPr>
          <w:color w:val="404040" w:themeColor="text1" w:themeTint="BF"/>
        </w:rPr>
        <w:t>re have been improvements in</w:t>
      </w:r>
      <w:r w:rsidR="000168AB">
        <w:rPr>
          <w:color w:val="404040" w:themeColor="text1" w:themeTint="BF"/>
        </w:rPr>
        <w:t xml:space="preserve"> co-operation and communication between departments and agencies, organisations working with and on behalf of young people suggest that the failure to work in a holistic manner or in partnership compounds the barriers faced by disabled young people’</w:t>
      </w:r>
      <w:r w:rsidR="000168AB">
        <w:rPr>
          <w:rStyle w:val="FootnoteReference"/>
          <w:color w:val="404040" w:themeColor="text1" w:themeTint="BF"/>
        </w:rPr>
        <w:footnoteReference w:id="11"/>
      </w:r>
      <w:r w:rsidR="000168AB">
        <w:rPr>
          <w:color w:val="404040" w:themeColor="text1" w:themeTint="BF"/>
        </w:rPr>
        <w:t xml:space="preserve">.  Access to </w:t>
      </w:r>
      <w:r w:rsidR="00DA408F">
        <w:rPr>
          <w:color w:val="404040" w:themeColor="text1" w:themeTint="BF"/>
        </w:rPr>
        <w:t>education or training can be dependent on social care and support, therefore there have been repeated calls for an integrated multi-agency planning process for transition</w:t>
      </w:r>
      <w:r w:rsidR="00961A3E">
        <w:rPr>
          <w:color w:val="404040" w:themeColor="text1" w:themeTint="BF"/>
        </w:rPr>
        <w:t xml:space="preserve"> (p.62)</w:t>
      </w:r>
      <w:r w:rsidR="00DA408F">
        <w:rPr>
          <w:color w:val="404040" w:themeColor="text1" w:themeTint="BF"/>
        </w:rPr>
        <w:t>.</w:t>
      </w:r>
    </w:p>
    <w:p w:rsidR="005E19A2" w:rsidRDefault="005E19A2" w:rsidP="003608BD">
      <w:pPr>
        <w:pStyle w:val="NICCYBodyText"/>
        <w:spacing w:line="276" w:lineRule="auto"/>
        <w:rPr>
          <w:color w:val="404040" w:themeColor="text1" w:themeTint="BF"/>
        </w:rPr>
      </w:pPr>
    </w:p>
    <w:p w:rsidR="006D66B8" w:rsidRDefault="006D66B8" w:rsidP="003608BD">
      <w:pPr>
        <w:pStyle w:val="NICCYBodyText"/>
        <w:spacing w:line="276" w:lineRule="auto"/>
        <w:rPr>
          <w:color w:val="404040" w:themeColor="text1" w:themeTint="BF"/>
        </w:rPr>
      </w:pPr>
    </w:p>
    <w:p w:rsidR="00DA408F" w:rsidRPr="00DA408F" w:rsidRDefault="00DA408F" w:rsidP="00DA408F">
      <w:pPr>
        <w:pStyle w:val="NICCYBodyText"/>
        <w:numPr>
          <w:ilvl w:val="1"/>
          <w:numId w:val="9"/>
        </w:numPr>
        <w:spacing w:line="276" w:lineRule="auto"/>
        <w:rPr>
          <w:b/>
          <w:color w:val="404040" w:themeColor="text1" w:themeTint="BF"/>
        </w:rPr>
      </w:pPr>
      <w:r>
        <w:rPr>
          <w:b/>
          <w:color w:val="404040" w:themeColor="text1" w:themeTint="BF"/>
        </w:rPr>
        <w:t xml:space="preserve">     </w:t>
      </w:r>
      <w:r w:rsidRPr="00DA408F">
        <w:rPr>
          <w:b/>
          <w:color w:val="404040" w:themeColor="text1" w:themeTint="BF"/>
        </w:rPr>
        <w:t xml:space="preserve">Consistency in Provision  </w:t>
      </w:r>
    </w:p>
    <w:p w:rsidR="00DA408F" w:rsidRDefault="00DA408F" w:rsidP="00DA408F">
      <w:pPr>
        <w:pStyle w:val="NICCYBodyText"/>
        <w:spacing w:line="276" w:lineRule="auto"/>
        <w:rPr>
          <w:color w:val="404040" w:themeColor="text1" w:themeTint="BF"/>
        </w:rPr>
      </w:pPr>
      <w:r>
        <w:rPr>
          <w:color w:val="404040" w:themeColor="text1" w:themeTint="BF"/>
        </w:rPr>
        <w:t>The Report highlights the inconsistency of provision for young people with disabilities due to the availability of health, education and soci</w:t>
      </w:r>
      <w:r w:rsidR="00961A3E">
        <w:rPr>
          <w:color w:val="404040" w:themeColor="text1" w:themeTint="BF"/>
        </w:rPr>
        <w:t>al care provision,</w:t>
      </w:r>
      <w:r>
        <w:rPr>
          <w:color w:val="404040" w:themeColor="text1" w:themeTint="BF"/>
        </w:rPr>
        <w:t xml:space="preserve"> the nature of services and support in their locality and provision of access including transport.</w:t>
      </w:r>
      <w:r w:rsidR="001F2777">
        <w:rPr>
          <w:color w:val="404040" w:themeColor="text1" w:themeTint="BF"/>
        </w:rPr>
        <w:t xml:space="preserve"> </w:t>
      </w:r>
      <w:r w:rsidR="00016328">
        <w:rPr>
          <w:color w:val="404040" w:themeColor="text1" w:themeTint="BF"/>
        </w:rPr>
        <w:t xml:space="preserve"> Also, because </w:t>
      </w:r>
      <w:r w:rsidR="00F31EB6">
        <w:rPr>
          <w:color w:val="404040" w:themeColor="text1" w:themeTint="BF"/>
        </w:rPr>
        <w:t xml:space="preserve">a statutory </w:t>
      </w:r>
      <w:r w:rsidR="00F31EB6">
        <w:rPr>
          <w:color w:val="404040" w:themeColor="text1" w:themeTint="BF"/>
        </w:rPr>
        <w:lastRenderedPageBreak/>
        <w:t>duty to provide transition planning is only available to young people with statements of special educational need, young people with learning disabilities  who do not have these, are without support and guidance at this significant point in their lives. The Report sugg</w:t>
      </w:r>
      <w:r w:rsidR="00961A3E">
        <w:rPr>
          <w:color w:val="404040" w:themeColor="text1" w:themeTint="BF"/>
        </w:rPr>
        <w:t xml:space="preserve">ests there is a need to map </w:t>
      </w:r>
      <w:r w:rsidR="00F31EB6">
        <w:rPr>
          <w:color w:val="404040" w:themeColor="text1" w:themeTint="BF"/>
        </w:rPr>
        <w:t>existing services in Northern in order ‘to identify key gaps in provision and to ensure equality of access to appropriate services’</w:t>
      </w:r>
      <w:r w:rsidR="00961A3E">
        <w:rPr>
          <w:color w:val="404040" w:themeColor="text1" w:themeTint="BF"/>
        </w:rPr>
        <w:t xml:space="preserve"> (p.63).</w:t>
      </w:r>
    </w:p>
    <w:p w:rsidR="00370201" w:rsidRDefault="00370201" w:rsidP="003608BD">
      <w:pPr>
        <w:pStyle w:val="NICCYBodyText"/>
        <w:spacing w:line="276" w:lineRule="auto"/>
        <w:rPr>
          <w:color w:val="404040" w:themeColor="text1" w:themeTint="BF"/>
        </w:rPr>
      </w:pPr>
    </w:p>
    <w:p w:rsidR="00961A3E" w:rsidRDefault="00961A3E" w:rsidP="003608BD">
      <w:pPr>
        <w:pStyle w:val="NICCYBodyText"/>
        <w:spacing w:line="276" w:lineRule="auto"/>
        <w:rPr>
          <w:color w:val="404040" w:themeColor="text1" w:themeTint="BF"/>
        </w:rPr>
      </w:pPr>
    </w:p>
    <w:p w:rsidR="00961A3E" w:rsidRDefault="00961A3E" w:rsidP="003608BD">
      <w:pPr>
        <w:pStyle w:val="NICCYBodyText"/>
        <w:spacing w:line="276" w:lineRule="auto"/>
        <w:rPr>
          <w:color w:val="404040" w:themeColor="text1" w:themeTint="BF"/>
        </w:rPr>
      </w:pPr>
    </w:p>
    <w:p w:rsidR="00370201" w:rsidRDefault="00370201" w:rsidP="00370201">
      <w:pPr>
        <w:pStyle w:val="NICCYBodyText"/>
        <w:spacing w:line="276" w:lineRule="auto"/>
        <w:rPr>
          <w:color w:val="404040" w:themeColor="text1" w:themeTint="BF"/>
        </w:rPr>
      </w:pPr>
      <w:r w:rsidRPr="005B0901">
        <w:rPr>
          <w:color w:val="404040" w:themeColor="text1" w:themeTint="BF"/>
        </w:rPr>
        <w:t>T</w:t>
      </w:r>
      <w:r>
        <w:rPr>
          <w:color w:val="404040" w:themeColor="text1" w:themeTint="BF"/>
        </w:rPr>
        <w:t>he Northern Ireland Commissioner for Children and Young People (NICCY) would like to thank the Committee</w:t>
      </w:r>
      <w:r w:rsidRPr="005B0901">
        <w:rPr>
          <w:color w:val="404040" w:themeColor="text1" w:themeTint="BF"/>
        </w:rPr>
        <w:t xml:space="preserve"> for th</w:t>
      </w:r>
      <w:r>
        <w:rPr>
          <w:color w:val="404040" w:themeColor="text1" w:themeTint="BF"/>
        </w:rPr>
        <w:t>e invitation to submit evidence to this Inquiry</w:t>
      </w:r>
      <w:r w:rsidRPr="005B0901">
        <w:rPr>
          <w:color w:val="404040" w:themeColor="text1" w:themeTint="BF"/>
        </w:rPr>
        <w:t xml:space="preserve">.  </w:t>
      </w:r>
      <w:r>
        <w:rPr>
          <w:color w:val="404040" w:themeColor="text1" w:themeTint="BF"/>
        </w:rPr>
        <w:t xml:space="preserve"> </w:t>
      </w:r>
      <w:r w:rsidR="006D66B8">
        <w:rPr>
          <w:color w:val="404040" w:themeColor="text1" w:themeTint="BF"/>
        </w:rPr>
        <w:t xml:space="preserve">Should the Committee require further clarification on any aspect of this submission please contact </w:t>
      </w:r>
      <w:r w:rsidR="00831DFD">
        <w:rPr>
          <w:color w:val="404040" w:themeColor="text1" w:themeTint="BF"/>
        </w:rPr>
        <w:t xml:space="preserve">Alex Tennant </w:t>
      </w:r>
      <w:hyperlink r:id="rId9" w:history="1">
        <w:r w:rsidR="00831DFD" w:rsidRPr="00A25A18">
          <w:rPr>
            <w:rStyle w:val="Hyperlink"/>
          </w:rPr>
          <w:t>Alex@niccy.org</w:t>
        </w:r>
      </w:hyperlink>
      <w:r w:rsidR="00831DFD">
        <w:rPr>
          <w:color w:val="404040" w:themeColor="text1" w:themeTint="BF"/>
        </w:rPr>
        <w:t xml:space="preserve"> </w:t>
      </w:r>
      <w:r w:rsidR="006D66B8">
        <w:rPr>
          <w:color w:val="404040" w:themeColor="text1" w:themeTint="BF"/>
        </w:rPr>
        <w:t>.</w:t>
      </w:r>
    </w:p>
    <w:p w:rsidR="006D66B8" w:rsidRDefault="006D66B8" w:rsidP="00370201">
      <w:pPr>
        <w:pStyle w:val="NICCYBodyText"/>
        <w:spacing w:line="276" w:lineRule="auto"/>
        <w:rPr>
          <w:color w:val="404040" w:themeColor="text1" w:themeTint="BF"/>
        </w:rPr>
      </w:pPr>
    </w:p>
    <w:p w:rsidR="00370201" w:rsidRDefault="00370201" w:rsidP="003608BD">
      <w:pPr>
        <w:pStyle w:val="NICCYBodyText"/>
        <w:spacing w:line="276" w:lineRule="auto"/>
        <w:rPr>
          <w:color w:val="404040" w:themeColor="text1" w:themeTint="BF"/>
        </w:rPr>
      </w:pPr>
    </w:p>
    <w:sectPr w:rsidR="00370201" w:rsidSect="003C2004">
      <w:headerReference w:type="default" r:id="rId10"/>
      <w:footerReference w:type="even" r:id="rId11"/>
      <w:footerReference w:type="default" r:id="rId12"/>
      <w:pgSz w:w="11900" w:h="16840"/>
      <w:pgMar w:top="2383" w:right="1134" w:bottom="1701" w:left="1134" w:header="1043"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B74" w:rsidRDefault="00BE0B74" w:rsidP="00280C3B">
      <w:r>
        <w:separator/>
      </w:r>
    </w:p>
  </w:endnote>
  <w:endnote w:type="continuationSeparator" w:id="0">
    <w:p w:rsidR="00BE0B74" w:rsidRDefault="00BE0B74"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95" w:rsidRDefault="007E7AD5" w:rsidP="006013F5">
    <w:pPr>
      <w:pStyle w:val="Footer"/>
      <w:framePr w:wrap="around" w:vAnchor="text" w:hAnchor="margin" w:xAlign="right" w:y="1"/>
      <w:rPr>
        <w:rStyle w:val="PageNumber"/>
      </w:rPr>
    </w:pPr>
    <w:r>
      <w:rPr>
        <w:rStyle w:val="PageNumber"/>
      </w:rPr>
      <w:fldChar w:fldCharType="begin"/>
    </w:r>
    <w:r w:rsidR="00B82595">
      <w:rPr>
        <w:rStyle w:val="PageNumber"/>
      </w:rPr>
      <w:instrText xml:space="preserve">PAGE  </w:instrText>
    </w:r>
    <w:r>
      <w:rPr>
        <w:rStyle w:val="PageNumber"/>
      </w:rPr>
      <w:fldChar w:fldCharType="end"/>
    </w:r>
  </w:p>
  <w:p w:rsidR="00B82595" w:rsidRDefault="00B82595"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2597"/>
      <w:docPartObj>
        <w:docPartGallery w:val="Page Numbers (Bottom of Page)"/>
        <w:docPartUnique/>
      </w:docPartObj>
    </w:sdtPr>
    <w:sdtContent>
      <w:p w:rsidR="00B82595" w:rsidRDefault="007E7AD5">
        <w:pPr>
          <w:pStyle w:val="Footer"/>
          <w:jc w:val="right"/>
        </w:pPr>
        <w:fldSimple w:instr=" PAGE   \* MERGEFORMAT ">
          <w:r w:rsidR="002C5520">
            <w:rPr>
              <w:noProof/>
            </w:rPr>
            <w:t>9</w:t>
          </w:r>
        </w:fldSimple>
      </w:p>
    </w:sdtContent>
  </w:sdt>
  <w:p w:rsidR="00B82595" w:rsidRPr="00D81956" w:rsidRDefault="007E7AD5" w:rsidP="00D81956">
    <w:pPr>
      <w:pStyle w:val="Footer"/>
      <w:ind w:right="360"/>
      <w:rPr>
        <w:rFonts w:ascii="Arial" w:hAnsi="Arial" w:cs="Arial"/>
        <w:sz w:val="16"/>
        <w:szCs w:val="16"/>
      </w:rPr>
    </w:pPr>
    <w:r w:rsidRPr="007E7AD5">
      <w:rPr>
        <w:rFonts w:ascii="Arial" w:hAnsi="Arial" w:cs="Arial"/>
        <w:noProof/>
        <w:sz w:val="16"/>
        <w:szCs w:val="16"/>
        <w:lang w:val="en-GB" w:eastAsia="en-GB"/>
      </w:rPr>
      <w:pict>
        <v:group id="Group 10" o:spid="_x0000_s4097" style="position:absolute;margin-left:-56.7pt;margin-top:-26.9pt;width:595.25pt;height:5.45pt;z-index:251660288"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098"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111FDC" w:rsidRDefault="00111FDC" w:rsidP="00111FDC"/>
              </w:txbxContent>
            </v:textbox>
          </v:rect>
          <v:rect id="Rectangle 12" o:spid="_x0000_s4099"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111FDC" w:rsidRDefault="00111FDC" w:rsidP="00111FDC"/>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111FDC" w:rsidRDefault="00111FDC" w:rsidP="00111FDC"/>
              </w:txbxContent>
            </v:textbox>
          </v:rect>
          <v:rect id="Rectangle 14" o:spid="_x0000_s4101"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111FDC" w:rsidRDefault="00111FDC" w:rsidP="00111FDC"/>
              </w:txbxContent>
            </v:textbox>
          </v:rect>
          <v:rect id="Rectangle 15" o:spid="_x0000_s4102"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111FDC" w:rsidRDefault="00111FDC" w:rsidP="00111FDC"/>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B74" w:rsidRDefault="00BE0B74" w:rsidP="00280C3B">
      <w:r>
        <w:separator/>
      </w:r>
    </w:p>
  </w:footnote>
  <w:footnote w:type="continuationSeparator" w:id="0">
    <w:p w:rsidR="00BE0B74" w:rsidRDefault="00BE0B74" w:rsidP="00280C3B">
      <w:r>
        <w:continuationSeparator/>
      </w:r>
    </w:p>
  </w:footnote>
  <w:footnote w:id="1">
    <w:p w:rsidR="00B82595" w:rsidRPr="003608BD" w:rsidRDefault="00B82595">
      <w:pPr>
        <w:pStyle w:val="FootnoteText"/>
        <w:rPr>
          <w:rFonts w:ascii="Arial" w:hAnsi="Arial" w:cs="Arial"/>
          <w:sz w:val="18"/>
          <w:szCs w:val="18"/>
          <w:lang w:val="en-GB"/>
        </w:rPr>
      </w:pPr>
      <w:r w:rsidRPr="003608BD">
        <w:rPr>
          <w:rStyle w:val="FootnoteReference"/>
          <w:rFonts w:ascii="Arial" w:hAnsi="Arial" w:cs="Arial"/>
          <w:sz w:val="18"/>
          <w:szCs w:val="18"/>
        </w:rPr>
        <w:footnoteRef/>
      </w:r>
      <w:r w:rsidRPr="003608BD">
        <w:rPr>
          <w:rFonts w:ascii="Arial" w:hAnsi="Arial" w:cs="Arial"/>
          <w:sz w:val="18"/>
          <w:szCs w:val="18"/>
        </w:rPr>
        <w:t xml:space="preserve"> </w:t>
      </w:r>
      <w:r>
        <w:rPr>
          <w:rFonts w:ascii="Arial" w:hAnsi="Arial" w:cs="Arial"/>
          <w:sz w:val="18"/>
          <w:szCs w:val="18"/>
        </w:rPr>
        <w:t xml:space="preserve">See pages </w:t>
      </w:r>
      <w:r w:rsidRPr="003608BD">
        <w:rPr>
          <w:rFonts w:ascii="Arial" w:hAnsi="Arial" w:cs="Arial"/>
          <w:sz w:val="18"/>
          <w:szCs w:val="18"/>
        </w:rPr>
        <w:t>24-28</w:t>
      </w:r>
      <w:r>
        <w:rPr>
          <w:rFonts w:ascii="Arial" w:hAnsi="Arial" w:cs="Arial"/>
          <w:sz w:val="18"/>
          <w:szCs w:val="18"/>
        </w:rPr>
        <w:t xml:space="preserve"> of the Report.</w:t>
      </w:r>
    </w:p>
  </w:footnote>
  <w:footnote w:id="2">
    <w:p w:rsidR="00B82595" w:rsidRPr="00A664C4" w:rsidRDefault="00B82595">
      <w:pPr>
        <w:pStyle w:val="FootnoteText"/>
        <w:rPr>
          <w:rFonts w:ascii="Arial" w:hAnsi="Arial" w:cs="Arial"/>
          <w:sz w:val="18"/>
          <w:szCs w:val="18"/>
          <w:lang w:val="en-GB"/>
        </w:rPr>
      </w:pPr>
      <w:r w:rsidRPr="00A664C4">
        <w:rPr>
          <w:rStyle w:val="FootnoteReference"/>
          <w:rFonts w:ascii="Arial" w:hAnsi="Arial" w:cs="Arial"/>
          <w:sz w:val="18"/>
          <w:szCs w:val="18"/>
        </w:rPr>
        <w:footnoteRef/>
      </w:r>
      <w:r w:rsidRPr="00A664C4">
        <w:rPr>
          <w:rFonts w:ascii="Arial" w:hAnsi="Arial" w:cs="Arial"/>
          <w:sz w:val="18"/>
          <w:szCs w:val="18"/>
        </w:rPr>
        <w:t xml:space="preserve"> </w:t>
      </w:r>
      <w:r w:rsidRPr="00A664C4">
        <w:rPr>
          <w:rFonts w:ascii="Arial" w:hAnsi="Arial" w:cs="Arial"/>
          <w:sz w:val="18"/>
          <w:szCs w:val="18"/>
          <w:lang w:val="en-GB"/>
        </w:rPr>
        <w:t xml:space="preserve">Pages </w:t>
      </w:r>
      <w:r>
        <w:rPr>
          <w:rFonts w:ascii="Arial" w:hAnsi="Arial" w:cs="Arial"/>
          <w:sz w:val="18"/>
          <w:szCs w:val="18"/>
          <w:lang w:val="en-GB"/>
        </w:rPr>
        <w:t>29-32 of the Report.</w:t>
      </w:r>
    </w:p>
  </w:footnote>
  <w:footnote w:id="3">
    <w:p w:rsidR="00B82595" w:rsidRPr="00666C4A" w:rsidRDefault="00B82595">
      <w:pPr>
        <w:pStyle w:val="FootnoteText"/>
        <w:rPr>
          <w:rFonts w:ascii="Arial" w:hAnsi="Arial" w:cs="Arial"/>
          <w:sz w:val="18"/>
          <w:szCs w:val="18"/>
          <w:lang w:val="en-GB"/>
        </w:rPr>
      </w:pPr>
      <w:r w:rsidRPr="00666C4A">
        <w:rPr>
          <w:rStyle w:val="FootnoteReference"/>
          <w:rFonts w:ascii="Arial" w:hAnsi="Arial" w:cs="Arial"/>
          <w:sz w:val="18"/>
          <w:szCs w:val="18"/>
        </w:rPr>
        <w:footnoteRef/>
      </w:r>
      <w:r w:rsidRPr="00666C4A">
        <w:rPr>
          <w:rFonts w:ascii="Arial" w:hAnsi="Arial" w:cs="Arial"/>
          <w:sz w:val="18"/>
          <w:szCs w:val="18"/>
        </w:rPr>
        <w:t xml:space="preserve"> Kelly, B</w:t>
      </w:r>
      <w:r>
        <w:rPr>
          <w:rFonts w:ascii="Arial" w:hAnsi="Arial" w:cs="Arial"/>
          <w:sz w:val="18"/>
          <w:szCs w:val="18"/>
        </w:rPr>
        <w:t>.</w:t>
      </w:r>
      <w:r w:rsidRPr="00666C4A">
        <w:rPr>
          <w:rFonts w:ascii="Arial" w:hAnsi="Arial" w:cs="Arial"/>
          <w:sz w:val="18"/>
          <w:szCs w:val="18"/>
        </w:rPr>
        <w:t xml:space="preserve"> (2013)</w:t>
      </w:r>
      <w:r>
        <w:rPr>
          <w:rFonts w:ascii="Arial" w:hAnsi="Arial" w:cs="Arial"/>
          <w:sz w:val="18"/>
          <w:szCs w:val="18"/>
        </w:rPr>
        <w:t>.</w:t>
      </w:r>
      <w:r w:rsidRPr="00666C4A">
        <w:rPr>
          <w:rFonts w:ascii="Arial" w:hAnsi="Arial" w:cs="Arial"/>
          <w:sz w:val="18"/>
          <w:szCs w:val="18"/>
        </w:rPr>
        <w:t xml:space="preserve"> ‘</w:t>
      </w:r>
      <w:r w:rsidRPr="00666C4A">
        <w:rPr>
          <w:rFonts w:ascii="Arial" w:hAnsi="Arial" w:cs="Arial"/>
          <w:i/>
          <w:sz w:val="18"/>
          <w:szCs w:val="18"/>
        </w:rPr>
        <w:t>Don’t Box Me In: Disability, Identity and Transitions to Adult Life’</w:t>
      </w:r>
      <w:r>
        <w:rPr>
          <w:rFonts w:ascii="Arial" w:hAnsi="Arial" w:cs="Arial"/>
          <w:sz w:val="18"/>
          <w:szCs w:val="18"/>
        </w:rPr>
        <w:t xml:space="preserve">. Belfast: Barnardo’s and The Queen’s University , Belfast. </w:t>
      </w:r>
    </w:p>
  </w:footnote>
  <w:footnote w:id="4">
    <w:p w:rsidR="00B82595" w:rsidRPr="002151F6" w:rsidRDefault="00B82595">
      <w:pPr>
        <w:pStyle w:val="FootnoteText"/>
        <w:rPr>
          <w:rFonts w:ascii="Arial" w:hAnsi="Arial" w:cs="Arial"/>
          <w:sz w:val="18"/>
          <w:szCs w:val="18"/>
          <w:lang w:val="en-GB"/>
        </w:rPr>
      </w:pPr>
      <w:r w:rsidRPr="002151F6">
        <w:rPr>
          <w:rStyle w:val="FootnoteReference"/>
          <w:rFonts w:ascii="Arial" w:hAnsi="Arial" w:cs="Arial"/>
          <w:sz w:val="18"/>
          <w:szCs w:val="18"/>
        </w:rPr>
        <w:footnoteRef/>
      </w:r>
      <w:r w:rsidRPr="002151F6">
        <w:rPr>
          <w:rFonts w:ascii="Arial" w:hAnsi="Arial" w:cs="Arial"/>
          <w:sz w:val="18"/>
          <w:szCs w:val="18"/>
        </w:rPr>
        <w:t xml:space="preserve"> </w:t>
      </w:r>
      <w:r>
        <w:rPr>
          <w:rFonts w:ascii="Arial" w:hAnsi="Arial" w:cs="Arial"/>
          <w:sz w:val="18"/>
          <w:szCs w:val="18"/>
          <w:lang w:val="en-GB"/>
        </w:rPr>
        <w:t>I</w:t>
      </w:r>
      <w:r w:rsidRPr="00F31EB6">
        <w:rPr>
          <w:rFonts w:ascii="Arial" w:hAnsi="Arial" w:cs="Arial"/>
          <w:sz w:val="18"/>
          <w:szCs w:val="18"/>
          <w:lang w:val="en-GB"/>
        </w:rPr>
        <w:t>bid,</w:t>
      </w:r>
      <w:r w:rsidRPr="002151F6">
        <w:rPr>
          <w:rFonts w:ascii="Arial" w:hAnsi="Arial" w:cs="Arial"/>
          <w:sz w:val="18"/>
          <w:szCs w:val="18"/>
          <w:lang w:val="en-GB"/>
        </w:rPr>
        <w:t xml:space="preserve"> p.12</w:t>
      </w:r>
    </w:p>
  </w:footnote>
  <w:footnote w:id="5">
    <w:p w:rsidR="00B82595" w:rsidRPr="002151F6" w:rsidRDefault="00B82595">
      <w:pPr>
        <w:pStyle w:val="FootnoteText"/>
        <w:rPr>
          <w:rFonts w:ascii="Arial" w:hAnsi="Arial" w:cs="Arial"/>
          <w:sz w:val="18"/>
          <w:szCs w:val="18"/>
          <w:lang w:val="en-GB"/>
        </w:rPr>
      </w:pPr>
      <w:r w:rsidRPr="002151F6">
        <w:rPr>
          <w:rStyle w:val="FootnoteReference"/>
          <w:rFonts w:ascii="Arial" w:hAnsi="Arial" w:cs="Arial"/>
          <w:sz w:val="18"/>
          <w:szCs w:val="18"/>
        </w:rPr>
        <w:footnoteRef/>
      </w:r>
      <w:r w:rsidRPr="002151F6">
        <w:rPr>
          <w:rFonts w:ascii="Arial" w:hAnsi="Arial" w:cs="Arial"/>
          <w:sz w:val="18"/>
          <w:szCs w:val="18"/>
        </w:rPr>
        <w:t xml:space="preserve"> </w:t>
      </w:r>
      <w:r w:rsidRPr="002151F6">
        <w:rPr>
          <w:rFonts w:ascii="Arial" w:hAnsi="Arial" w:cs="Arial"/>
          <w:sz w:val="18"/>
          <w:szCs w:val="18"/>
          <w:lang w:val="en-GB"/>
        </w:rPr>
        <w:t>Ibid</w:t>
      </w:r>
      <w:r>
        <w:rPr>
          <w:rFonts w:ascii="Arial" w:hAnsi="Arial" w:cs="Arial"/>
          <w:sz w:val="18"/>
          <w:szCs w:val="18"/>
          <w:lang w:val="en-GB"/>
        </w:rPr>
        <w:t>, p.13.</w:t>
      </w:r>
    </w:p>
  </w:footnote>
  <w:footnote w:id="6">
    <w:p w:rsidR="00B82595" w:rsidRPr="00D80E42" w:rsidRDefault="00B82595">
      <w:pPr>
        <w:pStyle w:val="FootnoteText"/>
        <w:rPr>
          <w:rFonts w:ascii="Arial" w:hAnsi="Arial" w:cs="Arial"/>
          <w:sz w:val="18"/>
          <w:szCs w:val="18"/>
          <w:lang w:val="en-GB"/>
        </w:rPr>
      </w:pPr>
      <w:r w:rsidRPr="00D80E42">
        <w:rPr>
          <w:rStyle w:val="FootnoteReference"/>
          <w:rFonts w:ascii="Arial" w:hAnsi="Arial" w:cs="Arial"/>
          <w:sz w:val="18"/>
          <w:szCs w:val="18"/>
        </w:rPr>
        <w:footnoteRef/>
      </w:r>
      <w:r w:rsidRPr="00D80E42">
        <w:rPr>
          <w:rFonts w:ascii="Arial" w:hAnsi="Arial" w:cs="Arial"/>
          <w:sz w:val="18"/>
          <w:szCs w:val="18"/>
        </w:rPr>
        <w:t xml:space="preserve"> Pages 32-35</w:t>
      </w:r>
      <w:r>
        <w:rPr>
          <w:rFonts w:ascii="Arial" w:hAnsi="Arial" w:cs="Arial"/>
          <w:sz w:val="18"/>
          <w:szCs w:val="18"/>
        </w:rPr>
        <w:t xml:space="preserve"> of the Report</w:t>
      </w:r>
      <w:r w:rsidRPr="00D80E42">
        <w:rPr>
          <w:rFonts w:ascii="Arial" w:hAnsi="Arial" w:cs="Arial"/>
          <w:sz w:val="18"/>
          <w:szCs w:val="18"/>
        </w:rPr>
        <w:t>.</w:t>
      </w:r>
    </w:p>
  </w:footnote>
  <w:footnote w:id="7">
    <w:p w:rsidR="00B82595" w:rsidRPr="00F31EB6" w:rsidRDefault="00B82595">
      <w:pPr>
        <w:pStyle w:val="FootnoteText"/>
        <w:rPr>
          <w:rFonts w:ascii="Arial" w:hAnsi="Arial" w:cs="Arial"/>
          <w:sz w:val="18"/>
          <w:szCs w:val="18"/>
          <w:lang w:val="en-GB"/>
        </w:rPr>
      </w:pPr>
      <w:r w:rsidRPr="00484E2A">
        <w:rPr>
          <w:rStyle w:val="FootnoteReference"/>
          <w:rFonts w:ascii="Arial" w:hAnsi="Arial" w:cs="Arial"/>
          <w:sz w:val="18"/>
          <w:szCs w:val="18"/>
        </w:rPr>
        <w:footnoteRef/>
      </w:r>
      <w:r w:rsidRPr="00484E2A">
        <w:rPr>
          <w:rFonts w:ascii="Arial" w:hAnsi="Arial" w:cs="Arial"/>
          <w:sz w:val="18"/>
          <w:szCs w:val="18"/>
        </w:rPr>
        <w:t xml:space="preserve"> </w:t>
      </w:r>
      <w:r w:rsidRPr="00484E2A">
        <w:rPr>
          <w:rFonts w:ascii="Arial" w:hAnsi="Arial" w:cs="Arial"/>
          <w:sz w:val="18"/>
          <w:szCs w:val="18"/>
          <w:lang w:val="en-GB"/>
        </w:rPr>
        <w:t>McLaughlin</w:t>
      </w:r>
      <w:r>
        <w:rPr>
          <w:rFonts w:ascii="Arial" w:hAnsi="Arial" w:cs="Arial"/>
          <w:sz w:val="18"/>
          <w:szCs w:val="18"/>
          <w:lang w:val="en-GB"/>
        </w:rPr>
        <w:t>, J.</w:t>
      </w:r>
      <w:r w:rsidRPr="00484E2A">
        <w:rPr>
          <w:rFonts w:ascii="Arial" w:hAnsi="Arial" w:cs="Arial"/>
          <w:sz w:val="18"/>
          <w:szCs w:val="18"/>
          <w:lang w:val="en-GB"/>
        </w:rPr>
        <w:t>, Monteith</w:t>
      </w:r>
      <w:r>
        <w:rPr>
          <w:rFonts w:ascii="Arial" w:hAnsi="Arial" w:cs="Arial"/>
          <w:sz w:val="18"/>
          <w:szCs w:val="18"/>
          <w:lang w:val="en-GB"/>
        </w:rPr>
        <w:t>, M.</w:t>
      </w:r>
      <w:r w:rsidRPr="00484E2A">
        <w:rPr>
          <w:rFonts w:ascii="Arial" w:hAnsi="Arial" w:cs="Arial"/>
          <w:sz w:val="18"/>
          <w:szCs w:val="18"/>
          <w:lang w:val="en-GB"/>
        </w:rPr>
        <w:t xml:space="preserve"> and Sneddon</w:t>
      </w:r>
      <w:r>
        <w:rPr>
          <w:rFonts w:ascii="Arial" w:hAnsi="Arial" w:cs="Arial"/>
          <w:sz w:val="18"/>
          <w:szCs w:val="18"/>
          <w:lang w:val="en-GB"/>
        </w:rPr>
        <w:t>, H.</w:t>
      </w:r>
      <w:r w:rsidRPr="00484E2A">
        <w:rPr>
          <w:rFonts w:ascii="Arial" w:hAnsi="Arial" w:cs="Arial"/>
          <w:sz w:val="18"/>
          <w:szCs w:val="18"/>
          <w:lang w:val="en-GB"/>
        </w:rPr>
        <w:t xml:space="preserve"> (2001).  A Long and Winding Road to Employment?:</w:t>
      </w:r>
      <w:r>
        <w:rPr>
          <w:rFonts w:ascii="Arial" w:hAnsi="Arial" w:cs="Arial"/>
          <w:sz w:val="18"/>
          <w:szCs w:val="18"/>
          <w:lang w:val="en-GB"/>
        </w:rPr>
        <w:t xml:space="preserve"> </w:t>
      </w:r>
      <w:r w:rsidRPr="00484E2A">
        <w:rPr>
          <w:rFonts w:ascii="Arial" w:hAnsi="Arial" w:cs="Arial"/>
          <w:sz w:val="18"/>
          <w:szCs w:val="18"/>
          <w:lang w:val="en-GB"/>
        </w:rPr>
        <w:t>Disabled Young People Ma</w:t>
      </w:r>
      <w:r>
        <w:rPr>
          <w:rFonts w:ascii="Arial" w:hAnsi="Arial" w:cs="Arial"/>
          <w:sz w:val="18"/>
          <w:szCs w:val="18"/>
          <w:lang w:val="en-GB"/>
        </w:rPr>
        <w:t>king the Transition to Adulthood</w:t>
      </w:r>
      <w:r w:rsidRPr="00484E2A">
        <w:rPr>
          <w:rFonts w:ascii="Arial" w:hAnsi="Arial" w:cs="Arial"/>
          <w:sz w:val="18"/>
          <w:szCs w:val="18"/>
          <w:lang w:val="en-GB"/>
        </w:rPr>
        <w:t xml:space="preserve">. Irish Journal of Applied Social Studies 2(3), Article 4. Patient Client Council </w:t>
      </w:r>
      <w:r w:rsidRPr="00F31EB6">
        <w:rPr>
          <w:rFonts w:ascii="Arial" w:hAnsi="Arial" w:cs="Arial"/>
          <w:sz w:val="18"/>
          <w:szCs w:val="18"/>
          <w:lang w:val="en-GB"/>
        </w:rPr>
        <w:t xml:space="preserve">(2011). </w:t>
      </w:r>
      <w:hyperlink r:id="rId1" w:history="1">
        <w:r w:rsidRPr="00F31EB6">
          <w:rPr>
            <w:rStyle w:val="Hyperlink"/>
            <w:rFonts w:ascii="Arial" w:hAnsi="Arial" w:cs="Arial"/>
            <w:sz w:val="18"/>
            <w:szCs w:val="18"/>
            <w:lang w:val="en-GB"/>
          </w:rPr>
          <w:t>http://www.patientclientcouncil.hscni.net/uploads/research/My_Day_My_Way_FINAL.pdf</w:t>
        </w:r>
      </w:hyperlink>
    </w:p>
  </w:footnote>
  <w:footnote w:id="8">
    <w:p w:rsidR="00B82595" w:rsidRPr="00F31EB6" w:rsidRDefault="00B82595">
      <w:pPr>
        <w:pStyle w:val="FootnoteText"/>
        <w:rPr>
          <w:rFonts w:ascii="Arial" w:hAnsi="Arial" w:cs="Arial"/>
          <w:sz w:val="18"/>
          <w:szCs w:val="18"/>
          <w:lang w:val="en-GB"/>
        </w:rPr>
      </w:pPr>
      <w:r w:rsidRPr="00F31EB6">
        <w:rPr>
          <w:rStyle w:val="FootnoteReference"/>
          <w:rFonts w:ascii="Arial" w:hAnsi="Arial" w:cs="Arial"/>
          <w:sz w:val="18"/>
          <w:szCs w:val="18"/>
        </w:rPr>
        <w:footnoteRef/>
      </w:r>
      <w:r w:rsidRPr="00F31EB6">
        <w:rPr>
          <w:rFonts w:ascii="Arial" w:hAnsi="Arial" w:cs="Arial"/>
          <w:sz w:val="18"/>
          <w:szCs w:val="18"/>
        </w:rPr>
        <w:t xml:space="preserve"> </w:t>
      </w:r>
      <w:r w:rsidRPr="00F31EB6">
        <w:rPr>
          <w:rFonts w:ascii="Arial" w:hAnsi="Arial" w:cs="Arial"/>
          <w:sz w:val="18"/>
          <w:szCs w:val="18"/>
          <w:lang w:val="en-GB"/>
        </w:rPr>
        <w:t>KPMG (2010). An Evaluation of the Workable (NI) Programme. Belfast: DEL.</w:t>
      </w:r>
    </w:p>
  </w:footnote>
  <w:footnote w:id="9">
    <w:p w:rsidR="00B82595" w:rsidRDefault="00B82595" w:rsidP="00F31EB6">
      <w:pPr>
        <w:pStyle w:val="Heading1"/>
        <w:spacing w:before="0"/>
        <w:rPr>
          <w:rStyle w:val="apple-converted-space"/>
          <w:rFonts w:ascii="Arial" w:hAnsi="Arial" w:cs="Arial"/>
          <w:b w:val="0"/>
          <w:color w:val="330099"/>
          <w:sz w:val="18"/>
          <w:szCs w:val="18"/>
        </w:rPr>
      </w:pPr>
      <w:r w:rsidRPr="00F31EB6">
        <w:rPr>
          <w:rStyle w:val="FootnoteReference"/>
          <w:rFonts w:ascii="Arial" w:hAnsi="Arial" w:cs="Arial"/>
          <w:b w:val="0"/>
          <w:sz w:val="18"/>
          <w:szCs w:val="18"/>
        </w:rPr>
        <w:footnoteRef/>
      </w:r>
      <w:r w:rsidRPr="00F31EB6">
        <w:rPr>
          <w:rFonts w:ascii="Arial" w:hAnsi="Arial" w:cs="Arial"/>
          <w:b w:val="0"/>
          <w:sz w:val="18"/>
          <w:szCs w:val="18"/>
        </w:rPr>
        <w:t xml:space="preserve"> </w:t>
      </w:r>
      <w:r>
        <w:rPr>
          <w:rFonts w:ascii="Arial" w:hAnsi="Arial" w:cs="Arial"/>
          <w:b w:val="0"/>
          <w:sz w:val="18"/>
          <w:szCs w:val="18"/>
        </w:rPr>
        <w:t xml:space="preserve"> </w:t>
      </w:r>
      <w:hyperlink r:id="rId2" w:history="1">
        <w:r w:rsidRPr="00114401">
          <w:rPr>
            <w:rStyle w:val="Hyperlink"/>
            <w:rFonts w:ascii="Arial" w:hAnsi="Arial" w:cs="Arial"/>
            <w:b w:val="0"/>
            <w:sz w:val="18"/>
            <w:szCs w:val="18"/>
          </w:rPr>
          <w:t>http://www.dhsspsni.gov.uk/learning-disability-report</w:t>
        </w:r>
      </w:hyperlink>
    </w:p>
    <w:p w:rsidR="00B82595" w:rsidRPr="006D66B8" w:rsidRDefault="00B82595" w:rsidP="006D66B8"/>
    <w:p w:rsidR="00B82595" w:rsidRPr="00F31EB6" w:rsidRDefault="00B82595">
      <w:pPr>
        <w:pStyle w:val="FootnoteText"/>
        <w:rPr>
          <w:rFonts w:ascii="Arial" w:hAnsi="Arial" w:cs="Arial"/>
          <w:sz w:val="18"/>
          <w:szCs w:val="18"/>
          <w:lang w:val="en-GB"/>
        </w:rPr>
      </w:pPr>
    </w:p>
  </w:footnote>
  <w:footnote w:id="10">
    <w:p w:rsidR="00B82595" w:rsidRPr="00C603C2" w:rsidRDefault="00B82595">
      <w:pPr>
        <w:pStyle w:val="FootnoteText"/>
        <w:rPr>
          <w:rFonts w:ascii="Arial" w:hAnsi="Arial" w:cs="Arial"/>
          <w:sz w:val="18"/>
          <w:szCs w:val="18"/>
          <w:lang w:val="en-GB"/>
        </w:rPr>
      </w:pPr>
      <w:r w:rsidRPr="00C603C2">
        <w:rPr>
          <w:rStyle w:val="FootnoteReference"/>
          <w:rFonts w:ascii="Arial" w:hAnsi="Arial" w:cs="Arial"/>
          <w:sz w:val="18"/>
          <w:szCs w:val="18"/>
        </w:rPr>
        <w:footnoteRef/>
      </w:r>
      <w:r w:rsidRPr="00C603C2">
        <w:rPr>
          <w:rFonts w:ascii="Arial" w:hAnsi="Arial" w:cs="Arial"/>
          <w:sz w:val="18"/>
          <w:szCs w:val="18"/>
        </w:rPr>
        <w:t xml:space="preserve"> </w:t>
      </w:r>
      <w:r w:rsidRPr="00C603C2">
        <w:rPr>
          <w:rFonts w:ascii="Arial" w:hAnsi="Arial" w:cs="Arial"/>
          <w:sz w:val="18"/>
          <w:szCs w:val="18"/>
          <w:lang w:val="en-GB"/>
        </w:rPr>
        <w:t>Kelly (2013, op. cit</w:t>
      </w:r>
      <w:r>
        <w:rPr>
          <w:rFonts w:ascii="Arial" w:hAnsi="Arial" w:cs="Arial"/>
          <w:sz w:val="18"/>
          <w:szCs w:val="18"/>
          <w:lang w:val="en-GB"/>
        </w:rPr>
        <w:t>.</w:t>
      </w:r>
      <w:r w:rsidRPr="00C603C2">
        <w:rPr>
          <w:rFonts w:ascii="Arial" w:hAnsi="Arial" w:cs="Arial"/>
          <w:sz w:val="18"/>
          <w:szCs w:val="18"/>
          <w:lang w:val="en-GB"/>
        </w:rPr>
        <w:t>)</w:t>
      </w:r>
      <w:r>
        <w:rPr>
          <w:rFonts w:ascii="Arial" w:hAnsi="Arial" w:cs="Arial"/>
          <w:sz w:val="18"/>
          <w:szCs w:val="18"/>
          <w:lang w:val="en-GB"/>
        </w:rPr>
        <w:t>.</w:t>
      </w:r>
      <w:r w:rsidRPr="00C603C2">
        <w:rPr>
          <w:rFonts w:ascii="Arial" w:hAnsi="Arial" w:cs="Arial"/>
          <w:sz w:val="18"/>
          <w:szCs w:val="18"/>
          <w:lang w:val="en-GB"/>
        </w:rPr>
        <w:t xml:space="preserve"> Children with Disabilities Strategic Alliance (CDSA) (2012). </w:t>
      </w:r>
      <w:r w:rsidRPr="00C603C2">
        <w:rPr>
          <w:rFonts w:ascii="Arial" w:hAnsi="Arial" w:cs="Arial"/>
          <w:i/>
          <w:sz w:val="18"/>
          <w:szCs w:val="18"/>
          <w:lang w:val="en-GB"/>
        </w:rPr>
        <w:t>Manifesto: Review and Update</w:t>
      </w:r>
      <w:r w:rsidRPr="00C603C2">
        <w:rPr>
          <w:rFonts w:ascii="Arial" w:hAnsi="Arial" w:cs="Arial"/>
          <w:sz w:val="18"/>
          <w:szCs w:val="18"/>
          <w:lang w:val="en-GB"/>
        </w:rPr>
        <w:t>. Belfast</w:t>
      </w:r>
      <w:r>
        <w:rPr>
          <w:rFonts w:ascii="Arial" w:hAnsi="Arial" w:cs="Arial"/>
          <w:sz w:val="18"/>
          <w:szCs w:val="18"/>
          <w:lang w:val="en-GB"/>
        </w:rPr>
        <w:t>.</w:t>
      </w:r>
    </w:p>
  </w:footnote>
  <w:footnote w:id="11">
    <w:p w:rsidR="00B82595" w:rsidRPr="000168AB" w:rsidRDefault="00B82595">
      <w:pPr>
        <w:pStyle w:val="FootnoteText"/>
        <w:rPr>
          <w:rFonts w:ascii="Arial" w:hAnsi="Arial" w:cs="Arial"/>
          <w:sz w:val="18"/>
          <w:szCs w:val="18"/>
          <w:lang w:val="en-GB"/>
        </w:rPr>
      </w:pPr>
      <w:r w:rsidRPr="000168AB">
        <w:rPr>
          <w:rStyle w:val="FootnoteReference"/>
          <w:rFonts w:ascii="Arial" w:hAnsi="Arial" w:cs="Arial"/>
          <w:sz w:val="18"/>
          <w:szCs w:val="18"/>
        </w:rPr>
        <w:footnoteRef/>
      </w:r>
      <w:r w:rsidRPr="000168AB">
        <w:rPr>
          <w:rFonts w:ascii="Arial" w:hAnsi="Arial" w:cs="Arial"/>
          <w:sz w:val="18"/>
          <w:szCs w:val="18"/>
        </w:rPr>
        <w:t xml:space="preserve"> </w:t>
      </w:r>
      <w:r w:rsidRPr="000168AB">
        <w:rPr>
          <w:rFonts w:ascii="Arial" w:hAnsi="Arial" w:cs="Arial"/>
          <w:sz w:val="18"/>
          <w:szCs w:val="18"/>
          <w:lang w:val="en-GB"/>
        </w:rPr>
        <w:t>CDSA (2012)</w:t>
      </w:r>
      <w:r>
        <w:rPr>
          <w:rFonts w:ascii="Arial" w:hAnsi="Arial" w:cs="Arial"/>
          <w:sz w:val="18"/>
          <w:szCs w:val="18"/>
          <w:lang w:val="en-GB"/>
        </w:rPr>
        <w:t xml:space="preserve">, </w:t>
      </w:r>
      <w:r w:rsidRPr="00F31EB6">
        <w:rPr>
          <w:rFonts w:ascii="Arial" w:hAnsi="Arial" w:cs="Arial"/>
          <w:sz w:val="18"/>
          <w:szCs w:val="18"/>
          <w:lang w:val="en-GB"/>
        </w:rPr>
        <w:t>Op.cit.</w:t>
      </w:r>
      <w:r>
        <w:rPr>
          <w:rFonts w:ascii="Arial" w:hAnsi="Arial" w:cs="Arial"/>
          <w:sz w:val="18"/>
          <w:szCs w:val="18"/>
          <w:lang w:val="en-GB"/>
        </w:rPr>
        <w:t xml:space="preserve"> p.63.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95" w:rsidRDefault="00111FDC" w:rsidP="00025CC5">
    <w:pPr>
      <w:pStyle w:val="Header"/>
      <w:ind w:left="-426"/>
    </w:pPr>
    <w:r>
      <w:rPr>
        <w:noProof/>
      </w:rPr>
      <w:drawing>
        <wp:anchor distT="0" distB="0" distL="114300" distR="114300" simplePos="0" relativeHeight="251659264" behindDoc="0" locked="0" layoutInCell="1" allowOverlap="1">
          <wp:simplePos x="0" y="0"/>
          <wp:positionH relativeFrom="column">
            <wp:posOffset>4328160</wp:posOffset>
          </wp:positionH>
          <wp:positionV relativeFrom="paragraph">
            <wp:posOffset>-300355</wp:posOffset>
          </wp:positionV>
          <wp:extent cx="1998980" cy="828675"/>
          <wp:effectExtent l="19050" t="0" r="1270" b="0"/>
          <wp:wrapTight wrapText="bothSides">
            <wp:wrapPolygon edited="0">
              <wp:start x="-206" y="497"/>
              <wp:lineTo x="-206" y="21352"/>
              <wp:lineTo x="19967" y="21352"/>
              <wp:lineTo x="19967" y="8441"/>
              <wp:lineTo x="21614" y="993"/>
              <wp:lineTo x="21614" y="497"/>
              <wp:lineTo x="-206" y="497"/>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98980" cy="828675"/>
                  </a:xfrm>
                  <a:prstGeom prst="rect">
                    <a:avLst/>
                  </a:prstGeom>
                </pic:spPr>
              </pic:pic>
            </a:graphicData>
          </a:graphic>
        </wp:anchor>
      </w:drawing>
    </w:r>
    <w:r w:rsidR="00B82595">
      <w:tab/>
    </w:r>
    <w:r w:rsidR="00B82595">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CF7"/>
    <w:multiLevelType w:val="multilevel"/>
    <w:tmpl w:val="96A0E554"/>
    <w:lvl w:ilvl="0">
      <w:start w:val="6"/>
      <w:numFmt w:val="decimal"/>
      <w:lvlText w:val="%1.0"/>
      <w:lvlJc w:val="left"/>
      <w:pPr>
        <w:ind w:left="112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nsid w:val="05874158"/>
    <w:multiLevelType w:val="hybridMultilevel"/>
    <w:tmpl w:val="BFE43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3F622E"/>
    <w:multiLevelType w:val="multilevel"/>
    <w:tmpl w:val="755CE0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D1E20C5"/>
    <w:multiLevelType w:val="multilevel"/>
    <w:tmpl w:val="A080D01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3E01AA3"/>
    <w:multiLevelType w:val="hybridMultilevel"/>
    <w:tmpl w:val="398C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727DFE"/>
    <w:multiLevelType w:val="multilevel"/>
    <w:tmpl w:val="7FE026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3A10166"/>
    <w:multiLevelType w:val="hybridMultilevel"/>
    <w:tmpl w:val="93DA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B6275"/>
    <w:multiLevelType w:val="hybridMultilevel"/>
    <w:tmpl w:val="B9C66574"/>
    <w:lvl w:ilvl="0" w:tplc="70C4A008">
      <w:start w:val="1"/>
      <w:numFmt w:val="bullet"/>
      <w:lvlText w:val=""/>
      <w:lvlJc w:val="left"/>
      <w:pPr>
        <w:tabs>
          <w:tab w:val="num" w:pos="720"/>
        </w:tabs>
        <w:ind w:left="720" w:hanging="360"/>
      </w:pPr>
      <w:rPr>
        <w:rFonts w:ascii="Wingdings" w:hAnsi="Wingdings" w:hint="default"/>
      </w:rPr>
    </w:lvl>
    <w:lvl w:ilvl="1" w:tplc="F3602BA6" w:tentative="1">
      <w:start w:val="1"/>
      <w:numFmt w:val="bullet"/>
      <w:lvlText w:val=""/>
      <w:lvlJc w:val="left"/>
      <w:pPr>
        <w:tabs>
          <w:tab w:val="num" w:pos="1440"/>
        </w:tabs>
        <w:ind w:left="1440" w:hanging="360"/>
      </w:pPr>
      <w:rPr>
        <w:rFonts w:ascii="Wingdings" w:hAnsi="Wingdings" w:hint="default"/>
      </w:rPr>
    </w:lvl>
    <w:lvl w:ilvl="2" w:tplc="F752B8AC" w:tentative="1">
      <w:start w:val="1"/>
      <w:numFmt w:val="bullet"/>
      <w:lvlText w:val=""/>
      <w:lvlJc w:val="left"/>
      <w:pPr>
        <w:tabs>
          <w:tab w:val="num" w:pos="2160"/>
        </w:tabs>
        <w:ind w:left="2160" w:hanging="360"/>
      </w:pPr>
      <w:rPr>
        <w:rFonts w:ascii="Wingdings" w:hAnsi="Wingdings" w:hint="default"/>
      </w:rPr>
    </w:lvl>
    <w:lvl w:ilvl="3" w:tplc="4C526A2A" w:tentative="1">
      <w:start w:val="1"/>
      <w:numFmt w:val="bullet"/>
      <w:lvlText w:val=""/>
      <w:lvlJc w:val="left"/>
      <w:pPr>
        <w:tabs>
          <w:tab w:val="num" w:pos="2880"/>
        </w:tabs>
        <w:ind w:left="2880" w:hanging="360"/>
      </w:pPr>
      <w:rPr>
        <w:rFonts w:ascii="Wingdings" w:hAnsi="Wingdings" w:hint="default"/>
      </w:rPr>
    </w:lvl>
    <w:lvl w:ilvl="4" w:tplc="3CBA1764" w:tentative="1">
      <w:start w:val="1"/>
      <w:numFmt w:val="bullet"/>
      <w:lvlText w:val=""/>
      <w:lvlJc w:val="left"/>
      <w:pPr>
        <w:tabs>
          <w:tab w:val="num" w:pos="3600"/>
        </w:tabs>
        <w:ind w:left="3600" w:hanging="360"/>
      </w:pPr>
      <w:rPr>
        <w:rFonts w:ascii="Wingdings" w:hAnsi="Wingdings" w:hint="default"/>
      </w:rPr>
    </w:lvl>
    <w:lvl w:ilvl="5" w:tplc="C0E23E92" w:tentative="1">
      <w:start w:val="1"/>
      <w:numFmt w:val="bullet"/>
      <w:lvlText w:val=""/>
      <w:lvlJc w:val="left"/>
      <w:pPr>
        <w:tabs>
          <w:tab w:val="num" w:pos="4320"/>
        </w:tabs>
        <w:ind w:left="4320" w:hanging="360"/>
      </w:pPr>
      <w:rPr>
        <w:rFonts w:ascii="Wingdings" w:hAnsi="Wingdings" w:hint="default"/>
      </w:rPr>
    </w:lvl>
    <w:lvl w:ilvl="6" w:tplc="DBA6113A" w:tentative="1">
      <w:start w:val="1"/>
      <w:numFmt w:val="bullet"/>
      <w:lvlText w:val=""/>
      <w:lvlJc w:val="left"/>
      <w:pPr>
        <w:tabs>
          <w:tab w:val="num" w:pos="5040"/>
        </w:tabs>
        <w:ind w:left="5040" w:hanging="360"/>
      </w:pPr>
      <w:rPr>
        <w:rFonts w:ascii="Wingdings" w:hAnsi="Wingdings" w:hint="default"/>
      </w:rPr>
    </w:lvl>
    <w:lvl w:ilvl="7" w:tplc="2742993E" w:tentative="1">
      <w:start w:val="1"/>
      <w:numFmt w:val="bullet"/>
      <w:lvlText w:val=""/>
      <w:lvlJc w:val="left"/>
      <w:pPr>
        <w:tabs>
          <w:tab w:val="num" w:pos="5760"/>
        </w:tabs>
        <w:ind w:left="5760" w:hanging="360"/>
      </w:pPr>
      <w:rPr>
        <w:rFonts w:ascii="Wingdings" w:hAnsi="Wingdings" w:hint="default"/>
      </w:rPr>
    </w:lvl>
    <w:lvl w:ilvl="8" w:tplc="44A6F340" w:tentative="1">
      <w:start w:val="1"/>
      <w:numFmt w:val="bullet"/>
      <w:lvlText w:val=""/>
      <w:lvlJc w:val="left"/>
      <w:pPr>
        <w:tabs>
          <w:tab w:val="num" w:pos="6480"/>
        </w:tabs>
        <w:ind w:left="6480" w:hanging="360"/>
      </w:pPr>
      <w:rPr>
        <w:rFonts w:ascii="Wingdings" w:hAnsi="Wingdings" w:hint="default"/>
      </w:rPr>
    </w:lvl>
  </w:abstractNum>
  <w:abstractNum w:abstractNumId="8">
    <w:nsid w:val="58B67968"/>
    <w:multiLevelType w:val="hybridMultilevel"/>
    <w:tmpl w:val="B8E2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56582C"/>
    <w:multiLevelType w:val="multilevel"/>
    <w:tmpl w:val="9FDADF2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57C6AE6"/>
    <w:multiLevelType w:val="hybridMultilevel"/>
    <w:tmpl w:val="62420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4"/>
  </w:num>
  <w:num w:numId="4">
    <w:abstractNumId w:val="6"/>
  </w:num>
  <w:num w:numId="5">
    <w:abstractNumId w:val="2"/>
  </w:num>
  <w:num w:numId="6">
    <w:abstractNumId w:val="5"/>
  </w:num>
  <w:num w:numId="7">
    <w:abstractNumId w:val="0"/>
  </w:num>
  <w:num w:numId="8">
    <w:abstractNumId w:val="9"/>
  </w:num>
  <w:num w:numId="9">
    <w:abstractNumId w:val="3"/>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720"/>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seFELayout/>
  </w:compat>
  <w:rsids>
    <w:rsidRoot w:val="00432B30"/>
    <w:rsid w:val="00007CEA"/>
    <w:rsid w:val="00010AA5"/>
    <w:rsid w:val="000155D6"/>
    <w:rsid w:val="00016328"/>
    <w:rsid w:val="000168AB"/>
    <w:rsid w:val="00025CC5"/>
    <w:rsid w:val="00033A04"/>
    <w:rsid w:val="000576E8"/>
    <w:rsid w:val="00061AB8"/>
    <w:rsid w:val="000969EA"/>
    <w:rsid w:val="000B04E4"/>
    <w:rsid w:val="000B19DA"/>
    <w:rsid w:val="000D70C0"/>
    <w:rsid w:val="000E627F"/>
    <w:rsid w:val="000F2809"/>
    <w:rsid w:val="00111FDC"/>
    <w:rsid w:val="001138E4"/>
    <w:rsid w:val="001161DB"/>
    <w:rsid w:val="001170DC"/>
    <w:rsid w:val="00137DBB"/>
    <w:rsid w:val="00146342"/>
    <w:rsid w:val="0015263D"/>
    <w:rsid w:val="001856AD"/>
    <w:rsid w:val="001919B8"/>
    <w:rsid w:val="001936E2"/>
    <w:rsid w:val="001A08BE"/>
    <w:rsid w:val="001A5348"/>
    <w:rsid w:val="001C6BC1"/>
    <w:rsid w:val="001E4874"/>
    <w:rsid w:val="001F2777"/>
    <w:rsid w:val="001F343A"/>
    <w:rsid w:val="002113FC"/>
    <w:rsid w:val="00214113"/>
    <w:rsid w:val="002151F6"/>
    <w:rsid w:val="00236904"/>
    <w:rsid w:val="00280C3B"/>
    <w:rsid w:val="00283F69"/>
    <w:rsid w:val="002871F6"/>
    <w:rsid w:val="00291E9D"/>
    <w:rsid w:val="002A6958"/>
    <w:rsid w:val="002B6868"/>
    <w:rsid w:val="002C5520"/>
    <w:rsid w:val="00310DEC"/>
    <w:rsid w:val="00312D59"/>
    <w:rsid w:val="00335131"/>
    <w:rsid w:val="003530CF"/>
    <w:rsid w:val="00354E3C"/>
    <w:rsid w:val="003608BD"/>
    <w:rsid w:val="00370201"/>
    <w:rsid w:val="00370D9A"/>
    <w:rsid w:val="00375D56"/>
    <w:rsid w:val="00375F1A"/>
    <w:rsid w:val="00382FBE"/>
    <w:rsid w:val="003A0767"/>
    <w:rsid w:val="003C2004"/>
    <w:rsid w:val="003F5501"/>
    <w:rsid w:val="004046E0"/>
    <w:rsid w:val="00405460"/>
    <w:rsid w:val="00413E5B"/>
    <w:rsid w:val="00423584"/>
    <w:rsid w:val="00432B30"/>
    <w:rsid w:val="004450EB"/>
    <w:rsid w:val="004608D4"/>
    <w:rsid w:val="00484E2A"/>
    <w:rsid w:val="00496326"/>
    <w:rsid w:val="004C3DBD"/>
    <w:rsid w:val="004D080B"/>
    <w:rsid w:val="004F2A81"/>
    <w:rsid w:val="004F2BB6"/>
    <w:rsid w:val="0050043B"/>
    <w:rsid w:val="00520A58"/>
    <w:rsid w:val="00524D34"/>
    <w:rsid w:val="00545018"/>
    <w:rsid w:val="0056789B"/>
    <w:rsid w:val="005B0901"/>
    <w:rsid w:val="005C7002"/>
    <w:rsid w:val="005E075E"/>
    <w:rsid w:val="005E19A2"/>
    <w:rsid w:val="005E1CD7"/>
    <w:rsid w:val="005F04F7"/>
    <w:rsid w:val="005F0702"/>
    <w:rsid w:val="005F6D5C"/>
    <w:rsid w:val="006013F5"/>
    <w:rsid w:val="00606C39"/>
    <w:rsid w:val="006129A5"/>
    <w:rsid w:val="00666C4A"/>
    <w:rsid w:val="0069120E"/>
    <w:rsid w:val="006A2828"/>
    <w:rsid w:val="006A5A5C"/>
    <w:rsid w:val="006A7C82"/>
    <w:rsid w:val="006B4AAC"/>
    <w:rsid w:val="006C01B9"/>
    <w:rsid w:val="006D61B2"/>
    <w:rsid w:val="006D66B8"/>
    <w:rsid w:val="006F6072"/>
    <w:rsid w:val="00716B47"/>
    <w:rsid w:val="00727D62"/>
    <w:rsid w:val="00745227"/>
    <w:rsid w:val="0074547D"/>
    <w:rsid w:val="007732B0"/>
    <w:rsid w:val="00784EC9"/>
    <w:rsid w:val="0079526D"/>
    <w:rsid w:val="007954E8"/>
    <w:rsid w:val="00796F06"/>
    <w:rsid w:val="007B0078"/>
    <w:rsid w:val="007C4413"/>
    <w:rsid w:val="007C5BE3"/>
    <w:rsid w:val="007C73D6"/>
    <w:rsid w:val="007D39C8"/>
    <w:rsid w:val="007E7AD5"/>
    <w:rsid w:val="008174AF"/>
    <w:rsid w:val="00831DFD"/>
    <w:rsid w:val="00850AC3"/>
    <w:rsid w:val="00873EBD"/>
    <w:rsid w:val="00892CF8"/>
    <w:rsid w:val="008A21C7"/>
    <w:rsid w:val="008A32FE"/>
    <w:rsid w:val="008A533A"/>
    <w:rsid w:val="008C5543"/>
    <w:rsid w:val="008E3945"/>
    <w:rsid w:val="0090788F"/>
    <w:rsid w:val="009108C4"/>
    <w:rsid w:val="009125B3"/>
    <w:rsid w:val="00952F90"/>
    <w:rsid w:val="0095402C"/>
    <w:rsid w:val="00960B36"/>
    <w:rsid w:val="00961A3E"/>
    <w:rsid w:val="00962DF2"/>
    <w:rsid w:val="009642BF"/>
    <w:rsid w:val="009675A2"/>
    <w:rsid w:val="0097619F"/>
    <w:rsid w:val="0098362E"/>
    <w:rsid w:val="009A4099"/>
    <w:rsid w:val="009C2670"/>
    <w:rsid w:val="009C3AE8"/>
    <w:rsid w:val="009D380B"/>
    <w:rsid w:val="009E32E6"/>
    <w:rsid w:val="009E6D40"/>
    <w:rsid w:val="00A03AF5"/>
    <w:rsid w:val="00A55BB6"/>
    <w:rsid w:val="00A664C4"/>
    <w:rsid w:val="00A6796B"/>
    <w:rsid w:val="00A74B37"/>
    <w:rsid w:val="00A908D1"/>
    <w:rsid w:val="00AA4EAA"/>
    <w:rsid w:val="00AD63DC"/>
    <w:rsid w:val="00AE45D2"/>
    <w:rsid w:val="00AE56DA"/>
    <w:rsid w:val="00B066B8"/>
    <w:rsid w:val="00B178FF"/>
    <w:rsid w:val="00B17B94"/>
    <w:rsid w:val="00B2143F"/>
    <w:rsid w:val="00B41F5E"/>
    <w:rsid w:val="00B56E23"/>
    <w:rsid w:val="00B82595"/>
    <w:rsid w:val="00BB1A69"/>
    <w:rsid w:val="00BB603F"/>
    <w:rsid w:val="00BE0B74"/>
    <w:rsid w:val="00BE1C82"/>
    <w:rsid w:val="00C06BD6"/>
    <w:rsid w:val="00C1711F"/>
    <w:rsid w:val="00C46544"/>
    <w:rsid w:val="00C519DF"/>
    <w:rsid w:val="00C603C2"/>
    <w:rsid w:val="00C800CA"/>
    <w:rsid w:val="00C870EF"/>
    <w:rsid w:val="00C96E72"/>
    <w:rsid w:val="00CA33CE"/>
    <w:rsid w:val="00CB7646"/>
    <w:rsid w:val="00CE0E84"/>
    <w:rsid w:val="00CE2A49"/>
    <w:rsid w:val="00D220EA"/>
    <w:rsid w:val="00D250CC"/>
    <w:rsid w:val="00D26A38"/>
    <w:rsid w:val="00D5105B"/>
    <w:rsid w:val="00D52506"/>
    <w:rsid w:val="00D6463A"/>
    <w:rsid w:val="00D80E42"/>
    <w:rsid w:val="00D81956"/>
    <w:rsid w:val="00D942D5"/>
    <w:rsid w:val="00D94E0A"/>
    <w:rsid w:val="00D97374"/>
    <w:rsid w:val="00DA408F"/>
    <w:rsid w:val="00DB7E5C"/>
    <w:rsid w:val="00DD1DFB"/>
    <w:rsid w:val="00DF41A0"/>
    <w:rsid w:val="00E00468"/>
    <w:rsid w:val="00E04166"/>
    <w:rsid w:val="00E313C2"/>
    <w:rsid w:val="00E630A5"/>
    <w:rsid w:val="00E71EE2"/>
    <w:rsid w:val="00EA022F"/>
    <w:rsid w:val="00ED0288"/>
    <w:rsid w:val="00EF0E18"/>
    <w:rsid w:val="00EF62E7"/>
    <w:rsid w:val="00F147F0"/>
    <w:rsid w:val="00F23723"/>
    <w:rsid w:val="00F31EB6"/>
    <w:rsid w:val="00F378D8"/>
    <w:rsid w:val="00F6279D"/>
    <w:rsid w:val="00F66968"/>
    <w:rsid w:val="00F71554"/>
    <w:rsid w:val="00FE2883"/>
    <w:rsid w:val="00FF50A8"/>
    <w:rsid w:val="00FF7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F31E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CCYBodyText">
    <w:name w:val="NICCY Body Text"/>
    <w:basedOn w:val="Normal"/>
    <w:link w:val="NICCYBodyTextChar"/>
    <w:qFormat/>
    <w:rsid w:val="004046E0"/>
    <w:pPr>
      <w:ind w:right="-433"/>
    </w:pPr>
    <w:rPr>
      <w:rFonts w:ascii="Arial" w:hAnsi="Arial" w:cs="Arial"/>
      <w:color w:val="414042"/>
      <w:sz w:val="24"/>
      <w:szCs w:val="24"/>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paragraph" w:styleId="NormalWeb">
    <w:name w:val="Normal (Web)"/>
    <w:basedOn w:val="Normal"/>
    <w:rsid w:val="006A7C82"/>
    <w:pPr>
      <w:spacing w:before="100" w:beforeAutospacing="1" w:after="100" w:afterAutospacing="1"/>
    </w:pPr>
    <w:rPr>
      <w:rFonts w:ascii="Arial" w:hAnsi="Arial" w:cs="Arial"/>
      <w:color w:val="000066"/>
      <w:sz w:val="18"/>
      <w:szCs w:val="18"/>
    </w:rPr>
  </w:style>
  <w:style w:type="paragraph" w:styleId="ListParagraph">
    <w:name w:val="List Paragraph"/>
    <w:basedOn w:val="Normal"/>
    <w:uiPriority w:val="34"/>
    <w:rsid w:val="003C2004"/>
    <w:pPr>
      <w:ind w:left="720"/>
      <w:contextualSpacing/>
    </w:pPr>
  </w:style>
  <w:style w:type="character" w:styleId="Hyperlink">
    <w:name w:val="Hyperlink"/>
    <w:basedOn w:val="DefaultParagraphFont"/>
    <w:uiPriority w:val="99"/>
    <w:unhideWhenUsed/>
    <w:rsid w:val="00CA33CE"/>
    <w:rPr>
      <w:color w:val="0000FF" w:themeColor="hyperlink"/>
      <w:u w:val="single"/>
    </w:rPr>
  </w:style>
  <w:style w:type="character" w:customStyle="1" w:styleId="Heading1Char">
    <w:name w:val="Heading 1 Char"/>
    <w:basedOn w:val="DefaultParagraphFont"/>
    <w:link w:val="Heading1"/>
    <w:uiPriority w:val="9"/>
    <w:rsid w:val="00F31EB6"/>
    <w:rPr>
      <w:rFonts w:asciiTheme="majorHAnsi" w:eastAsiaTheme="majorEastAsia" w:hAnsiTheme="majorHAnsi" w:cstheme="majorBidi"/>
      <w:b/>
      <w:bCs/>
      <w:color w:val="365F91" w:themeColor="accent1" w:themeShade="BF"/>
      <w:sz w:val="28"/>
      <w:szCs w:val="28"/>
      <w:lang w:val="en-GB"/>
    </w:rPr>
  </w:style>
  <w:style w:type="character" w:customStyle="1" w:styleId="apple-converted-space">
    <w:name w:val="apple-converted-space"/>
    <w:basedOn w:val="DefaultParagraphFont"/>
    <w:rsid w:val="00F31EB6"/>
  </w:style>
  <w:style w:type="character" w:styleId="CommentReference">
    <w:name w:val="annotation reference"/>
    <w:basedOn w:val="DefaultParagraphFont"/>
    <w:uiPriority w:val="99"/>
    <w:semiHidden/>
    <w:unhideWhenUsed/>
    <w:rsid w:val="00137DBB"/>
    <w:rPr>
      <w:sz w:val="16"/>
      <w:szCs w:val="16"/>
    </w:rPr>
  </w:style>
  <w:style w:type="paragraph" w:styleId="CommentText">
    <w:name w:val="annotation text"/>
    <w:basedOn w:val="Normal"/>
    <w:link w:val="CommentTextChar"/>
    <w:uiPriority w:val="99"/>
    <w:semiHidden/>
    <w:unhideWhenUsed/>
    <w:rsid w:val="00137DBB"/>
  </w:style>
  <w:style w:type="character" w:customStyle="1" w:styleId="CommentTextChar">
    <w:name w:val="Comment Text Char"/>
    <w:basedOn w:val="DefaultParagraphFont"/>
    <w:link w:val="CommentText"/>
    <w:uiPriority w:val="99"/>
    <w:semiHidden/>
    <w:rsid w:val="00137DB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37DBB"/>
    <w:rPr>
      <w:b/>
      <w:bCs/>
    </w:rPr>
  </w:style>
  <w:style w:type="character" w:customStyle="1" w:styleId="CommentSubjectChar">
    <w:name w:val="Comment Subject Char"/>
    <w:basedOn w:val="CommentTextChar"/>
    <w:link w:val="CommentSubject"/>
    <w:uiPriority w:val="99"/>
    <w:semiHidden/>
    <w:rsid w:val="00137D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CCYBodyText">
    <w:name w:val="NICCY Body Text"/>
    <w:basedOn w:val="Normal"/>
    <w:link w:val="NICCYBodyTextChar"/>
    <w:qFormat/>
    <w:rsid w:val="004046E0"/>
    <w:pPr>
      <w:ind w:right="-433"/>
    </w:pPr>
    <w:rPr>
      <w:rFonts w:ascii="Arial" w:hAnsi="Arial" w:cs="Arial"/>
      <w:color w:val="414042"/>
      <w:sz w:val="24"/>
      <w:szCs w:val="24"/>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paragraph" w:styleId="NormalWeb">
    <w:name w:val="Normal (Web)"/>
    <w:basedOn w:val="Normal"/>
    <w:rsid w:val="006A7C82"/>
    <w:pPr>
      <w:spacing w:before="100" w:beforeAutospacing="1" w:after="100" w:afterAutospacing="1"/>
    </w:pPr>
    <w:rPr>
      <w:rFonts w:ascii="Arial" w:hAnsi="Arial" w:cs="Arial"/>
      <w:color w:val="000066"/>
      <w:sz w:val="18"/>
      <w:szCs w:val="18"/>
    </w:rPr>
  </w:style>
  <w:style w:type="paragraph" w:styleId="ListParagraph">
    <w:name w:val="List Paragraph"/>
    <w:basedOn w:val="Normal"/>
    <w:uiPriority w:val="34"/>
    <w:rsid w:val="003C2004"/>
    <w:pPr>
      <w:ind w:left="720"/>
      <w:contextualSpacing/>
    </w:pPr>
  </w:style>
  <w:style w:type="character" w:styleId="Hyperlink">
    <w:name w:val="Hyperlink"/>
    <w:basedOn w:val="DefaultParagraphFont"/>
    <w:uiPriority w:val="99"/>
    <w:unhideWhenUsed/>
    <w:rsid w:val="00CA33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4312780">
      <w:bodyDiv w:val="1"/>
      <w:marLeft w:val="0"/>
      <w:marRight w:val="0"/>
      <w:marTop w:val="0"/>
      <w:marBottom w:val="0"/>
      <w:divBdr>
        <w:top w:val="none" w:sz="0" w:space="0" w:color="auto"/>
        <w:left w:val="none" w:sz="0" w:space="0" w:color="auto"/>
        <w:bottom w:val="none" w:sz="0" w:space="0" w:color="auto"/>
        <w:right w:val="none" w:sz="0" w:space="0" w:color="auto"/>
      </w:divBdr>
      <w:divsChild>
        <w:div w:id="928927919">
          <w:marLeft w:val="864"/>
          <w:marRight w:val="0"/>
          <w:marTop w:val="86"/>
          <w:marBottom w:val="0"/>
          <w:divBdr>
            <w:top w:val="none" w:sz="0" w:space="0" w:color="auto"/>
            <w:left w:val="none" w:sz="0" w:space="0" w:color="auto"/>
            <w:bottom w:val="none" w:sz="0" w:space="0" w:color="auto"/>
            <w:right w:val="none" w:sz="0" w:space="0" w:color="auto"/>
          </w:divBdr>
        </w:div>
      </w:divsChild>
    </w:div>
    <w:div w:id="1703509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cy.org/Publications/policyandresearchreportsandpapers/publications-from-2012/reviewoftransitionsforyoungpeoplewithlearningdisabil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niccy.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hsspsni.gov.uk/learning-disability-report" TargetMode="External"/><Relationship Id="rId1" Type="http://schemas.openxmlformats.org/officeDocument/2006/relationships/hyperlink" Target="http://www.patientclientcouncil.hscni.net/uploads/research/My_Day_My_Way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27B3-F137-4FD3-B65E-FCC92567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3113</Words>
  <Characters>17745</Characters>
  <Application>Microsoft Office Word</Application>
  <DocSecurity>2</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2</cp:revision>
  <cp:lastPrinted>2015-05-28T14:12:00Z</cp:lastPrinted>
  <dcterms:created xsi:type="dcterms:W3CDTF">2015-06-03T10:58:00Z</dcterms:created>
  <dcterms:modified xsi:type="dcterms:W3CDTF">2015-06-03T10:58:00Z</dcterms:modified>
</cp:coreProperties>
</file>