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B125" w14:textId="77777777" w:rsidR="00F93B6C" w:rsidRDefault="00F93B6C" w:rsidP="00F93B6C">
      <w:pPr>
        <w:pStyle w:val="NICCYBodyTest"/>
        <w:rPr>
          <w:shd w:val="clear" w:color="auto" w:fill="FFFFFF"/>
        </w:rPr>
      </w:pPr>
    </w:p>
    <w:p w14:paraId="6C991C2B" w14:textId="796CABE2" w:rsidR="00F93B6C" w:rsidRPr="00C3251F" w:rsidRDefault="00F93B6C" w:rsidP="007B7C69">
      <w:pPr>
        <w:pStyle w:val="NICCYSubline"/>
        <w:rPr>
          <w:sz w:val="28"/>
          <w:szCs w:val="28"/>
          <w:shd w:val="clear" w:color="auto" w:fill="FFFFFF"/>
        </w:rPr>
      </w:pPr>
      <w:r w:rsidRPr="00C3251F">
        <w:rPr>
          <w:sz w:val="28"/>
          <w:szCs w:val="28"/>
          <w:shd w:val="clear" w:color="auto" w:fill="FFFFFF"/>
        </w:rPr>
        <w:t xml:space="preserve">NICCY Advice to UK Covid-19 Inquiry on its draft Terms of Reference </w:t>
      </w:r>
    </w:p>
    <w:p w14:paraId="1231F2B7" w14:textId="3362E70D" w:rsidR="00105789" w:rsidRDefault="00C3251F" w:rsidP="007B7C69">
      <w:pPr>
        <w:pStyle w:val="NICCYSubline"/>
        <w:rPr>
          <w:shd w:val="clear" w:color="auto" w:fill="FFFFFF"/>
        </w:rPr>
      </w:pPr>
      <w:r>
        <w:rPr>
          <w:shd w:val="clear" w:color="auto" w:fill="FFFFFF"/>
        </w:rPr>
        <w:t>06.04.2022</w:t>
      </w:r>
    </w:p>
    <w:p w14:paraId="240EEFE0" w14:textId="77777777" w:rsidR="00105789" w:rsidRDefault="00105789" w:rsidP="007B7C69">
      <w:pPr>
        <w:pStyle w:val="NICCYSubline"/>
        <w:rPr>
          <w:shd w:val="clear" w:color="auto" w:fill="FFFFFF"/>
        </w:rPr>
      </w:pPr>
    </w:p>
    <w:p w14:paraId="26223FAA" w14:textId="77777777" w:rsidR="00C3251F" w:rsidRDefault="00C3251F" w:rsidP="00C3251F">
      <w:pPr>
        <w:pStyle w:val="NICCYSubline"/>
        <w:rPr>
          <w:lang w:eastAsia="en-GB"/>
        </w:rPr>
      </w:pPr>
      <w:r w:rsidRPr="00CE2AEA">
        <w:rPr>
          <w:lang w:eastAsia="en-GB"/>
        </w:rPr>
        <w:t>Introduction</w:t>
      </w:r>
    </w:p>
    <w:p w14:paraId="39DD4612" w14:textId="07D87CD6" w:rsidR="00F90850" w:rsidRDefault="00F90850" w:rsidP="007B7C69">
      <w:pPr>
        <w:pStyle w:val="NICCYSubline"/>
        <w:rPr>
          <w:b w:val="0"/>
          <w:color w:val="414042"/>
          <w:shd w:val="clear" w:color="auto" w:fill="FFFFFF"/>
        </w:rPr>
      </w:pPr>
    </w:p>
    <w:p w14:paraId="7EA9DFC3" w14:textId="5CAD1749" w:rsidR="007141E6" w:rsidRPr="00CE2AEA" w:rsidRDefault="007141E6" w:rsidP="007141E6">
      <w:pPr>
        <w:spacing w:line="276" w:lineRule="auto"/>
        <w:rPr>
          <w:rFonts w:ascii="Arial" w:hAnsi="Arial" w:cs="Arial"/>
          <w:color w:val="414042"/>
          <w:sz w:val="24"/>
          <w:szCs w:val="24"/>
          <w:lang w:eastAsia="en-GB"/>
        </w:rPr>
      </w:pPr>
      <w:r w:rsidRPr="00CE2AEA">
        <w:rPr>
          <w:rFonts w:ascii="Arial" w:hAnsi="Arial" w:cs="Arial"/>
          <w:color w:val="414042"/>
          <w:sz w:val="24"/>
          <w:szCs w:val="24"/>
          <w:lang w:eastAsia="en-GB"/>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w:t>
      </w:r>
      <w:r w:rsidR="00302096">
        <w:rPr>
          <w:rFonts w:ascii="Arial" w:hAnsi="Arial" w:cs="Arial"/>
          <w:color w:val="414042"/>
          <w:sz w:val="24"/>
          <w:szCs w:val="24"/>
          <w:lang w:eastAsia="en-GB"/>
        </w:rPr>
        <w:t xml:space="preserve">Its remit also includes all devolved </w:t>
      </w:r>
      <w:r w:rsidR="00150831">
        <w:rPr>
          <w:rFonts w:ascii="Arial" w:hAnsi="Arial" w:cs="Arial"/>
          <w:color w:val="414042"/>
          <w:sz w:val="24"/>
          <w:szCs w:val="24"/>
          <w:lang w:eastAsia="en-GB"/>
        </w:rPr>
        <w:t>pertaining to</w:t>
      </w:r>
      <w:r w:rsidR="001659D8">
        <w:rPr>
          <w:rFonts w:ascii="Arial" w:hAnsi="Arial" w:cs="Arial"/>
          <w:color w:val="414042"/>
          <w:sz w:val="24"/>
          <w:szCs w:val="24"/>
          <w:lang w:eastAsia="en-GB"/>
        </w:rPr>
        <w:t xml:space="preserve"> the NI Assembly that affects children and young people. </w:t>
      </w:r>
      <w:r w:rsidRPr="00CE2AEA">
        <w:rPr>
          <w:rFonts w:ascii="Arial" w:hAnsi="Arial" w:cs="Arial"/>
          <w:color w:val="414042"/>
          <w:sz w:val="24"/>
          <w:szCs w:val="24"/>
          <w:lang w:eastAsia="en-GB"/>
        </w:rPr>
        <w:t xml:space="preserve">In carrying out her functions, the Commissioner’s paramount consideration is the rights of the child or young person, having particular regard to their wishes and feelings. In exercising her functions, the Commissioner is required to have regard to all relevant provisions of the United Nations Convention on the Rights of the Child (UNCRC).  </w:t>
      </w:r>
    </w:p>
    <w:p w14:paraId="199DBF1D" w14:textId="77777777" w:rsidR="002426E1" w:rsidRDefault="002426E1" w:rsidP="002426E1">
      <w:pPr>
        <w:pStyle w:val="NICCYSubline"/>
        <w:rPr>
          <w:b w:val="0"/>
          <w:color w:val="414042"/>
          <w:shd w:val="clear" w:color="auto" w:fill="FFFFFF"/>
        </w:rPr>
      </w:pPr>
    </w:p>
    <w:p w14:paraId="122DB399" w14:textId="77777777" w:rsidR="00E52A74" w:rsidRDefault="002426E1" w:rsidP="003070DC">
      <w:pPr>
        <w:pStyle w:val="NICCYBodyTest"/>
        <w:rPr>
          <w:b/>
          <w:shd w:val="clear" w:color="auto" w:fill="FFFFFF"/>
        </w:rPr>
      </w:pPr>
      <w:r w:rsidRPr="003070DC">
        <w:rPr>
          <w:rFonts w:eastAsia="Times New Roman"/>
          <w:lang w:eastAsia="en-GB"/>
        </w:rPr>
        <w:t xml:space="preserve">NICCY welcomes the opportunity to respond to the independent public inquiry to examine the Covid-19 pandemic in the UK. It is vital that the preparedness and response to the pandemic by the </w:t>
      </w:r>
      <w:r w:rsidR="00E9264D">
        <w:rPr>
          <w:rFonts w:eastAsia="Times New Roman"/>
          <w:lang w:eastAsia="en-GB"/>
        </w:rPr>
        <w:t xml:space="preserve">UK and devolved governments </w:t>
      </w:r>
      <w:r w:rsidRPr="003070DC">
        <w:rPr>
          <w:rFonts w:eastAsia="Times New Roman"/>
          <w:lang w:eastAsia="en-GB"/>
        </w:rPr>
        <w:t>is undertaken, and that lessons are learnt for any similar future situation</w:t>
      </w:r>
      <w:r>
        <w:rPr>
          <w:b/>
          <w:shd w:val="clear" w:color="auto" w:fill="FFFFFF"/>
        </w:rPr>
        <w:t xml:space="preserve">. </w:t>
      </w:r>
    </w:p>
    <w:p w14:paraId="54EE6B15" w14:textId="77777777" w:rsidR="00E52A74" w:rsidRDefault="00E52A74" w:rsidP="003070DC">
      <w:pPr>
        <w:pStyle w:val="NICCYBodyTest"/>
        <w:rPr>
          <w:b/>
          <w:shd w:val="clear" w:color="auto" w:fill="FFFFFF"/>
        </w:rPr>
      </w:pPr>
    </w:p>
    <w:p w14:paraId="470312F1" w14:textId="1B6BF6DF" w:rsidR="003070DC" w:rsidRPr="00254581" w:rsidRDefault="003070DC" w:rsidP="003070DC">
      <w:pPr>
        <w:pStyle w:val="NICCYBodyTest"/>
        <w:rPr>
          <w:shd w:val="clear" w:color="auto" w:fill="FFFFFF"/>
        </w:rPr>
      </w:pPr>
      <w:r>
        <w:rPr>
          <w:shd w:val="clear" w:color="auto" w:fill="FFFFFF"/>
        </w:rPr>
        <w:t>W</w:t>
      </w:r>
      <w:r w:rsidRPr="00254581">
        <w:rPr>
          <w:shd w:val="clear" w:color="auto" w:fill="FFFFFF"/>
        </w:rPr>
        <w:t>e</w:t>
      </w:r>
      <w:r>
        <w:t xml:space="preserve"> agree </w:t>
      </w:r>
      <w:r w:rsidR="00301C08">
        <w:t xml:space="preserve">that </w:t>
      </w:r>
      <w:r w:rsidR="00301C08" w:rsidRPr="00254581">
        <w:rPr>
          <w:shd w:val="clear" w:color="auto" w:fill="FFFFFF"/>
        </w:rPr>
        <w:t>the</w:t>
      </w:r>
      <w:r w:rsidRPr="00254581">
        <w:rPr>
          <w:shd w:val="clear" w:color="auto" w:fill="FFFFFF"/>
        </w:rPr>
        <w:t xml:space="preserve"> UK wide Inquiry </w:t>
      </w:r>
      <w:r>
        <w:t xml:space="preserve">should </w:t>
      </w:r>
      <w:r w:rsidRPr="00254581">
        <w:rPr>
          <w:shd w:val="clear" w:color="auto" w:fill="FFFFFF"/>
        </w:rPr>
        <w:t>include N</w:t>
      </w:r>
      <w:r>
        <w:rPr>
          <w:shd w:val="clear" w:color="auto" w:fill="FFFFFF"/>
        </w:rPr>
        <w:t xml:space="preserve">orthern </w:t>
      </w:r>
      <w:r w:rsidRPr="00254581">
        <w:rPr>
          <w:shd w:val="clear" w:color="auto" w:fill="FFFFFF"/>
        </w:rPr>
        <w:t>I</w:t>
      </w:r>
      <w:r>
        <w:rPr>
          <w:shd w:val="clear" w:color="auto" w:fill="FFFFFF"/>
        </w:rPr>
        <w:t>reland</w:t>
      </w:r>
      <w:r>
        <w:t>. However</w:t>
      </w:r>
      <w:r w:rsidRPr="00254581">
        <w:rPr>
          <w:shd w:val="clear" w:color="auto" w:fill="FFFFFF"/>
        </w:rPr>
        <w:t>,</w:t>
      </w:r>
      <w:r>
        <w:t xml:space="preserve"> there are significant deficits in</w:t>
      </w:r>
      <w:r w:rsidRPr="00254581">
        <w:rPr>
          <w:shd w:val="clear" w:color="auto" w:fill="FFFFFF"/>
        </w:rPr>
        <w:t xml:space="preserve"> the T</w:t>
      </w:r>
      <w:r>
        <w:rPr>
          <w:shd w:val="clear" w:color="auto" w:fill="FFFFFF"/>
        </w:rPr>
        <w:t>o</w:t>
      </w:r>
      <w:r w:rsidRPr="00254581">
        <w:rPr>
          <w:shd w:val="clear" w:color="auto" w:fill="FFFFFF"/>
        </w:rPr>
        <w:t>R</w:t>
      </w:r>
      <w:r>
        <w:t>, and it requires a</w:t>
      </w:r>
      <w:r w:rsidR="00BD4E83">
        <w:rPr>
          <w:shd w:val="clear" w:color="auto" w:fill="FFFFFF"/>
        </w:rPr>
        <w:t xml:space="preserve"> </w:t>
      </w:r>
      <w:r w:rsidR="00D93F13">
        <w:rPr>
          <w:shd w:val="clear" w:color="auto" w:fill="FFFFFF"/>
        </w:rPr>
        <w:t xml:space="preserve">more </w:t>
      </w:r>
      <w:r w:rsidR="00BD4E83">
        <w:rPr>
          <w:shd w:val="clear" w:color="auto" w:fill="FFFFFF"/>
        </w:rPr>
        <w:t>explicit focus on children and young people</w:t>
      </w:r>
      <w:r w:rsidR="00BD4E83">
        <w:t xml:space="preserve"> and</w:t>
      </w:r>
      <w:r w:rsidR="00BD4E83">
        <w:rPr>
          <w:shd w:val="clear" w:color="auto" w:fill="FFFFFF"/>
        </w:rPr>
        <w:t xml:space="preserve"> </w:t>
      </w:r>
      <w:r w:rsidR="00F03BB3">
        <w:rPr>
          <w:shd w:val="clear" w:color="auto" w:fill="FFFFFF"/>
        </w:rPr>
        <w:t>human rights</w:t>
      </w:r>
      <w:r w:rsidR="00F03BB3">
        <w:t>. Furthermore</w:t>
      </w:r>
      <w:r w:rsidR="00D740A3">
        <w:t>,</w:t>
      </w:r>
      <w:r w:rsidR="00F03BB3">
        <w:t xml:space="preserve"> it </w:t>
      </w:r>
      <w:r w:rsidR="00301C08">
        <w:t xml:space="preserve">must be followed by </w:t>
      </w:r>
      <w:r w:rsidR="00BD4E83">
        <w:rPr>
          <w:shd w:val="clear" w:color="auto" w:fill="FFFFFF"/>
        </w:rPr>
        <w:t xml:space="preserve">a </w:t>
      </w:r>
      <w:r w:rsidR="008F4D2B">
        <w:rPr>
          <w:shd w:val="clear" w:color="auto" w:fill="FFFFFF"/>
        </w:rPr>
        <w:t xml:space="preserve">methodology for evidence gathering that sufficiently focuses on </w:t>
      </w:r>
      <w:r w:rsidR="00D740A3">
        <w:rPr>
          <w:shd w:val="clear" w:color="auto" w:fill="FFFFFF"/>
        </w:rPr>
        <w:t xml:space="preserve">these key principles </w:t>
      </w:r>
      <w:r w:rsidR="003F0EFD">
        <w:rPr>
          <w:shd w:val="clear" w:color="auto" w:fill="FFFFFF"/>
        </w:rPr>
        <w:t xml:space="preserve">and </w:t>
      </w:r>
      <w:r w:rsidR="000972EC">
        <w:rPr>
          <w:shd w:val="clear" w:color="auto" w:fill="FFFFFF"/>
        </w:rPr>
        <w:t xml:space="preserve">is </w:t>
      </w:r>
      <w:r w:rsidR="00D740A3">
        <w:rPr>
          <w:shd w:val="clear" w:color="auto" w:fill="FFFFFF"/>
        </w:rPr>
        <w:t>led</w:t>
      </w:r>
      <w:r w:rsidR="000972EC">
        <w:rPr>
          <w:shd w:val="clear" w:color="auto" w:fill="FFFFFF"/>
        </w:rPr>
        <w:t xml:space="preserve"> by </w:t>
      </w:r>
      <w:r w:rsidR="003F0EFD">
        <w:t>a</w:t>
      </w:r>
      <w:r w:rsidR="000972EC">
        <w:t>n</w:t>
      </w:r>
      <w:r w:rsidR="003F0EFD">
        <w:t xml:space="preserve"> independent and impartial</w:t>
      </w:r>
      <w:r w:rsidRPr="00254581">
        <w:rPr>
          <w:shd w:val="clear" w:color="auto" w:fill="FFFFFF"/>
        </w:rPr>
        <w:t xml:space="preserve"> Chair</w:t>
      </w:r>
      <w:r w:rsidR="000972EC">
        <w:rPr>
          <w:shd w:val="clear" w:color="auto" w:fill="FFFFFF"/>
        </w:rPr>
        <w:t>person</w:t>
      </w:r>
      <w:r w:rsidRPr="00254581">
        <w:rPr>
          <w:shd w:val="clear" w:color="auto" w:fill="FFFFFF"/>
        </w:rPr>
        <w:t xml:space="preserve">. </w:t>
      </w:r>
    </w:p>
    <w:p w14:paraId="3B57F804" w14:textId="77777777" w:rsidR="007141E6" w:rsidRPr="003B036B" w:rsidRDefault="007141E6" w:rsidP="007B7C69">
      <w:pPr>
        <w:pStyle w:val="NICCYSubline"/>
        <w:rPr>
          <w:b w:val="0"/>
          <w:color w:val="414042"/>
          <w:shd w:val="clear" w:color="auto" w:fill="FFFFFF"/>
        </w:rPr>
      </w:pPr>
    </w:p>
    <w:p w14:paraId="38E99757" w14:textId="650F237D" w:rsidR="00F93B6C" w:rsidRDefault="00A427BD" w:rsidP="00A427BD">
      <w:pPr>
        <w:pStyle w:val="NICCYSubtitle"/>
      </w:pPr>
      <w:r>
        <w:t>Please explain why you think the draft Terms of Reference do not cover all the areas that the Inquiry should address</w:t>
      </w:r>
      <w:r w:rsidR="00045301">
        <w:t>:</w:t>
      </w:r>
    </w:p>
    <w:p w14:paraId="10D14CB4" w14:textId="65FC70E4" w:rsidR="00045301" w:rsidRDefault="00045301" w:rsidP="00A427BD">
      <w:pPr>
        <w:pStyle w:val="NICCYSubtitle"/>
        <w:rPr>
          <w:b w:val="0"/>
          <w:color w:val="414042"/>
          <w:shd w:val="clear" w:color="auto" w:fill="FFFFFF"/>
        </w:rPr>
      </w:pPr>
    </w:p>
    <w:p w14:paraId="780FF1C8" w14:textId="2AC1D63A" w:rsidR="000A0094" w:rsidRDefault="000A0094" w:rsidP="000A0094">
      <w:pPr>
        <w:pStyle w:val="NICCYBodyTest"/>
        <w:rPr>
          <w:shd w:val="clear" w:color="auto" w:fill="FFFFFF"/>
        </w:rPr>
      </w:pPr>
      <w:r>
        <w:rPr>
          <w:shd w:val="clear" w:color="auto" w:fill="FFFFFF"/>
        </w:rPr>
        <w:lastRenderedPageBreak/>
        <w:t xml:space="preserve">We recommend that specific reference is made to the importance of </w:t>
      </w:r>
      <w:r w:rsidR="0DA8856D">
        <w:rPr>
          <w:shd w:val="clear" w:color="auto" w:fill="FFFFFF"/>
        </w:rPr>
        <w:t xml:space="preserve">a </w:t>
      </w:r>
      <w:r>
        <w:rPr>
          <w:shd w:val="clear" w:color="auto" w:fill="FFFFFF"/>
        </w:rPr>
        <w:t xml:space="preserve">human rights approach to the Inquiry and explanation of how this will be taken into account during all stages of the Inquiry. </w:t>
      </w:r>
    </w:p>
    <w:p w14:paraId="2083B6FE" w14:textId="77777777" w:rsidR="000A0094" w:rsidRPr="00DD3EDB" w:rsidRDefault="000A0094" w:rsidP="00A427BD">
      <w:pPr>
        <w:pStyle w:val="NICCYSubtitle"/>
        <w:rPr>
          <w:b w:val="0"/>
          <w:color w:val="414042"/>
          <w:shd w:val="clear" w:color="auto" w:fill="FFFFFF"/>
        </w:rPr>
      </w:pPr>
    </w:p>
    <w:p w14:paraId="4098BD44" w14:textId="2803D3AB" w:rsidR="00724FEF" w:rsidRDefault="00201D5B" w:rsidP="00045301">
      <w:pPr>
        <w:pStyle w:val="NICCYBodyTest"/>
        <w:rPr>
          <w:shd w:val="clear" w:color="auto" w:fill="FFFFFF"/>
        </w:rPr>
      </w:pPr>
      <w:r>
        <w:rPr>
          <w:shd w:val="clear" w:color="auto" w:fill="FFFFFF"/>
        </w:rPr>
        <w:t xml:space="preserve">The United Nations Convention on the Rights of the Child published a statement on </w:t>
      </w:r>
      <w:hyperlink r:id="rId8" w:history="1">
        <w:r w:rsidRPr="00437CEC">
          <w:rPr>
            <w:rStyle w:val="Hyperlink"/>
            <w:shd w:val="clear" w:color="auto" w:fill="FFFFFF"/>
          </w:rPr>
          <w:t>April 2020</w:t>
        </w:r>
      </w:hyperlink>
      <w:r>
        <w:rPr>
          <w:shd w:val="clear" w:color="auto" w:fill="FFFFFF"/>
        </w:rPr>
        <w:t>, in which i</w:t>
      </w:r>
      <w:r>
        <w:t xml:space="preserve">t pointed out that many children would be gravely affected physically, emotionally and psychologically by the pandemic and the response to it, especially in countries that had declared states of emergencies and mandatory lockdowns, and outlined 11 recommendations to States, to safeguard children’s rights during the pandemic. NICCY used these recommendations as a framework to conduct its </w:t>
      </w:r>
      <w:r>
        <w:rPr>
          <w:shd w:val="clear" w:color="auto" w:fill="FFFFFF"/>
        </w:rPr>
        <w:t xml:space="preserve">own comprehensive report in August 2021 on the </w:t>
      </w:r>
      <w:r w:rsidRPr="00E05FDE">
        <w:rPr>
          <w:shd w:val="clear" w:color="auto" w:fill="FFFFFF"/>
        </w:rPr>
        <w:t xml:space="preserve">impact </w:t>
      </w:r>
      <w:r>
        <w:rPr>
          <w:shd w:val="clear" w:color="auto" w:fill="FFFFFF"/>
        </w:rPr>
        <w:t>and Government</w:t>
      </w:r>
      <w:r w:rsidRPr="00E05FDE">
        <w:rPr>
          <w:shd w:val="clear" w:color="auto" w:fill="FFFFFF"/>
        </w:rPr>
        <w:t xml:space="preserve"> response to the Covid-19 pandemic on children’s rights in Northern Ireland</w:t>
      </w:r>
      <w:r>
        <w:rPr>
          <w:shd w:val="clear" w:color="auto" w:fill="FFFFFF"/>
        </w:rPr>
        <w:t xml:space="preserve">, titled </w:t>
      </w:r>
      <w:hyperlink r:id="rId9" w:history="1">
        <w:r w:rsidRPr="00CC2984">
          <w:rPr>
            <w:rStyle w:val="Hyperlink"/>
            <w:shd w:val="clear" w:color="auto" w:fill="FFFFFF"/>
          </w:rPr>
          <w:t>‘A New and Better Normal’</w:t>
        </w:r>
      </w:hyperlink>
      <w:r w:rsidRPr="00E05FDE">
        <w:rPr>
          <w:shd w:val="clear" w:color="auto" w:fill="FFFFFF"/>
        </w:rPr>
        <w:t>.</w:t>
      </w:r>
      <w:r>
        <w:rPr>
          <w:shd w:val="clear" w:color="auto" w:fill="FFFFFF"/>
        </w:rPr>
        <w:t xml:space="preserve"> </w:t>
      </w:r>
      <w:r w:rsidR="0026700C">
        <w:rPr>
          <w:shd w:val="clear" w:color="auto" w:fill="FFFFFF"/>
        </w:rPr>
        <w:t>NICCY</w:t>
      </w:r>
      <w:r w:rsidR="00EE2F82">
        <w:rPr>
          <w:shd w:val="clear" w:color="auto" w:fill="FFFFFF"/>
        </w:rPr>
        <w:t>s</w:t>
      </w:r>
      <w:r w:rsidR="0026700C">
        <w:rPr>
          <w:shd w:val="clear" w:color="auto" w:fill="FFFFFF"/>
        </w:rPr>
        <w:t xml:space="preserve"> report is now amongst a wide range of </w:t>
      </w:r>
      <w:r w:rsidR="00EE2F82">
        <w:rPr>
          <w:shd w:val="clear" w:color="auto" w:fill="FFFFFF"/>
        </w:rPr>
        <w:t xml:space="preserve">work which has highlighted the profound and </w:t>
      </w:r>
      <w:r w:rsidR="00045301" w:rsidRPr="00254581">
        <w:rPr>
          <w:shd w:val="clear" w:color="auto" w:fill="FFFFFF"/>
        </w:rPr>
        <w:t xml:space="preserve">disproportionate negative impact </w:t>
      </w:r>
      <w:r w:rsidR="00EE2F82">
        <w:rPr>
          <w:shd w:val="clear" w:color="auto" w:fill="FFFFFF"/>
        </w:rPr>
        <w:t xml:space="preserve">of the pandemic </w:t>
      </w:r>
      <w:r w:rsidR="00045301" w:rsidRPr="00254581">
        <w:rPr>
          <w:shd w:val="clear" w:color="auto" w:fill="FFFFFF"/>
        </w:rPr>
        <w:t>on children and young people</w:t>
      </w:r>
      <w:r w:rsidR="00EE2F82">
        <w:rPr>
          <w:shd w:val="clear" w:color="auto" w:fill="FFFFFF"/>
        </w:rPr>
        <w:t>.</w:t>
      </w:r>
    </w:p>
    <w:p w14:paraId="5C468F1B" w14:textId="77777777" w:rsidR="00724FEF" w:rsidRDefault="00724FEF" w:rsidP="00045301">
      <w:pPr>
        <w:pStyle w:val="NICCYBodyTest"/>
        <w:rPr>
          <w:shd w:val="clear" w:color="auto" w:fill="FFFFFF"/>
        </w:rPr>
      </w:pPr>
    </w:p>
    <w:p w14:paraId="685FD546" w14:textId="53862AC6" w:rsidR="007204F5" w:rsidRDefault="00724FEF" w:rsidP="00045301">
      <w:pPr>
        <w:pStyle w:val="NICCYBodyTest"/>
        <w:rPr>
          <w:shd w:val="clear" w:color="auto" w:fill="FFFFFF"/>
        </w:rPr>
      </w:pPr>
      <w:r>
        <w:rPr>
          <w:shd w:val="clear" w:color="auto" w:fill="FFFFFF"/>
        </w:rPr>
        <w:t>W</w:t>
      </w:r>
      <w:r w:rsidR="00045301" w:rsidRPr="00254581">
        <w:rPr>
          <w:shd w:val="clear" w:color="auto" w:fill="FFFFFF"/>
        </w:rPr>
        <w:t xml:space="preserve">e would strongly recommend that the </w:t>
      </w:r>
      <w:r w:rsidR="003B55D0">
        <w:rPr>
          <w:shd w:val="clear" w:color="auto" w:fill="FFFFFF"/>
        </w:rPr>
        <w:t>terms of reference (</w:t>
      </w:r>
      <w:r w:rsidR="00045301" w:rsidRPr="00254581">
        <w:rPr>
          <w:shd w:val="clear" w:color="auto" w:fill="FFFFFF"/>
        </w:rPr>
        <w:t>T</w:t>
      </w:r>
      <w:r w:rsidR="003B55D0">
        <w:rPr>
          <w:shd w:val="clear" w:color="auto" w:fill="FFFFFF"/>
        </w:rPr>
        <w:t>o</w:t>
      </w:r>
      <w:r w:rsidR="00045301" w:rsidRPr="00254581">
        <w:rPr>
          <w:shd w:val="clear" w:color="auto" w:fill="FFFFFF"/>
        </w:rPr>
        <w:t>R</w:t>
      </w:r>
      <w:r w:rsidR="003B55D0">
        <w:rPr>
          <w:shd w:val="clear" w:color="auto" w:fill="FFFFFF"/>
        </w:rPr>
        <w:t>)</w:t>
      </w:r>
      <w:r w:rsidR="00045301" w:rsidRPr="00254581">
        <w:rPr>
          <w:shd w:val="clear" w:color="auto" w:fill="FFFFFF"/>
        </w:rPr>
        <w:t xml:space="preserve"> is more explicit in its focus on reviewing Gov</w:t>
      </w:r>
      <w:r w:rsidR="00045301">
        <w:rPr>
          <w:shd w:val="clear" w:color="auto" w:fill="FFFFFF"/>
        </w:rPr>
        <w:t>ernment</w:t>
      </w:r>
      <w:r w:rsidR="00045301" w:rsidRPr="00254581">
        <w:rPr>
          <w:shd w:val="clear" w:color="auto" w:fill="FFFFFF"/>
        </w:rPr>
        <w:t xml:space="preserve"> preparedness and response to the effect of the pandemic on children </w:t>
      </w:r>
      <w:r w:rsidR="00CB355E">
        <w:rPr>
          <w:shd w:val="clear" w:color="auto" w:fill="FFFFFF"/>
        </w:rPr>
        <w:t xml:space="preserve">(0-18) </w:t>
      </w:r>
      <w:r w:rsidR="00045301" w:rsidRPr="00254581">
        <w:rPr>
          <w:shd w:val="clear" w:color="auto" w:fill="FFFFFF"/>
        </w:rPr>
        <w:t xml:space="preserve">and </w:t>
      </w:r>
      <w:r w:rsidR="00594BAB">
        <w:rPr>
          <w:shd w:val="clear" w:color="auto" w:fill="FFFFFF"/>
        </w:rPr>
        <w:t xml:space="preserve">across </w:t>
      </w:r>
      <w:r w:rsidR="00ED7DB4">
        <w:rPr>
          <w:shd w:val="clear" w:color="auto" w:fill="FFFFFF"/>
        </w:rPr>
        <w:t>key</w:t>
      </w:r>
      <w:r w:rsidR="00594BAB">
        <w:rPr>
          <w:shd w:val="clear" w:color="auto" w:fill="FFFFFF"/>
        </w:rPr>
        <w:t xml:space="preserve"> </w:t>
      </w:r>
      <w:r w:rsidR="000C455C">
        <w:rPr>
          <w:shd w:val="clear" w:color="auto" w:fill="FFFFFF"/>
        </w:rPr>
        <w:t>‘</w:t>
      </w:r>
      <w:r w:rsidR="00045301" w:rsidRPr="00254581">
        <w:rPr>
          <w:shd w:val="clear" w:color="auto" w:fill="FFFFFF"/>
        </w:rPr>
        <w:t>children’s services</w:t>
      </w:r>
      <w:r w:rsidR="000C455C">
        <w:rPr>
          <w:shd w:val="clear" w:color="auto" w:fill="FFFFFF"/>
        </w:rPr>
        <w:t>’</w:t>
      </w:r>
      <w:r w:rsidR="00045301" w:rsidRPr="00254581">
        <w:rPr>
          <w:shd w:val="clear" w:color="auto" w:fill="FFFFFF"/>
        </w:rPr>
        <w:t xml:space="preserve">. </w:t>
      </w:r>
      <w:r w:rsidR="00314145">
        <w:rPr>
          <w:shd w:val="clear" w:color="auto" w:fill="FFFFFF"/>
        </w:rPr>
        <w:t>W</w:t>
      </w:r>
      <w:r w:rsidR="00031575">
        <w:rPr>
          <w:shd w:val="clear" w:color="auto" w:fill="FFFFFF"/>
        </w:rPr>
        <w:t xml:space="preserve">e </w:t>
      </w:r>
      <w:r w:rsidR="00734C8E">
        <w:rPr>
          <w:shd w:val="clear" w:color="auto" w:fill="FFFFFF"/>
        </w:rPr>
        <w:t>understand</w:t>
      </w:r>
      <w:r w:rsidR="00031575">
        <w:rPr>
          <w:shd w:val="clear" w:color="auto" w:fill="FFFFFF"/>
        </w:rPr>
        <w:t xml:space="preserve"> that the </w:t>
      </w:r>
      <w:r w:rsidR="00734C8E">
        <w:rPr>
          <w:shd w:val="clear" w:color="auto" w:fill="FFFFFF"/>
        </w:rPr>
        <w:t>intention</w:t>
      </w:r>
      <w:r w:rsidR="00031575">
        <w:rPr>
          <w:shd w:val="clear" w:color="auto" w:fill="FFFFFF"/>
        </w:rPr>
        <w:t xml:space="preserve"> </w:t>
      </w:r>
      <w:r w:rsidR="00734C8E">
        <w:rPr>
          <w:shd w:val="clear" w:color="auto" w:fill="FFFFFF"/>
        </w:rPr>
        <w:t>i</w:t>
      </w:r>
      <w:r w:rsidR="00031575">
        <w:rPr>
          <w:shd w:val="clear" w:color="auto" w:fill="FFFFFF"/>
        </w:rPr>
        <w:t xml:space="preserve">s to review the </w:t>
      </w:r>
      <w:r w:rsidR="00734C8E">
        <w:rPr>
          <w:shd w:val="clear" w:color="auto" w:fill="FFFFFF"/>
        </w:rPr>
        <w:t>impact</w:t>
      </w:r>
      <w:r w:rsidR="00031575">
        <w:rPr>
          <w:shd w:val="clear" w:color="auto" w:fill="FFFFFF"/>
        </w:rPr>
        <w:t xml:space="preserve"> of the pandemic </w:t>
      </w:r>
      <w:r w:rsidR="004B23F5">
        <w:rPr>
          <w:shd w:val="clear" w:color="auto" w:fill="FFFFFF"/>
        </w:rPr>
        <w:t>against</w:t>
      </w:r>
      <w:r w:rsidR="00045301" w:rsidRPr="00254581">
        <w:rPr>
          <w:shd w:val="clear" w:color="auto" w:fill="FFFFFF"/>
        </w:rPr>
        <w:t xml:space="preserve"> equality law / section 75 groups </w:t>
      </w:r>
      <w:r w:rsidR="00CB355E">
        <w:rPr>
          <w:shd w:val="clear" w:color="auto" w:fill="FFFFFF"/>
        </w:rPr>
        <w:t>which will include age</w:t>
      </w:r>
      <w:r w:rsidR="006634AC">
        <w:rPr>
          <w:shd w:val="clear" w:color="auto" w:fill="FFFFFF"/>
        </w:rPr>
        <w:t xml:space="preserve">, </w:t>
      </w:r>
      <w:r w:rsidR="00017699">
        <w:rPr>
          <w:shd w:val="clear" w:color="auto" w:fill="FFFFFF"/>
        </w:rPr>
        <w:t xml:space="preserve">alongside </w:t>
      </w:r>
      <w:r w:rsidR="006634AC">
        <w:rPr>
          <w:shd w:val="clear" w:color="auto" w:fill="FFFFFF"/>
        </w:rPr>
        <w:t xml:space="preserve">disability, </w:t>
      </w:r>
      <w:r w:rsidR="00202B63">
        <w:rPr>
          <w:shd w:val="clear" w:color="auto" w:fill="FFFFFF"/>
        </w:rPr>
        <w:t>race</w:t>
      </w:r>
      <w:r w:rsidR="00017699">
        <w:rPr>
          <w:shd w:val="clear" w:color="auto" w:fill="FFFFFF"/>
        </w:rPr>
        <w:t>, sexual</w:t>
      </w:r>
      <w:r w:rsidR="00202B63">
        <w:rPr>
          <w:shd w:val="clear" w:color="auto" w:fill="FFFFFF"/>
        </w:rPr>
        <w:t xml:space="preserve"> orientation</w:t>
      </w:r>
      <w:r w:rsidR="00017699">
        <w:rPr>
          <w:shd w:val="clear" w:color="auto" w:fill="FFFFFF"/>
        </w:rPr>
        <w:t xml:space="preserve"> etc.</w:t>
      </w:r>
      <w:r w:rsidR="00045301" w:rsidRPr="00254581">
        <w:rPr>
          <w:shd w:val="clear" w:color="auto" w:fill="FFFFFF"/>
        </w:rPr>
        <w:t xml:space="preserve"> </w:t>
      </w:r>
      <w:r w:rsidR="00594BAB">
        <w:rPr>
          <w:shd w:val="clear" w:color="auto" w:fill="FFFFFF"/>
        </w:rPr>
        <w:t xml:space="preserve">as </w:t>
      </w:r>
      <w:r w:rsidR="00017699">
        <w:rPr>
          <w:shd w:val="clear" w:color="auto" w:fill="FFFFFF"/>
        </w:rPr>
        <w:t>key</w:t>
      </w:r>
      <w:r w:rsidR="00594BAB">
        <w:rPr>
          <w:shd w:val="clear" w:color="auto" w:fill="FFFFFF"/>
        </w:rPr>
        <w:t xml:space="preserve"> characterist</w:t>
      </w:r>
      <w:r w:rsidR="00D646E8">
        <w:rPr>
          <w:shd w:val="clear" w:color="auto" w:fill="FFFFFF"/>
        </w:rPr>
        <w:t>ic</w:t>
      </w:r>
      <w:r w:rsidR="00017699">
        <w:rPr>
          <w:shd w:val="clear" w:color="auto" w:fill="FFFFFF"/>
        </w:rPr>
        <w:t>s</w:t>
      </w:r>
      <w:r w:rsidR="00314145">
        <w:rPr>
          <w:shd w:val="clear" w:color="auto" w:fill="FFFFFF"/>
        </w:rPr>
        <w:t>.</w:t>
      </w:r>
      <w:r w:rsidR="00D646E8">
        <w:rPr>
          <w:shd w:val="clear" w:color="auto" w:fill="FFFFFF"/>
        </w:rPr>
        <w:t xml:space="preserve"> </w:t>
      </w:r>
      <w:r w:rsidR="00314145">
        <w:rPr>
          <w:shd w:val="clear" w:color="auto" w:fill="FFFFFF"/>
        </w:rPr>
        <w:t xml:space="preserve">However, </w:t>
      </w:r>
      <w:r w:rsidR="00D646E8">
        <w:rPr>
          <w:shd w:val="clear" w:color="auto" w:fill="FFFFFF"/>
        </w:rPr>
        <w:t xml:space="preserve">there is a risk that </w:t>
      </w:r>
      <w:r w:rsidR="004B23F5">
        <w:rPr>
          <w:shd w:val="clear" w:color="auto" w:fill="FFFFFF"/>
        </w:rPr>
        <w:t xml:space="preserve">the </w:t>
      </w:r>
      <w:r w:rsidR="00D646E8">
        <w:rPr>
          <w:shd w:val="clear" w:color="auto" w:fill="FFFFFF"/>
        </w:rPr>
        <w:t xml:space="preserve">significant impacts </w:t>
      </w:r>
      <w:r w:rsidR="00953741">
        <w:rPr>
          <w:shd w:val="clear" w:color="auto" w:fill="FFFFFF"/>
        </w:rPr>
        <w:t xml:space="preserve">on </w:t>
      </w:r>
      <w:r w:rsidR="00AF1E3D">
        <w:rPr>
          <w:shd w:val="clear" w:color="auto" w:fill="FFFFFF"/>
        </w:rPr>
        <w:t>the 0-18 age group</w:t>
      </w:r>
      <w:r w:rsidR="00953741">
        <w:rPr>
          <w:shd w:val="clear" w:color="auto" w:fill="FFFFFF"/>
        </w:rPr>
        <w:t xml:space="preserve"> </w:t>
      </w:r>
      <w:r w:rsidR="001A3F10">
        <w:rPr>
          <w:shd w:val="clear" w:color="auto" w:fill="FFFFFF"/>
        </w:rPr>
        <w:t xml:space="preserve">will not be sufficiently </w:t>
      </w:r>
      <w:r w:rsidR="00407643">
        <w:rPr>
          <w:shd w:val="clear" w:color="auto" w:fill="FFFFFF"/>
        </w:rPr>
        <w:t>covered</w:t>
      </w:r>
      <w:r w:rsidR="001A3F10">
        <w:rPr>
          <w:shd w:val="clear" w:color="auto" w:fill="FFFFFF"/>
        </w:rPr>
        <w:t xml:space="preserve"> </w:t>
      </w:r>
      <w:r w:rsidR="00F70B65">
        <w:rPr>
          <w:shd w:val="clear" w:color="auto" w:fill="FFFFFF"/>
        </w:rPr>
        <w:t>unless further detail</w:t>
      </w:r>
      <w:r w:rsidR="002C11A3">
        <w:rPr>
          <w:shd w:val="clear" w:color="auto" w:fill="FFFFFF"/>
        </w:rPr>
        <w:t>s are</w:t>
      </w:r>
      <w:r w:rsidR="00E96746">
        <w:rPr>
          <w:shd w:val="clear" w:color="auto" w:fill="FFFFFF"/>
        </w:rPr>
        <w:t xml:space="preserve"> </w:t>
      </w:r>
      <w:r w:rsidR="00EF50C9">
        <w:rPr>
          <w:shd w:val="clear" w:color="auto" w:fill="FFFFFF"/>
        </w:rPr>
        <w:t>included</w:t>
      </w:r>
      <w:r w:rsidR="00F70B65">
        <w:rPr>
          <w:shd w:val="clear" w:color="auto" w:fill="FFFFFF"/>
        </w:rPr>
        <w:t xml:space="preserve"> as part of this Inquiry </w:t>
      </w:r>
      <w:r w:rsidR="002C11A3">
        <w:rPr>
          <w:shd w:val="clear" w:color="auto" w:fill="FFFFFF"/>
        </w:rPr>
        <w:t>ToR</w:t>
      </w:r>
      <w:r w:rsidR="00DC0DDB">
        <w:rPr>
          <w:shd w:val="clear" w:color="auto" w:fill="FFFFFF"/>
        </w:rPr>
        <w:t>,</w:t>
      </w:r>
      <w:r w:rsidR="000C455C">
        <w:rPr>
          <w:shd w:val="clear" w:color="auto" w:fill="FFFFFF"/>
        </w:rPr>
        <w:t xml:space="preserve"> </w:t>
      </w:r>
      <w:r w:rsidR="00D646E8">
        <w:rPr>
          <w:shd w:val="clear" w:color="auto" w:fill="FFFFFF"/>
        </w:rPr>
        <w:t xml:space="preserve">and </w:t>
      </w:r>
      <w:r w:rsidR="005B3031">
        <w:rPr>
          <w:shd w:val="clear" w:color="auto" w:fill="FFFFFF"/>
        </w:rPr>
        <w:t xml:space="preserve">the scope </w:t>
      </w:r>
      <w:r w:rsidR="00CE472A">
        <w:rPr>
          <w:shd w:val="clear" w:color="auto" w:fill="FFFFFF"/>
        </w:rPr>
        <w:t>expanded</w:t>
      </w:r>
      <w:r w:rsidR="005B3031">
        <w:rPr>
          <w:shd w:val="clear" w:color="auto" w:fill="FFFFFF"/>
        </w:rPr>
        <w:t xml:space="preserve"> </w:t>
      </w:r>
      <w:r w:rsidR="00530BA2">
        <w:rPr>
          <w:shd w:val="clear" w:color="auto" w:fill="FFFFFF"/>
        </w:rPr>
        <w:t>where necessary</w:t>
      </w:r>
      <w:r w:rsidR="00D646E8">
        <w:rPr>
          <w:shd w:val="clear" w:color="auto" w:fill="FFFFFF"/>
        </w:rPr>
        <w:t>.</w:t>
      </w:r>
      <w:r w:rsidR="00AE75E3">
        <w:rPr>
          <w:shd w:val="clear" w:color="auto" w:fill="FFFFFF"/>
        </w:rPr>
        <w:t xml:space="preserve"> </w:t>
      </w:r>
      <w:r w:rsidR="00E279D4">
        <w:rPr>
          <w:shd w:val="clear" w:color="auto" w:fill="FFFFFF"/>
        </w:rPr>
        <w:t xml:space="preserve">We have set out below </w:t>
      </w:r>
      <w:r w:rsidR="090A4A8D">
        <w:rPr>
          <w:shd w:val="clear" w:color="auto" w:fill="FFFFFF"/>
        </w:rPr>
        <w:t>aspects of</w:t>
      </w:r>
      <w:r w:rsidR="00E279D4">
        <w:rPr>
          <w:shd w:val="clear" w:color="auto" w:fill="FFFFFF"/>
        </w:rPr>
        <w:t xml:space="preserve"> the ToR </w:t>
      </w:r>
      <w:r w:rsidR="090A4A8D">
        <w:rPr>
          <w:shd w:val="clear" w:color="auto" w:fill="FFFFFF"/>
        </w:rPr>
        <w:t>which should contain a</w:t>
      </w:r>
      <w:r w:rsidR="00E279D4">
        <w:rPr>
          <w:shd w:val="clear" w:color="auto" w:fill="FFFFFF"/>
        </w:rPr>
        <w:t xml:space="preserve"> </w:t>
      </w:r>
      <w:r w:rsidR="0001347A">
        <w:rPr>
          <w:shd w:val="clear" w:color="auto" w:fill="FFFFFF"/>
        </w:rPr>
        <w:t xml:space="preserve">more explicit </w:t>
      </w:r>
      <w:r w:rsidR="23ED34F1">
        <w:rPr>
          <w:shd w:val="clear" w:color="auto" w:fill="FFFFFF"/>
        </w:rPr>
        <w:t xml:space="preserve">focus on </w:t>
      </w:r>
      <w:r w:rsidR="0001347A">
        <w:rPr>
          <w:shd w:val="clear" w:color="auto" w:fill="FFFFFF"/>
        </w:rPr>
        <w:t xml:space="preserve"> 0-18 yr olds. </w:t>
      </w:r>
    </w:p>
    <w:p w14:paraId="2AEFE495" w14:textId="77777777" w:rsidR="00B549CC" w:rsidRDefault="00B549CC" w:rsidP="00045301">
      <w:pPr>
        <w:pStyle w:val="NICCYBodyTest"/>
      </w:pPr>
    </w:p>
    <w:p w14:paraId="6D000F84" w14:textId="59FADD9F" w:rsidR="00F830A5" w:rsidRPr="00A84653" w:rsidRDefault="00971521" w:rsidP="00A84653">
      <w:pPr>
        <w:pStyle w:val="NICCYBodyTest"/>
        <w:numPr>
          <w:ilvl w:val="0"/>
          <w:numId w:val="26"/>
        </w:numPr>
        <w:rPr>
          <w:b/>
          <w:bCs/>
        </w:rPr>
      </w:pPr>
      <w:r>
        <w:rPr>
          <w:b/>
          <w:bCs/>
        </w:rPr>
        <w:t>Health</w:t>
      </w:r>
    </w:p>
    <w:p w14:paraId="55A08C0F" w14:textId="71413A9A" w:rsidR="00DC22C6" w:rsidRPr="00B73DDF" w:rsidRDefault="00E11958" w:rsidP="00D90903">
      <w:pPr>
        <w:pStyle w:val="NICCYBodyTest"/>
        <w:ind w:left="360"/>
      </w:pPr>
      <w:r w:rsidRPr="00B73DDF">
        <w:t xml:space="preserve">We note the </w:t>
      </w:r>
      <w:r w:rsidR="00A00E1B" w:rsidRPr="00B73DDF">
        <w:t xml:space="preserve">plans to focus on the health and social care systems response across hospitals and care </w:t>
      </w:r>
      <w:r w:rsidR="00B73DDF" w:rsidRPr="00B73DDF">
        <w:t>homes</w:t>
      </w:r>
      <w:r w:rsidR="00A00E1B" w:rsidRPr="00B73DDF">
        <w:t xml:space="preserve"> and care settings. We would </w:t>
      </w:r>
      <w:r w:rsidR="00B73DDF" w:rsidRPr="00B73DDF">
        <w:t>recommend</w:t>
      </w:r>
      <w:r w:rsidR="00A00E1B" w:rsidRPr="00B73DDF">
        <w:t xml:space="preserve"> that </w:t>
      </w:r>
      <w:r w:rsidR="00B73DDF" w:rsidRPr="00B73DDF">
        <w:t>children’s</w:t>
      </w:r>
      <w:r w:rsidR="00A00E1B" w:rsidRPr="00B73DDF">
        <w:t xml:space="preserve"> homes, childcare settings</w:t>
      </w:r>
      <w:r w:rsidR="00B73DDF">
        <w:t xml:space="preserve"> </w:t>
      </w:r>
      <w:r w:rsidR="003C4D37">
        <w:t xml:space="preserve">/ private nursery / </w:t>
      </w:r>
      <w:r w:rsidR="00053376">
        <w:t>day-care</w:t>
      </w:r>
      <w:r w:rsidR="00A00E1B" w:rsidRPr="00B73DDF">
        <w:t xml:space="preserve"> </w:t>
      </w:r>
      <w:r w:rsidR="00D448DB">
        <w:t>and regi</w:t>
      </w:r>
      <w:r w:rsidR="00A84653">
        <w:t>o</w:t>
      </w:r>
      <w:r w:rsidR="00D448DB">
        <w:t xml:space="preserve">nal children’s facilities </w:t>
      </w:r>
      <w:r w:rsidR="00B73DDF" w:rsidRPr="00B73DDF">
        <w:t>a</w:t>
      </w:r>
      <w:r w:rsidR="003C4D37">
        <w:t xml:space="preserve">re included with a particular focus on </w:t>
      </w:r>
      <w:r w:rsidR="00053376">
        <w:t>preparedness and support for these sectors</w:t>
      </w:r>
      <w:r w:rsidR="00D448DB">
        <w:t xml:space="preserve"> and facilities</w:t>
      </w:r>
      <w:r w:rsidR="00DC22C6">
        <w:t>.</w:t>
      </w:r>
      <w:r w:rsidR="003C4D37">
        <w:t xml:space="preserve"> </w:t>
      </w:r>
      <w:r w:rsidR="00DC22C6">
        <w:t>We also assume that ‘access to therapeutics and vaccines’ and ‘long covid cl</w:t>
      </w:r>
      <w:r w:rsidR="00A93A48">
        <w:t>in</w:t>
      </w:r>
      <w:r w:rsidR="00DC22C6">
        <w:t>ics’ noted in this section will have a focus on children and young people</w:t>
      </w:r>
      <w:r w:rsidR="00A93A48">
        <w:t>.</w:t>
      </w:r>
      <w:r w:rsidR="00DC22C6">
        <w:t xml:space="preserve"> </w:t>
      </w:r>
      <w:r w:rsidR="00A93A48">
        <w:t xml:space="preserve">As we know children were last to be offered </w:t>
      </w:r>
      <w:r w:rsidR="00EC0EC7">
        <w:t>vaccines</w:t>
      </w:r>
      <w:r w:rsidR="00A93A48">
        <w:t xml:space="preserve"> and this was </w:t>
      </w:r>
      <w:r w:rsidR="00EC0EC7">
        <w:t>particularly</w:t>
      </w:r>
      <w:r w:rsidR="00A93A48">
        <w:t xml:space="preserve"> </w:t>
      </w:r>
      <w:r w:rsidR="00EC0EC7">
        <w:t>stressful for families with clinically vulnerable children who had extended periods of isolation.</w:t>
      </w:r>
      <w:r w:rsidR="008E529A">
        <w:t xml:space="preserve"> Furthermore, access to long covid </w:t>
      </w:r>
      <w:r w:rsidR="00C70EA0">
        <w:t>care for under 18s continues to be patchy</w:t>
      </w:r>
      <w:r w:rsidR="00AD2C47">
        <w:t xml:space="preserve"> and is an </w:t>
      </w:r>
      <w:r w:rsidR="005859A5">
        <w:t xml:space="preserve">area where an </w:t>
      </w:r>
      <w:r w:rsidR="00AD2C47">
        <w:t xml:space="preserve">immediate </w:t>
      </w:r>
      <w:r w:rsidR="005859A5">
        <w:t>response is required</w:t>
      </w:r>
      <w:r w:rsidR="00C70EA0">
        <w:t>.</w:t>
      </w:r>
    </w:p>
    <w:p w14:paraId="71F27505" w14:textId="77777777" w:rsidR="00AD2C47" w:rsidRDefault="00AD2C47" w:rsidP="003E44E0">
      <w:pPr>
        <w:pStyle w:val="NICCYBodyTest"/>
        <w:rPr>
          <w:b/>
          <w:bCs/>
        </w:rPr>
      </w:pPr>
    </w:p>
    <w:p w14:paraId="5207379E" w14:textId="52840DFC" w:rsidR="00777DFE" w:rsidRPr="00926F6C" w:rsidRDefault="009E3D85" w:rsidP="00777DFE">
      <w:pPr>
        <w:pStyle w:val="NICCYBodyTest"/>
        <w:numPr>
          <w:ilvl w:val="0"/>
          <w:numId w:val="26"/>
        </w:numPr>
        <w:rPr>
          <w:b/>
          <w:bCs/>
        </w:rPr>
      </w:pPr>
      <w:r w:rsidRPr="00926F6C">
        <w:rPr>
          <w:b/>
          <w:bCs/>
        </w:rPr>
        <w:t>E</w:t>
      </w:r>
      <w:r w:rsidR="00B549CC" w:rsidRPr="00926F6C">
        <w:rPr>
          <w:b/>
          <w:bCs/>
        </w:rPr>
        <w:t>ducation</w:t>
      </w:r>
      <w:r w:rsidR="00813FD7" w:rsidRPr="00926F6C">
        <w:rPr>
          <w:b/>
          <w:bCs/>
        </w:rPr>
        <w:t xml:space="preserve"> </w:t>
      </w:r>
    </w:p>
    <w:p w14:paraId="46BF8F92" w14:textId="5F56FABB" w:rsidR="00926F6C" w:rsidRDefault="006127F7" w:rsidP="00926F6C">
      <w:pPr>
        <w:pStyle w:val="NICCYBodyTest"/>
        <w:ind w:left="360"/>
        <w:rPr>
          <w:shd w:val="clear" w:color="auto" w:fill="FFFFFF"/>
        </w:rPr>
      </w:pPr>
      <w:r>
        <w:rPr>
          <w:shd w:val="clear" w:color="auto" w:fill="FFFFFF"/>
        </w:rPr>
        <w:t xml:space="preserve">Under </w:t>
      </w:r>
      <w:r w:rsidR="00926F6C">
        <w:rPr>
          <w:shd w:val="clear" w:color="auto" w:fill="FFFFFF"/>
        </w:rPr>
        <w:t xml:space="preserve">Aim (1.) </w:t>
      </w:r>
      <w:r w:rsidR="00926F6C">
        <w:t>t</w:t>
      </w:r>
      <w:r w:rsidR="00926F6C">
        <w:rPr>
          <w:shd w:val="clear" w:color="auto" w:fill="FFFFFF"/>
        </w:rPr>
        <w:t>he only</w:t>
      </w:r>
      <w:r w:rsidR="00926F6C" w:rsidRPr="00254581">
        <w:rPr>
          <w:shd w:val="clear" w:color="auto" w:fill="FFFFFF"/>
        </w:rPr>
        <w:t xml:space="preserve"> context </w:t>
      </w:r>
      <w:r w:rsidR="00926F6C">
        <w:rPr>
          <w:shd w:val="clear" w:color="auto" w:fill="FFFFFF"/>
        </w:rPr>
        <w:t xml:space="preserve">listed that would apply </w:t>
      </w:r>
      <w:r w:rsidR="00926F6C" w:rsidRPr="00254581">
        <w:rPr>
          <w:shd w:val="clear" w:color="auto" w:fill="FFFFFF"/>
        </w:rPr>
        <w:t xml:space="preserve">specifically </w:t>
      </w:r>
      <w:r w:rsidR="00926F6C">
        <w:rPr>
          <w:shd w:val="clear" w:color="auto" w:fill="FFFFFF"/>
        </w:rPr>
        <w:t>to children is</w:t>
      </w:r>
      <w:r w:rsidR="00926F6C" w:rsidRPr="00254581">
        <w:rPr>
          <w:shd w:val="clear" w:color="auto" w:fill="FFFFFF"/>
        </w:rPr>
        <w:t xml:space="preserve"> </w:t>
      </w:r>
      <w:r w:rsidR="00926F6C">
        <w:rPr>
          <w:shd w:val="clear" w:color="auto" w:fill="FFFFFF"/>
        </w:rPr>
        <w:t>‘</w:t>
      </w:r>
      <w:r w:rsidR="00926F6C" w:rsidRPr="00254581">
        <w:rPr>
          <w:shd w:val="clear" w:color="auto" w:fill="FFFFFF"/>
        </w:rPr>
        <w:t>education</w:t>
      </w:r>
      <w:r w:rsidR="00926F6C">
        <w:rPr>
          <w:shd w:val="clear" w:color="auto" w:fill="FFFFFF"/>
        </w:rPr>
        <w:t>’ and at present the focus is also limited to “</w:t>
      </w:r>
      <w:r w:rsidR="00926F6C">
        <w:t>restrictions on attendance at places of education”</w:t>
      </w:r>
      <w:r w:rsidR="00926F6C">
        <w:rPr>
          <w:shd w:val="clear" w:color="auto" w:fill="FFFFFF"/>
        </w:rPr>
        <w:t>, it is not clear if the scope of the review will include early years</w:t>
      </w:r>
      <w:r w:rsidR="00633D27">
        <w:rPr>
          <w:shd w:val="clear" w:color="auto" w:fill="FFFFFF"/>
        </w:rPr>
        <w:t xml:space="preserve"> (to include </w:t>
      </w:r>
      <w:r w:rsidR="00F105B2">
        <w:rPr>
          <w:shd w:val="clear" w:color="auto" w:fill="FFFFFF"/>
        </w:rPr>
        <w:t>S</w:t>
      </w:r>
      <w:r w:rsidR="00633D27">
        <w:rPr>
          <w:shd w:val="clear" w:color="auto" w:fill="FFFFFF"/>
        </w:rPr>
        <w:t xml:space="preserve">ure </w:t>
      </w:r>
      <w:r w:rsidR="00F105B2">
        <w:rPr>
          <w:shd w:val="clear" w:color="auto" w:fill="FFFFFF"/>
        </w:rPr>
        <w:t>S</w:t>
      </w:r>
      <w:r w:rsidR="00633D27">
        <w:rPr>
          <w:shd w:val="clear" w:color="auto" w:fill="FFFFFF"/>
        </w:rPr>
        <w:t xml:space="preserve">tarts) and </w:t>
      </w:r>
      <w:r w:rsidR="00926F6C">
        <w:rPr>
          <w:shd w:val="clear" w:color="auto" w:fill="FFFFFF"/>
        </w:rPr>
        <w:t xml:space="preserve">pre-school </w:t>
      </w:r>
      <w:r w:rsidR="00F105B2">
        <w:rPr>
          <w:shd w:val="clear" w:color="auto" w:fill="FFFFFF"/>
        </w:rPr>
        <w:t>settings,</w:t>
      </w:r>
      <w:r w:rsidR="003C2247">
        <w:rPr>
          <w:shd w:val="clear" w:color="auto" w:fill="FFFFFF"/>
        </w:rPr>
        <w:t xml:space="preserve"> but w</w:t>
      </w:r>
      <w:r w:rsidR="00926F6C">
        <w:rPr>
          <w:shd w:val="clear" w:color="auto" w:fill="FFFFFF"/>
        </w:rPr>
        <w:t xml:space="preserve">e would recommend that it does. Furthermore, the current </w:t>
      </w:r>
      <w:r w:rsidR="006B2FDE">
        <w:rPr>
          <w:shd w:val="clear" w:color="auto" w:fill="FFFFFF"/>
        </w:rPr>
        <w:t xml:space="preserve">focus on education </w:t>
      </w:r>
      <w:r w:rsidR="00926F6C">
        <w:rPr>
          <w:shd w:val="clear" w:color="auto" w:fill="FFFFFF"/>
        </w:rPr>
        <w:t>is limited to decision making about impact on attendance, we would strongly argue that the range of issues considered under education is expanded to include the impact of decision making on the quality of education, roll out of remote learning and support for children to access laptops etc.</w:t>
      </w:r>
      <w:r w:rsidR="00E8613B">
        <w:rPr>
          <w:shd w:val="clear" w:color="auto" w:fill="FFFFFF"/>
        </w:rPr>
        <w:t>, the specific impact and response to Government on children in transitional or exam years</w:t>
      </w:r>
      <w:r w:rsidR="00556ED7">
        <w:rPr>
          <w:shd w:val="clear" w:color="auto" w:fill="FFFFFF"/>
        </w:rPr>
        <w:t xml:space="preserve"> and infection control measures in school to include face coverings, class bubbling, </w:t>
      </w:r>
      <w:r w:rsidR="007A1E4E">
        <w:rPr>
          <w:shd w:val="clear" w:color="auto" w:fill="FFFFFF"/>
        </w:rPr>
        <w:t>use of remote teaching etc.</w:t>
      </w:r>
    </w:p>
    <w:p w14:paraId="7F49C93B" w14:textId="5D667D64" w:rsidR="00A74D2C" w:rsidRPr="00B51194" w:rsidRDefault="00A74D2C" w:rsidP="00045301">
      <w:pPr>
        <w:pStyle w:val="NICCYBodyTest"/>
        <w:rPr>
          <w:b/>
          <w:bCs/>
        </w:rPr>
      </w:pPr>
    </w:p>
    <w:p w14:paraId="3FE5495C" w14:textId="6E72094C" w:rsidR="00457F09" w:rsidRDefault="00457F09" w:rsidP="00457F09">
      <w:pPr>
        <w:pStyle w:val="NICCYBodyTest"/>
        <w:numPr>
          <w:ilvl w:val="0"/>
          <w:numId w:val="26"/>
        </w:numPr>
        <w:rPr>
          <w:b/>
          <w:bCs/>
        </w:rPr>
      </w:pPr>
      <w:r w:rsidRPr="00B51194">
        <w:rPr>
          <w:b/>
          <w:bCs/>
        </w:rPr>
        <w:t xml:space="preserve">Safeguarding  </w:t>
      </w:r>
    </w:p>
    <w:p w14:paraId="0F6A0800" w14:textId="0FA82B1D" w:rsidR="006F5960" w:rsidRPr="006F5960" w:rsidRDefault="0069337F" w:rsidP="006F5960">
      <w:pPr>
        <w:pStyle w:val="NICCYBodyTest"/>
        <w:ind w:left="360"/>
        <w:rPr>
          <w:b/>
          <w:bCs/>
        </w:rPr>
      </w:pPr>
      <w:r>
        <w:t xml:space="preserve">It is unclear from the TOR how approaches to safeguarding and child protection would be picked up and addressed by the </w:t>
      </w:r>
      <w:r w:rsidR="000662C6">
        <w:t>I</w:t>
      </w:r>
      <w:r>
        <w:t>nquiry. This is an important aspect for inclusion as this has to be a core purpose for all Governments in carrying out their functions.</w:t>
      </w:r>
      <w:r w:rsidR="006F5960">
        <w:rPr>
          <w:b/>
          <w:bCs/>
        </w:rPr>
        <w:t xml:space="preserve"> </w:t>
      </w:r>
      <w:r w:rsidR="000662C6" w:rsidRPr="000662C6">
        <w:t>With respect to NI we would recommend t</w:t>
      </w:r>
      <w:r w:rsidR="000662C6">
        <w:t>h</w:t>
      </w:r>
      <w:r w:rsidR="000662C6" w:rsidRPr="000662C6">
        <w:t>at the Inquiry</w:t>
      </w:r>
      <w:r w:rsidR="000662C6">
        <w:rPr>
          <w:b/>
          <w:bCs/>
        </w:rPr>
        <w:t xml:space="preserve"> </w:t>
      </w:r>
      <w:r w:rsidR="000662C6">
        <w:t>g</w:t>
      </w:r>
      <w:r w:rsidR="006F5960" w:rsidRPr="00613BD4">
        <w:t>i</w:t>
      </w:r>
      <w:r w:rsidR="006F5960">
        <w:t>ve</w:t>
      </w:r>
      <w:r w:rsidR="000662C6">
        <w:t>s</w:t>
      </w:r>
      <w:r w:rsidR="006F5960">
        <w:t xml:space="preserve"> particular focus </w:t>
      </w:r>
      <w:r w:rsidR="005948FA">
        <w:t>to</w:t>
      </w:r>
      <w:r w:rsidR="006F5960">
        <w:t xml:space="preserve"> the </w:t>
      </w:r>
      <w:r w:rsidR="005948FA">
        <w:t>i</w:t>
      </w:r>
      <w:r w:rsidR="006F5960">
        <w:t>mpact of the Children’s Social Care (Coronavirus) (Temporary Modification of Children’s Social Care) Regulations (Northern Ireland) 2020.</w:t>
      </w:r>
    </w:p>
    <w:p w14:paraId="1C01A0C7" w14:textId="77777777" w:rsidR="00B51194" w:rsidRPr="00B51194" w:rsidRDefault="00B51194" w:rsidP="00B51194">
      <w:pPr>
        <w:pStyle w:val="NICCYBodyTest"/>
        <w:ind w:left="360"/>
        <w:rPr>
          <w:b/>
          <w:bCs/>
        </w:rPr>
      </w:pPr>
    </w:p>
    <w:p w14:paraId="267AE88B" w14:textId="77777777" w:rsidR="00030554" w:rsidRDefault="00310F4C" w:rsidP="00B51194">
      <w:pPr>
        <w:pStyle w:val="NICCYBodyTest"/>
        <w:numPr>
          <w:ilvl w:val="0"/>
          <w:numId w:val="26"/>
        </w:numPr>
        <w:rPr>
          <w:b/>
          <w:bCs/>
        </w:rPr>
      </w:pPr>
      <w:r w:rsidRPr="00B51194">
        <w:rPr>
          <w:b/>
          <w:bCs/>
        </w:rPr>
        <w:t xml:space="preserve">Access to Information and Participation </w:t>
      </w:r>
    </w:p>
    <w:p w14:paraId="09F0BA72" w14:textId="3F0275C2" w:rsidR="00310F4C" w:rsidRPr="00030554" w:rsidRDefault="00EA4B7D" w:rsidP="00030554">
      <w:pPr>
        <w:pStyle w:val="NICCYBodyTest"/>
        <w:ind w:left="360"/>
        <w:rPr>
          <w:b/>
          <w:bCs/>
        </w:rPr>
      </w:pPr>
      <w:r>
        <w:t>Whilst the T</w:t>
      </w:r>
      <w:r w:rsidR="004C40AA">
        <w:t>o</w:t>
      </w:r>
      <w:r>
        <w:t xml:space="preserve">R </w:t>
      </w:r>
      <w:r w:rsidR="004C40AA">
        <w:t>intends to consider how</w:t>
      </w:r>
      <w:r>
        <w:t xml:space="preserve"> decisions were “made, communicated and implemented”, we would recommend </w:t>
      </w:r>
      <w:r w:rsidR="00FB09A9">
        <w:t>that</w:t>
      </w:r>
      <w:r>
        <w:t xml:space="preserve"> specific focus </w:t>
      </w:r>
      <w:r w:rsidR="00FB09A9">
        <w:t>is given to</w:t>
      </w:r>
      <w:r>
        <w:t xml:space="preserve"> the </w:t>
      </w:r>
      <w:r w:rsidR="00FB09A9">
        <w:t>availability</w:t>
      </w:r>
      <w:r>
        <w:t xml:space="preserve"> and accessible </w:t>
      </w:r>
      <w:r w:rsidR="00FB09A9">
        <w:t xml:space="preserve">of </w:t>
      </w:r>
      <w:r>
        <w:t>information</w:t>
      </w:r>
      <w:r w:rsidR="00FB09A9">
        <w:t xml:space="preserve"> suitable to children and young people</w:t>
      </w:r>
      <w:r w:rsidR="00C87749">
        <w:t xml:space="preserve"> throughout the pandemic</w:t>
      </w:r>
      <w:r w:rsidR="00FB09A9">
        <w:t xml:space="preserve">. </w:t>
      </w:r>
    </w:p>
    <w:p w14:paraId="406437AD" w14:textId="77777777" w:rsidR="00310F4C" w:rsidRDefault="00310F4C" w:rsidP="00045301">
      <w:pPr>
        <w:pStyle w:val="NICCYBodyTest"/>
        <w:rPr>
          <w:b/>
          <w:bCs/>
        </w:rPr>
      </w:pPr>
    </w:p>
    <w:p w14:paraId="26FD6476" w14:textId="77777777" w:rsidR="008F32B9" w:rsidRDefault="001675C1" w:rsidP="00045301">
      <w:pPr>
        <w:pStyle w:val="NICCYBodyTest"/>
        <w:numPr>
          <w:ilvl w:val="0"/>
          <w:numId w:val="26"/>
        </w:numPr>
        <w:rPr>
          <w:b/>
          <w:bCs/>
        </w:rPr>
      </w:pPr>
      <w:r w:rsidRPr="008F32B9">
        <w:rPr>
          <w:b/>
          <w:bCs/>
        </w:rPr>
        <w:t>S</w:t>
      </w:r>
      <w:r w:rsidR="00B549CC" w:rsidRPr="008F32B9">
        <w:rPr>
          <w:b/>
          <w:bCs/>
        </w:rPr>
        <w:t>ocial</w:t>
      </w:r>
      <w:r w:rsidRPr="008F32B9">
        <w:rPr>
          <w:b/>
          <w:bCs/>
        </w:rPr>
        <w:t xml:space="preserve"> and </w:t>
      </w:r>
      <w:r w:rsidR="00B549CC" w:rsidRPr="008F32B9">
        <w:rPr>
          <w:b/>
          <w:bCs/>
        </w:rPr>
        <w:t>recreational activities</w:t>
      </w:r>
    </w:p>
    <w:p w14:paraId="0423EC27" w14:textId="1F0C2678" w:rsidR="008F32B9" w:rsidRDefault="005028A4" w:rsidP="008F32B9">
      <w:pPr>
        <w:pStyle w:val="NICCYBodyTest"/>
        <w:ind w:left="360"/>
        <w:rPr>
          <w:b/>
          <w:bCs/>
        </w:rPr>
      </w:pPr>
      <w:r>
        <w:t>We note</w:t>
      </w:r>
      <w:r w:rsidR="004C568A">
        <w:t xml:space="preserve"> that </w:t>
      </w:r>
      <w:r w:rsidR="00940680">
        <w:t xml:space="preserve">decision making and </w:t>
      </w:r>
      <w:r w:rsidR="001C0B5F">
        <w:t xml:space="preserve">its consequences on access to </w:t>
      </w:r>
      <w:r w:rsidR="004B6E98">
        <w:t>social</w:t>
      </w:r>
      <w:r w:rsidR="001C0B5F">
        <w:t xml:space="preserve"> and recreational </w:t>
      </w:r>
      <w:r w:rsidR="004B6E98">
        <w:t>activities</w:t>
      </w:r>
      <w:r w:rsidR="00B57C21">
        <w:t xml:space="preserve"> is in the ToR</w:t>
      </w:r>
      <w:r w:rsidR="001C0B5F">
        <w:t xml:space="preserve">, however, we </w:t>
      </w:r>
      <w:r w:rsidR="009E3D85">
        <w:t xml:space="preserve">would </w:t>
      </w:r>
      <w:r w:rsidR="00CD34E2">
        <w:t>emphasise</w:t>
      </w:r>
      <w:r w:rsidR="009E3D85">
        <w:t xml:space="preserve"> the need to </w:t>
      </w:r>
      <w:r w:rsidR="00CD34E2">
        <w:t xml:space="preserve">include </w:t>
      </w:r>
      <w:r w:rsidR="009E3D85">
        <w:t xml:space="preserve">young children’s access the play facilities as </w:t>
      </w:r>
      <w:r w:rsidR="00CD34E2">
        <w:t xml:space="preserve">part of this </w:t>
      </w:r>
      <w:r w:rsidR="004B6E98">
        <w:t xml:space="preserve">focus. Play has </w:t>
      </w:r>
      <w:r w:rsidR="009E3D85">
        <w:t xml:space="preserve">a critical </w:t>
      </w:r>
      <w:r w:rsidR="004B6E98">
        <w:t xml:space="preserve">role </w:t>
      </w:r>
      <w:r w:rsidR="00100004">
        <w:t>in children’s</w:t>
      </w:r>
      <w:r w:rsidR="004B6E98">
        <w:t xml:space="preserve"> </w:t>
      </w:r>
      <w:r w:rsidR="009E3D85">
        <w:t>development</w:t>
      </w:r>
      <w:r w:rsidR="004B6E98">
        <w:t xml:space="preserve"> and the </w:t>
      </w:r>
      <w:r w:rsidR="00C0122A">
        <w:t>impact</w:t>
      </w:r>
      <w:r w:rsidR="004B6E98">
        <w:t xml:space="preserve"> of</w:t>
      </w:r>
      <w:r w:rsidR="00C0122A">
        <w:t xml:space="preserve"> restrictions on </w:t>
      </w:r>
      <w:r w:rsidR="00100004">
        <w:t xml:space="preserve">children’s access to </w:t>
      </w:r>
      <w:r w:rsidR="00C0122A">
        <w:t xml:space="preserve">these </w:t>
      </w:r>
      <w:r w:rsidR="008F32B9">
        <w:t>facilities</w:t>
      </w:r>
      <w:r w:rsidR="00C0122A">
        <w:t xml:space="preserve"> should be considered. </w:t>
      </w:r>
      <w:r w:rsidR="009E3D85">
        <w:t xml:space="preserve"> </w:t>
      </w:r>
    </w:p>
    <w:p w14:paraId="0C9803BC" w14:textId="302C852A" w:rsidR="008F32B9" w:rsidRDefault="008F32B9" w:rsidP="008F32B9">
      <w:pPr>
        <w:pStyle w:val="NICCYBodyTest"/>
        <w:ind w:left="360"/>
        <w:rPr>
          <w:b/>
          <w:bCs/>
        </w:rPr>
      </w:pPr>
    </w:p>
    <w:p w14:paraId="36FD5F3F" w14:textId="77777777" w:rsidR="00100004" w:rsidRDefault="00100004" w:rsidP="008F32B9">
      <w:pPr>
        <w:pStyle w:val="NICCYBodyTest"/>
        <w:ind w:left="360"/>
        <w:rPr>
          <w:b/>
          <w:bCs/>
        </w:rPr>
      </w:pPr>
    </w:p>
    <w:p w14:paraId="3BB49029" w14:textId="44FCA1EB" w:rsidR="00D577D2" w:rsidRDefault="007204F5" w:rsidP="008F32B9">
      <w:pPr>
        <w:pStyle w:val="NICCYBodyTest"/>
        <w:ind w:left="360"/>
        <w:rPr>
          <w:b/>
          <w:bCs/>
        </w:rPr>
      </w:pPr>
      <w:r>
        <w:rPr>
          <w:b/>
          <w:bCs/>
        </w:rPr>
        <w:lastRenderedPageBreak/>
        <w:t>‘</w:t>
      </w:r>
      <w:r w:rsidR="00D577D2">
        <w:rPr>
          <w:b/>
          <w:bCs/>
        </w:rPr>
        <w:t xml:space="preserve">Lessons </w:t>
      </w:r>
      <w:r>
        <w:rPr>
          <w:b/>
          <w:bCs/>
        </w:rPr>
        <w:t xml:space="preserve">to be </w:t>
      </w:r>
      <w:r w:rsidR="00D577D2">
        <w:rPr>
          <w:b/>
          <w:bCs/>
        </w:rPr>
        <w:t>Learn</w:t>
      </w:r>
      <w:r>
        <w:rPr>
          <w:b/>
          <w:bCs/>
        </w:rPr>
        <w:t>ed’</w:t>
      </w:r>
      <w:r w:rsidR="00D577D2">
        <w:rPr>
          <w:b/>
          <w:bCs/>
        </w:rPr>
        <w:t xml:space="preserve"> Section</w:t>
      </w:r>
    </w:p>
    <w:p w14:paraId="233C9286" w14:textId="51296BB5" w:rsidR="00A427BD" w:rsidRPr="008F32B9" w:rsidRDefault="005744F7" w:rsidP="008F32B9">
      <w:pPr>
        <w:pStyle w:val="NICCYBodyTest"/>
        <w:ind w:left="360"/>
        <w:rPr>
          <w:b/>
          <w:bCs/>
        </w:rPr>
      </w:pPr>
      <w:r>
        <w:t xml:space="preserve">The lessons learned section should ensure that </w:t>
      </w:r>
      <w:r w:rsidR="00291ACE">
        <w:t>the impact on children, informed by their</w:t>
      </w:r>
      <w:r>
        <w:t xml:space="preserve"> distinct experiences</w:t>
      </w:r>
      <w:r w:rsidR="00291ACE">
        <w:t>,</w:t>
      </w:r>
      <w:r>
        <w:t xml:space="preserve"> are focused upon and addressed separately from those of adults. There should be a specific point in the lessons learned section around the unimpeded delivery of education in future pandemics. There should also be a specific point around the protection </w:t>
      </w:r>
      <w:r w:rsidR="00DA15A3">
        <w:t>of rights</w:t>
      </w:r>
      <w:r>
        <w:t xml:space="preserve"> in future pandemics.</w:t>
      </w:r>
      <w:r w:rsidR="00F97BA4">
        <w:t xml:space="preserve"> We </w:t>
      </w:r>
      <w:r w:rsidR="00A95A44">
        <w:t xml:space="preserve">welcome the plan to include the experiences of </w:t>
      </w:r>
      <w:r w:rsidR="00977A65">
        <w:t>‘</w:t>
      </w:r>
      <w:r w:rsidR="00A95A44">
        <w:t>key workers</w:t>
      </w:r>
      <w:r w:rsidR="00977A65">
        <w:t>’</w:t>
      </w:r>
      <w:r w:rsidR="00A95A44">
        <w:t xml:space="preserve"> to inform lessons </w:t>
      </w:r>
      <w:r w:rsidR="001600F5">
        <w:t>learnt and</w:t>
      </w:r>
      <w:r w:rsidR="00A95A44">
        <w:t xml:space="preserve"> </w:t>
      </w:r>
      <w:r w:rsidR="00F97BA4">
        <w:t>wo</w:t>
      </w:r>
      <w:r w:rsidR="00A95A44">
        <w:t>u</w:t>
      </w:r>
      <w:r w:rsidR="00F97BA4">
        <w:t>l</w:t>
      </w:r>
      <w:r w:rsidR="00A95A44">
        <w:t>d</w:t>
      </w:r>
      <w:r w:rsidR="00F97BA4">
        <w:t xml:space="preserve"> suggest that the </w:t>
      </w:r>
      <w:r w:rsidR="00A95A44">
        <w:t>definition</w:t>
      </w:r>
      <w:r w:rsidR="00F97BA4">
        <w:t xml:space="preserve"> </w:t>
      </w:r>
      <w:r w:rsidR="00977A65">
        <w:t>used is</w:t>
      </w:r>
      <w:r w:rsidR="00F97BA4">
        <w:t xml:space="preserve"> </w:t>
      </w:r>
      <w:r w:rsidR="00A95A44">
        <w:t>inclusive</w:t>
      </w:r>
      <w:r w:rsidR="00F97BA4">
        <w:t xml:space="preserve"> of teachers, </w:t>
      </w:r>
      <w:r w:rsidR="00A95A44">
        <w:t>social</w:t>
      </w:r>
      <w:r w:rsidR="00F97BA4">
        <w:t xml:space="preserve"> care </w:t>
      </w:r>
      <w:r w:rsidR="00A95A44">
        <w:t>workers</w:t>
      </w:r>
      <w:r w:rsidR="00977A65">
        <w:t>, childcare</w:t>
      </w:r>
      <w:r w:rsidR="00B131E5" w:rsidRPr="00B131E5">
        <w:t xml:space="preserve"> </w:t>
      </w:r>
      <w:r w:rsidR="00B131E5">
        <w:t xml:space="preserve">and </w:t>
      </w:r>
      <w:r w:rsidR="00376A31">
        <w:t xml:space="preserve">residential </w:t>
      </w:r>
      <w:r w:rsidR="003418A3">
        <w:t xml:space="preserve">children’s </w:t>
      </w:r>
      <w:r w:rsidR="000157B7">
        <w:t>home</w:t>
      </w:r>
      <w:r w:rsidR="00977A65">
        <w:t xml:space="preserve"> </w:t>
      </w:r>
      <w:r w:rsidR="00B131E5">
        <w:t>staff</w:t>
      </w:r>
      <w:r w:rsidR="00977A65">
        <w:t xml:space="preserve">. </w:t>
      </w:r>
      <w:r w:rsidR="00A95A44">
        <w:t xml:space="preserve"> </w:t>
      </w:r>
      <w:r w:rsidR="00F97BA4">
        <w:t xml:space="preserve"> </w:t>
      </w:r>
    </w:p>
    <w:p w14:paraId="75664789" w14:textId="77777777" w:rsidR="00393A39" w:rsidRDefault="00393A39" w:rsidP="00F93B6C">
      <w:pPr>
        <w:pStyle w:val="NICCYBodyTest"/>
      </w:pPr>
    </w:p>
    <w:p w14:paraId="0B140073" w14:textId="2D7739B6" w:rsidR="00504CF7" w:rsidRDefault="00504CF7" w:rsidP="00504CF7">
      <w:pPr>
        <w:pStyle w:val="NICCYSubline"/>
      </w:pPr>
      <w:r>
        <w:t>Which issues or topics do you think the Inquiry should look at first</w:t>
      </w:r>
    </w:p>
    <w:p w14:paraId="51EDB70F" w14:textId="2794A047" w:rsidR="00122F0C" w:rsidRDefault="00122F0C" w:rsidP="00504CF7">
      <w:pPr>
        <w:pStyle w:val="NICCYSubline"/>
      </w:pPr>
    </w:p>
    <w:p w14:paraId="0BD597DE" w14:textId="129A0736" w:rsidR="00122F0C" w:rsidRPr="00122F0C" w:rsidRDefault="00122F0C" w:rsidP="00504CF7">
      <w:pPr>
        <w:pStyle w:val="NICCYSubline"/>
        <w:rPr>
          <w:b w:val="0"/>
          <w:color w:val="414042"/>
        </w:rPr>
      </w:pPr>
      <w:r w:rsidRPr="13324038">
        <w:rPr>
          <w:b w:val="0"/>
          <w:color w:val="414042"/>
        </w:rPr>
        <w:t>NICCY does no</w:t>
      </w:r>
      <w:r w:rsidR="003220AF">
        <w:rPr>
          <w:b w:val="0"/>
          <w:color w:val="414042"/>
        </w:rPr>
        <w:t>t</w:t>
      </w:r>
      <w:r w:rsidRPr="13324038">
        <w:rPr>
          <w:b w:val="0"/>
          <w:color w:val="414042"/>
        </w:rPr>
        <w:t xml:space="preserve"> have a strong view on this. However, d</w:t>
      </w:r>
      <w:r>
        <w:rPr>
          <w:b w:val="0"/>
          <w:color w:val="414042"/>
        </w:rPr>
        <w:t xml:space="preserve">epending on the length of the Inquiry and whether it plans to produce a series of reports on different issues, </w:t>
      </w:r>
      <w:r w:rsidR="001B70EA" w:rsidRPr="13324038">
        <w:rPr>
          <w:b w:val="0"/>
          <w:color w:val="414042"/>
        </w:rPr>
        <w:t>areas</w:t>
      </w:r>
      <w:r w:rsidR="001B70EA">
        <w:rPr>
          <w:b w:val="0"/>
          <w:color w:val="414042"/>
        </w:rPr>
        <w:t xml:space="preserve"> which address</w:t>
      </w:r>
      <w:r w:rsidR="00774F75">
        <w:rPr>
          <w:b w:val="0"/>
          <w:color w:val="414042"/>
        </w:rPr>
        <w:t xml:space="preserve"> the after</w:t>
      </w:r>
      <w:r w:rsidR="008F19A5">
        <w:rPr>
          <w:b w:val="0"/>
          <w:color w:val="414042"/>
        </w:rPr>
        <w:t>-</w:t>
      </w:r>
      <w:r w:rsidR="00774F75">
        <w:rPr>
          <w:b w:val="0"/>
          <w:color w:val="414042"/>
        </w:rPr>
        <w:t xml:space="preserve">effects of the pandemic may </w:t>
      </w:r>
      <w:r w:rsidR="00DA7248">
        <w:rPr>
          <w:b w:val="0"/>
          <w:color w:val="414042"/>
        </w:rPr>
        <w:t xml:space="preserve">require more urgent attention and </w:t>
      </w:r>
      <w:r w:rsidR="008F19A5">
        <w:rPr>
          <w:b w:val="0"/>
          <w:color w:val="414042"/>
        </w:rPr>
        <w:t xml:space="preserve">immediate </w:t>
      </w:r>
      <w:r w:rsidR="00DA7248">
        <w:rPr>
          <w:b w:val="0"/>
          <w:color w:val="414042"/>
        </w:rPr>
        <w:t>recommendations to be made</w:t>
      </w:r>
      <w:r w:rsidR="00384EA8">
        <w:rPr>
          <w:b w:val="0"/>
          <w:color w:val="414042"/>
        </w:rPr>
        <w:t xml:space="preserve">. With respect to children and young people this may include </w:t>
      </w:r>
      <w:r w:rsidR="008F19A5">
        <w:rPr>
          <w:b w:val="0"/>
          <w:color w:val="414042"/>
        </w:rPr>
        <w:t>support for those dealing with</w:t>
      </w:r>
      <w:r w:rsidR="00774F75">
        <w:rPr>
          <w:b w:val="0"/>
          <w:color w:val="414042"/>
        </w:rPr>
        <w:t xml:space="preserve"> long covid, </w:t>
      </w:r>
      <w:r w:rsidR="00232C51">
        <w:rPr>
          <w:b w:val="0"/>
          <w:color w:val="414042"/>
        </w:rPr>
        <w:t xml:space="preserve">physical and </w:t>
      </w:r>
      <w:r w:rsidR="00D1233F">
        <w:rPr>
          <w:b w:val="0"/>
          <w:color w:val="414042"/>
        </w:rPr>
        <w:t>mental health</w:t>
      </w:r>
      <w:r w:rsidR="00854DD0">
        <w:rPr>
          <w:b w:val="0"/>
          <w:color w:val="414042"/>
        </w:rPr>
        <w:t xml:space="preserve"> problems</w:t>
      </w:r>
      <w:r w:rsidR="000B2EC0">
        <w:rPr>
          <w:b w:val="0"/>
          <w:color w:val="414042"/>
        </w:rPr>
        <w:t>,</w:t>
      </w:r>
      <w:r w:rsidR="002C08D0">
        <w:rPr>
          <w:b w:val="0"/>
          <w:color w:val="414042"/>
        </w:rPr>
        <w:t xml:space="preserve"> </w:t>
      </w:r>
      <w:r w:rsidR="00CA6787">
        <w:rPr>
          <w:b w:val="0"/>
          <w:color w:val="414042"/>
        </w:rPr>
        <w:t xml:space="preserve">consequences of delayed access to </w:t>
      </w:r>
      <w:r w:rsidR="00052CE5">
        <w:rPr>
          <w:b w:val="0"/>
          <w:color w:val="414042"/>
        </w:rPr>
        <w:t>child development</w:t>
      </w:r>
      <w:r w:rsidR="000B2EC0">
        <w:rPr>
          <w:b w:val="0"/>
          <w:color w:val="414042"/>
        </w:rPr>
        <w:t xml:space="preserve"> </w:t>
      </w:r>
      <w:r w:rsidR="00052CE5">
        <w:rPr>
          <w:b w:val="0"/>
          <w:color w:val="414042"/>
        </w:rPr>
        <w:t>services</w:t>
      </w:r>
      <w:r w:rsidR="00C829D0">
        <w:rPr>
          <w:b w:val="0"/>
          <w:color w:val="414042"/>
        </w:rPr>
        <w:t xml:space="preserve"> such as speech and language services</w:t>
      </w:r>
      <w:r w:rsidR="00BC1400">
        <w:rPr>
          <w:b w:val="0"/>
          <w:color w:val="414042"/>
        </w:rPr>
        <w:t xml:space="preserve"> and impact on education</w:t>
      </w:r>
      <w:r w:rsidR="00635BBD">
        <w:rPr>
          <w:b w:val="0"/>
          <w:color w:val="414042"/>
        </w:rPr>
        <w:t>al</w:t>
      </w:r>
      <w:r w:rsidR="00B615EB">
        <w:rPr>
          <w:b w:val="0"/>
          <w:color w:val="414042"/>
        </w:rPr>
        <w:t xml:space="preserve"> attainment</w:t>
      </w:r>
      <w:r w:rsidR="00BC1400">
        <w:rPr>
          <w:b w:val="0"/>
          <w:color w:val="414042"/>
        </w:rPr>
        <w:t>.</w:t>
      </w:r>
    </w:p>
    <w:p w14:paraId="253A8C3D" w14:textId="52E06CCE" w:rsidR="00A427BD" w:rsidRDefault="00A427BD" w:rsidP="00F93B6C">
      <w:pPr>
        <w:pStyle w:val="NICCYBodyTest"/>
        <w:rPr>
          <w:shd w:val="clear" w:color="auto" w:fill="FFFFFF"/>
        </w:rPr>
      </w:pPr>
    </w:p>
    <w:p w14:paraId="06BB05C3" w14:textId="2A585EBB" w:rsidR="00707A7D" w:rsidRDefault="00707A7D" w:rsidP="00F93B6C">
      <w:pPr>
        <w:pStyle w:val="NICCYBodyTest"/>
        <w:rPr>
          <w:b/>
          <w:bCs/>
          <w:color w:val="FF0000"/>
        </w:rPr>
      </w:pPr>
      <w:r w:rsidRPr="00707A7D">
        <w:rPr>
          <w:b/>
          <w:bCs/>
          <w:color w:val="FF0000"/>
        </w:rPr>
        <w:t>Do you think the Inquiry should set a planned end-date for its public hearings, so as to help ensure timely findings and recommendations?</w:t>
      </w:r>
    </w:p>
    <w:p w14:paraId="1B36E302" w14:textId="23AF8A9C" w:rsidR="00584628" w:rsidRDefault="00584628" w:rsidP="00F93B6C">
      <w:pPr>
        <w:pStyle w:val="NICCYBodyTest"/>
        <w:rPr>
          <w:b/>
          <w:bCs/>
          <w:color w:val="FF0000"/>
        </w:rPr>
      </w:pPr>
    </w:p>
    <w:p w14:paraId="540726C8" w14:textId="4344ED18" w:rsidR="00314E65" w:rsidRDefault="00584628" w:rsidP="00F93B6C">
      <w:pPr>
        <w:pStyle w:val="NICCYBodyTest"/>
      </w:pPr>
      <w:r>
        <w:t>Yes, it is important for the Inquiry to set</w:t>
      </w:r>
      <w:r w:rsidR="008839E7">
        <w:t xml:space="preserve"> </w:t>
      </w:r>
      <w:r w:rsidR="00E7697F">
        <w:t xml:space="preserve">out </w:t>
      </w:r>
      <w:r w:rsidR="008839E7">
        <w:t>clear</w:t>
      </w:r>
      <w:r w:rsidR="00E7697F">
        <w:t xml:space="preserve"> timeframe for </w:t>
      </w:r>
      <w:r w:rsidR="008839E7">
        <w:t xml:space="preserve">all key activities. To </w:t>
      </w:r>
      <w:r w:rsidR="008426CE">
        <w:t>include a date for</w:t>
      </w:r>
      <w:r w:rsidR="008839E7">
        <w:t xml:space="preserve"> final reporting and recommendations</w:t>
      </w:r>
      <w:r w:rsidR="00924A20">
        <w:t>,</w:t>
      </w:r>
      <w:r w:rsidR="008839E7">
        <w:t xml:space="preserve"> </w:t>
      </w:r>
      <w:r w:rsidR="008D6BE0">
        <w:t>and</w:t>
      </w:r>
      <w:r w:rsidR="008839E7">
        <w:t xml:space="preserve"> </w:t>
      </w:r>
      <w:r w:rsidR="008D6BE0">
        <w:t>timeframes for</w:t>
      </w:r>
      <w:r w:rsidR="008839E7">
        <w:t xml:space="preserve"> evidence session</w:t>
      </w:r>
      <w:r w:rsidR="008426CE">
        <w:t>s</w:t>
      </w:r>
      <w:r w:rsidR="008839E7">
        <w:t xml:space="preserve"> for different stakeholders.</w:t>
      </w:r>
      <w:r w:rsidR="008D6BE0">
        <w:t xml:space="preserve"> </w:t>
      </w:r>
      <w:r w:rsidR="00176AD6">
        <w:t xml:space="preserve">We do not under-estimate the </w:t>
      </w:r>
      <w:r w:rsidR="00774166">
        <w:t xml:space="preserve">scale of this task for the Inquiry to conduct a UK wide </w:t>
      </w:r>
      <w:r w:rsidR="00A96C6B">
        <w:t>Review</w:t>
      </w:r>
      <w:r w:rsidR="005166F1">
        <w:t xml:space="preserve"> </w:t>
      </w:r>
      <w:r w:rsidR="00774166">
        <w:t xml:space="preserve">that </w:t>
      </w:r>
      <w:r w:rsidR="00F46733">
        <w:t>sufficiently covers issues for all groups within society and</w:t>
      </w:r>
      <w:r w:rsidR="00EC7404">
        <w:t xml:space="preserve"> the</w:t>
      </w:r>
      <w:r w:rsidR="00F46733">
        <w:t xml:space="preserve"> specific experiences and learning points for devolved nations. </w:t>
      </w:r>
    </w:p>
    <w:p w14:paraId="460CE320" w14:textId="580BB0FA" w:rsidR="006F36E6" w:rsidRPr="006F36E6" w:rsidRDefault="00A018AB" w:rsidP="00F93B6C">
      <w:pPr>
        <w:pStyle w:val="NICCYBodyTest"/>
      </w:pPr>
      <w:r>
        <w:t>It will be</w:t>
      </w:r>
      <w:r w:rsidR="00E37DE7">
        <w:t xml:space="preserve"> </w:t>
      </w:r>
      <w:r w:rsidR="006F36E6">
        <w:t>important</w:t>
      </w:r>
      <w:r w:rsidR="008D6BE0">
        <w:t xml:space="preserve"> that sufficient resource</w:t>
      </w:r>
      <w:r w:rsidR="00703E49">
        <w:t xml:space="preserve"> </w:t>
      </w:r>
      <w:r w:rsidR="008D6BE0">
        <w:t xml:space="preserve">is </w:t>
      </w:r>
      <w:r w:rsidR="00A434C3">
        <w:t>given</w:t>
      </w:r>
      <w:r w:rsidR="008D6BE0">
        <w:t xml:space="preserve"> to </w:t>
      </w:r>
      <w:r w:rsidR="008315C8">
        <w:t xml:space="preserve">the Inquiry to ensure that </w:t>
      </w:r>
      <w:r w:rsidR="008D6BE0">
        <w:t xml:space="preserve">as many voices as possible are heard and encouraged to </w:t>
      </w:r>
      <w:r w:rsidR="00A434C3">
        <w:t xml:space="preserve">feed into the </w:t>
      </w:r>
      <w:r w:rsidR="00EC7404">
        <w:t>I</w:t>
      </w:r>
      <w:r w:rsidR="00A434C3">
        <w:t xml:space="preserve">nquiry process. </w:t>
      </w:r>
      <w:r w:rsidR="00AB6407">
        <w:t xml:space="preserve">It is </w:t>
      </w:r>
      <w:r w:rsidR="007B2368">
        <w:t>important</w:t>
      </w:r>
      <w:r w:rsidR="00AB6407">
        <w:t xml:space="preserve"> that </w:t>
      </w:r>
      <w:r w:rsidR="009F6AB9">
        <w:t xml:space="preserve">the Inquiry team have clear and timely </w:t>
      </w:r>
      <w:r w:rsidR="00AB6407">
        <w:t>communication</w:t>
      </w:r>
      <w:r w:rsidR="009F6AB9">
        <w:t xml:space="preserve"> with all devolved nations on plans. </w:t>
      </w:r>
      <w:r w:rsidR="00AB6407">
        <w:t xml:space="preserve"> </w:t>
      </w:r>
      <w:r w:rsidR="00896BF5">
        <w:t xml:space="preserve">It is </w:t>
      </w:r>
      <w:r w:rsidR="00314E65">
        <w:t xml:space="preserve">also </w:t>
      </w:r>
      <w:r w:rsidR="00CA12FD">
        <w:t>important</w:t>
      </w:r>
      <w:r w:rsidR="00896BF5">
        <w:t xml:space="preserve"> </w:t>
      </w:r>
      <w:r w:rsidR="000C6422">
        <w:t>that</w:t>
      </w:r>
      <w:r w:rsidR="00CA12FD">
        <w:t xml:space="preserve"> the evidence gathered by the inquiry </w:t>
      </w:r>
      <w:r w:rsidR="0067130B">
        <w:t>i</w:t>
      </w:r>
      <w:r w:rsidR="00CA12FD">
        <w:t>nclude</w:t>
      </w:r>
      <w:r w:rsidR="000C6422">
        <w:t>s</w:t>
      </w:r>
      <w:r w:rsidR="00CA12FD">
        <w:t xml:space="preserve"> the</w:t>
      </w:r>
      <w:r w:rsidR="00896BF5">
        <w:t xml:space="preserve"> </w:t>
      </w:r>
      <w:r w:rsidR="00CA12FD">
        <w:t xml:space="preserve">direct experiences </w:t>
      </w:r>
      <w:r w:rsidR="009414FC">
        <w:t>of children</w:t>
      </w:r>
      <w:r w:rsidR="00896BF5">
        <w:t xml:space="preserve"> a</w:t>
      </w:r>
      <w:r w:rsidR="00CA12FD">
        <w:t>n</w:t>
      </w:r>
      <w:r w:rsidR="00896BF5">
        <w:t xml:space="preserve">d </w:t>
      </w:r>
      <w:r w:rsidR="00CA12FD">
        <w:t>young</w:t>
      </w:r>
      <w:r w:rsidR="00896BF5">
        <w:t xml:space="preserve"> pe</w:t>
      </w:r>
      <w:r w:rsidR="00CA12FD">
        <w:t>opl</w:t>
      </w:r>
      <w:r w:rsidR="00896BF5">
        <w:t xml:space="preserve">e and the </w:t>
      </w:r>
      <w:r w:rsidR="00CA12FD">
        <w:t xml:space="preserve">methodology will need to be adapted from that used with adults. </w:t>
      </w:r>
    </w:p>
    <w:p w14:paraId="5B440DBB" w14:textId="7DF93FA3" w:rsidR="00707A7D" w:rsidRDefault="00707A7D" w:rsidP="00F93B6C">
      <w:pPr>
        <w:pStyle w:val="NICCYBodyTest"/>
        <w:rPr>
          <w:shd w:val="clear" w:color="auto" w:fill="FFFFFF"/>
        </w:rPr>
      </w:pPr>
    </w:p>
    <w:p w14:paraId="5E0B4091" w14:textId="11EDFD3C" w:rsidR="006E1C01" w:rsidRPr="006E1C01" w:rsidRDefault="006E1C01" w:rsidP="00F93B6C">
      <w:pPr>
        <w:pStyle w:val="NICCYBodyTest"/>
        <w:rPr>
          <w:b/>
          <w:bCs/>
          <w:color w:val="FF0000"/>
          <w:shd w:val="clear" w:color="auto" w:fill="FFFFFF"/>
        </w:rPr>
      </w:pPr>
      <w:r w:rsidRPr="006E1C01">
        <w:rPr>
          <w:b/>
          <w:bCs/>
          <w:color w:val="FF0000"/>
        </w:rPr>
        <w:t xml:space="preserve">How should the Inquiry be designed and run to ensure that bereaved people or </w:t>
      </w:r>
      <w:r w:rsidRPr="006E1C01">
        <w:rPr>
          <w:b/>
          <w:bCs/>
          <w:color w:val="FF0000"/>
        </w:rPr>
        <w:lastRenderedPageBreak/>
        <w:t>those who have suffered serious harm or hardship as a result of the pandemic have their voices heard?</w:t>
      </w:r>
    </w:p>
    <w:p w14:paraId="25D69691" w14:textId="4CDA12FB" w:rsidR="00707A7D" w:rsidRDefault="00707A7D" w:rsidP="00F93B6C">
      <w:pPr>
        <w:pStyle w:val="NICCYBodyTest"/>
        <w:rPr>
          <w:shd w:val="clear" w:color="auto" w:fill="FFFFFF"/>
        </w:rPr>
      </w:pPr>
    </w:p>
    <w:p w14:paraId="6516F7F4" w14:textId="67080490" w:rsidR="004B7BC6" w:rsidRDefault="00A103A2" w:rsidP="00F93B6C">
      <w:pPr>
        <w:pStyle w:val="NICCYBodyTest"/>
        <w:rPr>
          <w:shd w:val="clear" w:color="auto" w:fill="FFFFFF"/>
        </w:rPr>
      </w:pPr>
      <w:r>
        <w:rPr>
          <w:shd w:val="clear" w:color="auto" w:fill="FFFFFF"/>
        </w:rPr>
        <w:t>It is the case that some groups within society have been impacted more negatively than others</w:t>
      </w:r>
      <w:r w:rsidR="00FF338B">
        <w:rPr>
          <w:shd w:val="clear" w:color="auto" w:fill="FFFFFF"/>
        </w:rPr>
        <w:t xml:space="preserve"> by the pandemic</w:t>
      </w:r>
      <w:r>
        <w:rPr>
          <w:shd w:val="clear" w:color="auto" w:fill="FFFFFF"/>
        </w:rPr>
        <w:t xml:space="preserve">, </w:t>
      </w:r>
      <w:r w:rsidR="00EB2F72">
        <w:rPr>
          <w:shd w:val="clear" w:color="auto" w:fill="FFFFFF"/>
        </w:rPr>
        <w:t xml:space="preserve">there is already strong evidence </w:t>
      </w:r>
      <w:r w:rsidR="005E594C">
        <w:rPr>
          <w:shd w:val="clear" w:color="auto" w:fill="FFFFFF"/>
        </w:rPr>
        <w:t xml:space="preserve">of who those groups are- from our </w:t>
      </w:r>
      <w:r w:rsidR="00FF70AC">
        <w:rPr>
          <w:shd w:val="clear" w:color="auto" w:fill="FFFFFF"/>
        </w:rPr>
        <w:t>perspective</w:t>
      </w:r>
      <w:r w:rsidR="005E594C">
        <w:rPr>
          <w:shd w:val="clear" w:color="auto" w:fill="FFFFFF"/>
        </w:rPr>
        <w:t xml:space="preserve"> as the statutory body established </w:t>
      </w:r>
      <w:r w:rsidR="00C92610">
        <w:rPr>
          <w:shd w:val="clear" w:color="auto" w:fill="FFFFFF"/>
        </w:rPr>
        <w:t>to</w:t>
      </w:r>
      <w:r w:rsidR="005E594C">
        <w:rPr>
          <w:shd w:val="clear" w:color="auto" w:fill="FFFFFF"/>
        </w:rPr>
        <w:t xml:space="preserve"> promote and safeguard the</w:t>
      </w:r>
      <w:r w:rsidR="00FF70AC">
        <w:rPr>
          <w:shd w:val="clear" w:color="auto" w:fill="FFFFFF"/>
        </w:rPr>
        <w:t xml:space="preserve"> rights</w:t>
      </w:r>
      <w:r w:rsidR="005E594C">
        <w:rPr>
          <w:shd w:val="clear" w:color="auto" w:fill="FFFFFF"/>
        </w:rPr>
        <w:t xml:space="preserve"> and best interests of children a</w:t>
      </w:r>
      <w:r w:rsidR="006A3A30">
        <w:rPr>
          <w:shd w:val="clear" w:color="auto" w:fill="FFFFFF"/>
        </w:rPr>
        <w:t>n</w:t>
      </w:r>
      <w:r w:rsidR="005E594C">
        <w:rPr>
          <w:shd w:val="clear" w:color="auto" w:fill="FFFFFF"/>
        </w:rPr>
        <w:t xml:space="preserve">d young people we would highlight the </w:t>
      </w:r>
      <w:r w:rsidR="00FF70AC">
        <w:rPr>
          <w:shd w:val="clear" w:color="auto" w:fill="FFFFFF"/>
        </w:rPr>
        <w:t>profound</w:t>
      </w:r>
      <w:r w:rsidR="005E594C">
        <w:rPr>
          <w:shd w:val="clear" w:color="auto" w:fill="FFFFFF"/>
        </w:rPr>
        <w:t xml:space="preserve"> impact of the pandemic on </w:t>
      </w:r>
      <w:r w:rsidR="00FF70AC">
        <w:rPr>
          <w:shd w:val="clear" w:color="auto" w:fill="FFFFFF"/>
        </w:rPr>
        <w:t xml:space="preserve">children, particularly infants, younger children, children with a disability, children living in </w:t>
      </w:r>
      <w:r w:rsidR="00DE1B79">
        <w:rPr>
          <w:shd w:val="clear" w:color="auto" w:fill="FFFFFF"/>
        </w:rPr>
        <w:t>disadvantaged communit</w:t>
      </w:r>
      <w:r w:rsidR="003D062E">
        <w:rPr>
          <w:shd w:val="clear" w:color="auto" w:fill="FFFFFF"/>
        </w:rPr>
        <w:t>i</w:t>
      </w:r>
      <w:r w:rsidR="00DE1B79">
        <w:rPr>
          <w:shd w:val="clear" w:color="auto" w:fill="FFFFFF"/>
        </w:rPr>
        <w:t xml:space="preserve">es, BME groups, </w:t>
      </w:r>
      <w:r w:rsidR="00E04251">
        <w:rPr>
          <w:shd w:val="clear" w:color="auto" w:fill="FFFFFF"/>
        </w:rPr>
        <w:t>separated and asylum / refugee</w:t>
      </w:r>
      <w:r w:rsidR="00302610">
        <w:rPr>
          <w:shd w:val="clear" w:color="auto" w:fill="FFFFFF"/>
        </w:rPr>
        <w:t xml:space="preserve"> children</w:t>
      </w:r>
      <w:r w:rsidR="00E04251">
        <w:rPr>
          <w:shd w:val="clear" w:color="auto" w:fill="FFFFFF"/>
        </w:rPr>
        <w:t xml:space="preserve">, </w:t>
      </w:r>
      <w:r w:rsidR="003D062E">
        <w:rPr>
          <w:shd w:val="clear" w:color="auto" w:fill="FFFFFF"/>
        </w:rPr>
        <w:t xml:space="preserve">children </w:t>
      </w:r>
      <w:r w:rsidR="00581412">
        <w:rPr>
          <w:shd w:val="clear" w:color="auto" w:fill="FFFFFF"/>
        </w:rPr>
        <w:t xml:space="preserve">in care or </w:t>
      </w:r>
      <w:r w:rsidR="003D062E">
        <w:rPr>
          <w:shd w:val="clear" w:color="auto" w:fill="FFFFFF"/>
        </w:rPr>
        <w:t xml:space="preserve">accommodated in regional facilities </w:t>
      </w:r>
      <w:r w:rsidR="00581412">
        <w:rPr>
          <w:shd w:val="clear" w:color="auto" w:fill="FFFFFF"/>
        </w:rPr>
        <w:t>for mental health, secure care and youth justice reasons.</w:t>
      </w:r>
      <w:r w:rsidR="00C92610">
        <w:rPr>
          <w:shd w:val="clear" w:color="auto" w:fill="FFFFFF"/>
        </w:rPr>
        <w:t xml:space="preserve"> </w:t>
      </w:r>
    </w:p>
    <w:p w14:paraId="45DF9EBE" w14:textId="542D82F2" w:rsidR="00046418" w:rsidRDefault="00046418" w:rsidP="00F93B6C">
      <w:pPr>
        <w:pStyle w:val="NICCYBodyTest"/>
      </w:pPr>
    </w:p>
    <w:p w14:paraId="71055C52" w14:textId="31DCFB79" w:rsidR="009B6ED5" w:rsidRDefault="009B6ED5" w:rsidP="00F93B6C">
      <w:pPr>
        <w:pStyle w:val="NICCYBodyTest"/>
      </w:pPr>
      <w:r>
        <w:t xml:space="preserve">We would be happy to discuss the methodology and findings from </w:t>
      </w:r>
      <w:r w:rsidR="00CD4975">
        <w:t xml:space="preserve">NICCYs </w:t>
      </w:r>
      <w:r w:rsidR="00D52224">
        <w:t>Right Ba</w:t>
      </w:r>
      <w:r w:rsidR="002E1AC3">
        <w:t>s</w:t>
      </w:r>
      <w:r w:rsidR="00D52224">
        <w:t>ed Review</w:t>
      </w:r>
      <w:r w:rsidR="00CD4975">
        <w:t xml:space="preserve">- </w:t>
      </w:r>
      <w:r w:rsidR="00D52224">
        <w:t xml:space="preserve">A </w:t>
      </w:r>
      <w:r w:rsidR="00CD4975">
        <w:t xml:space="preserve">New and Better Normal. </w:t>
      </w:r>
      <w:r w:rsidR="000A47A6">
        <w:t xml:space="preserve">We would also be </w:t>
      </w:r>
      <w:r w:rsidR="00AD11A4">
        <w:t xml:space="preserve">happy to </w:t>
      </w:r>
      <w:r w:rsidR="00F15104">
        <w:t xml:space="preserve">promote the Inquiry and ways </w:t>
      </w:r>
      <w:r w:rsidR="00302610">
        <w:t xml:space="preserve">individuals and groups </w:t>
      </w:r>
      <w:r w:rsidR="00D52224">
        <w:t>can</w:t>
      </w:r>
      <w:r w:rsidR="00F15104">
        <w:t xml:space="preserve"> engage with it through </w:t>
      </w:r>
      <w:r w:rsidR="00AD11A4">
        <w:t>our networks and contacts</w:t>
      </w:r>
      <w:r w:rsidR="000D7629">
        <w:t>.</w:t>
      </w:r>
    </w:p>
    <w:p w14:paraId="7E5AB734" w14:textId="77777777" w:rsidR="00CD4975" w:rsidRDefault="00CD4975" w:rsidP="00F93B6C">
      <w:pPr>
        <w:pStyle w:val="NICCYBodyTest"/>
      </w:pPr>
    </w:p>
    <w:p w14:paraId="495F31BA" w14:textId="36ECED36" w:rsidR="00EB47C8" w:rsidRPr="00E91603" w:rsidRDefault="00AD11A4" w:rsidP="00F93B6C">
      <w:pPr>
        <w:pStyle w:val="NICCYBodyTest"/>
      </w:pPr>
      <w:r>
        <w:t xml:space="preserve">In conclusion, </w:t>
      </w:r>
      <w:r w:rsidR="5F96E697">
        <w:t>i</w:t>
      </w:r>
      <w:r w:rsidR="004B7BC6">
        <w:t xml:space="preserve">t </w:t>
      </w:r>
      <w:r w:rsidR="0067130B">
        <w:t xml:space="preserve">is vital that this inquiry provides </w:t>
      </w:r>
      <w:r w:rsidR="00522C8B">
        <w:t xml:space="preserve">an </w:t>
      </w:r>
      <w:r w:rsidR="00EF6C69">
        <w:t>equitable</w:t>
      </w:r>
      <w:r w:rsidR="00522C8B">
        <w:t xml:space="preserve"> and proportionate focus on all part of the UK</w:t>
      </w:r>
      <w:r w:rsidR="00EF6C69">
        <w:t xml:space="preserve">, </w:t>
      </w:r>
      <w:r w:rsidR="00522C8B">
        <w:t xml:space="preserve">to include </w:t>
      </w:r>
      <w:r w:rsidR="00D00EDA">
        <w:t>engaging</w:t>
      </w:r>
      <w:r w:rsidR="00522C8B">
        <w:t xml:space="preserve"> with children and yo</w:t>
      </w:r>
      <w:r w:rsidR="00D00EDA">
        <w:t>u</w:t>
      </w:r>
      <w:r w:rsidR="00522C8B">
        <w:t xml:space="preserve">ng </w:t>
      </w:r>
      <w:r w:rsidR="00D00EDA">
        <w:t>people</w:t>
      </w:r>
      <w:r w:rsidR="00522C8B">
        <w:t xml:space="preserve"> fr</w:t>
      </w:r>
      <w:r w:rsidR="00D00EDA">
        <w:t>o</w:t>
      </w:r>
      <w:r w:rsidR="00522C8B">
        <w:t xml:space="preserve">m different </w:t>
      </w:r>
      <w:r w:rsidR="00D00EDA">
        <w:t xml:space="preserve">jurisdictions to capture the differing </w:t>
      </w:r>
      <w:r w:rsidR="00B70076">
        <w:t xml:space="preserve">impacts </w:t>
      </w:r>
      <w:r w:rsidR="00D00EDA">
        <w:t xml:space="preserve">and </w:t>
      </w:r>
      <w:r w:rsidR="003124C1">
        <w:t xml:space="preserve">takes a human right </w:t>
      </w:r>
      <w:r w:rsidR="0017121A">
        <w:t xml:space="preserve">based </w:t>
      </w:r>
      <w:r w:rsidR="003124C1">
        <w:t xml:space="preserve">approach at all stages of the </w:t>
      </w:r>
      <w:r w:rsidR="0017121A">
        <w:t>inquiry</w:t>
      </w:r>
      <w:r w:rsidR="003124C1">
        <w:t xml:space="preserve"> process.</w:t>
      </w:r>
      <w:r w:rsidR="00C526C5">
        <w:t xml:space="preserve"> </w:t>
      </w:r>
      <w:r w:rsidR="00D00EDA">
        <w:t xml:space="preserve"> </w:t>
      </w:r>
    </w:p>
    <w:p w14:paraId="4F466151" w14:textId="5A10505E" w:rsidR="00B423E3" w:rsidRPr="00E91603" w:rsidRDefault="00B423E3" w:rsidP="00F93B6C">
      <w:pPr>
        <w:pStyle w:val="NICCYBodyTest"/>
      </w:pPr>
    </w:p>
    <w:p w14:paraId="3EE80E39" w14:textId="67768602" w:rsidR="00B423E3" w:rsidRPr="00E91603" w:rsidRDefault="00B423E3" w:rsidP="00F93B6C">
      <w:pPr>
        <w:pStyle w:val="NICCYBodyTest"/>
      </w:pPr>
    </w:p>
    <w:p w14:paraId="48FFEABE" w14:textId="77777777" w:rsidR="00B423E3" w:rsidRPr="00E91603" w:rsidRDefault="00B423E3" w:rsidP="00F93B6C">
      <w:pPr>
        <w:pStyle w:val="NICCYBodyTest"/>
      </w:pPr>
    </w:p>
    <w:sectPr w:rsidR="00B423E3" w:rsidRPr="00E91603"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0C9E" w14:textId="77777777" w:rsidR="00E20B43" w:rsidRDefault="00E20B43" w:rsidP="00280C3B">
      <w:r>
        <w:separator/>
      </w:r>
    </w:p>
  </w:endnote>
  <w:endnote w:type="continuationSeparator" w:id="0">
    <w:p w14:paraId="142AD6A6" w14:textId="77777777" w:rsidR="00E20B43" w:rsidRDefault="00E20B43" w:rsidP="00280C3B">
      <w:r>
        <w:continuationSeparator/>
      </w:r>
    </w:p>
  </w:endnote>
  <w:endnote w:type="continuationNotice" w:id="1">
    <w:p w14:paraId="2B2398C1" w14:textId="77777777" w:rsidR="00E20B43" w:rsidRDefault="00E20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1A46"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32D2AF45"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CFD" w14:textId="77777777"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C1110">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8F75B97" w14:textId="77777777"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F55B6">
      <w:rPr>
        <w:rFonts w:ascii="Arial" w:hAnsi="Arial" w:cs="Arial"/>
        <w:noProof/>
        <w:color w:val="414042"/>
        <w:sz w:val="16"/>
        <w:szCs w:val="16"/>
        <w:lang w:val="en-GB" w:eastAsia="en-GB"/>
      </w:rPr>
      <mc:AlternateContent>
        <mc:Choice Requires="wpg">
          <w:drawing>
            <wp:anchor distT="0" distB="0" distL="114300" distR="114300" simplePos="0" relativeHeight="251658241" behindDoc="0" locked="0" layoutInCell="1" allowOverlap="1" wp14:anchorId="0BED33BA" wp14:editId="25E6169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9796C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82C8F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04A80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EDC664"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8A497E"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ED33BA" id="Group 10" o:spid="_x0000_s1026" style="position:absolute;margin-left:-71.9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29796C1" w14:textId="77777777"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B82C8FF" w14:textId="77777777"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5E04A80F" w14:textId="77777777"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49EDC664" w14:textId="77777777"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08A497E" w14:textId="77777777"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E15A" w14:textId="77777777" w:rsidR="00E20B43" w:rsidRDefault="00E20B43" w:rsidP="00280C3B">
      <w:r>
        <w:separator/>
      </w:r>
    </w:p>
  </w:footnote>
  <w:footnote w:type="continuationSeparator" w:id="0">
    <w:p w14:paraId="68F59EC2" w14:textId="77777777" w:rsidR="00E20B43" w:rsidRDefault="00E20B43" w:rsidP="00280C3B">
      <w:r>
        <w:continuationSeparator/>
      </w:r>
    </w:p>
  </w:footnote>
  <w:footnote w:type="continuationNotice" w:id="1">
    <w:p w14:paraId="5641B7E9" w14:textId="77777777" w:rsidR="00E20B43" w:rsidRDefault="00E20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1513931F" w14:textId="77777777" w:rsidTr="000D52AB">
      <w:tc>
        <w:tcPr>
          <w:tcW w:w="5027" w:type="dxa"/>
          <w:shd w:val="clear" w:color="auto" w:fill="auto"/>
        </w:tcPr>
        <w:p w14:paraId="30011F74" w14:textId="77777777" w:rsidR="007B2087" w:rsidRDefault="007B2087" w:rsidP="000D52AB">
          <w:pPr>
            <w:pStyle w:val="CompanyName"/>
            <w:rPr>
              <w:rFonts w:ascii="Futura Book" w:hAnsi="Futura Book" w:cs="Arial"/>
              <w:lang w:val="en-GB"/>
            </w:rPr>
          </w:pPr>
        </w:p>
      </w:tc>
      <w:tc>
        <w:tcPr>
          <w:tcW w:w="4855" w:type="dxa"/>
          <w:shd w:val="clear" w:color="auto" w:fill="auto"/>
        </w:tcPr>
        <w:p w14:paraId="36206D73" w14:textId="77777777" w:rsidR="007B2087" w:rsidRDefault="007B2087" w:rsidP="000D52AB">
          <w:pPr>
            <w:pStyle w:val="CompanyName"/>
            <w:rPr>
              <w:rFonts w:ascii="Futura Book" w:hAnsi="Futura Book" w:cs="Arial"/>
              <w:lang w:val="en-GB"/>
            </w:rPr>
          </w:pPr>
        </w:p>
      </w:tc>
    </w:tr>
  </w:tbl>
  <w:p w14:paraId="2AFFC489" w14:textId="77777777" w:rsidR="007B2087" w:rsidRDefault="007B2087">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36809673" wp14:editId="7E18792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F4330"/>
    <w:multiLevelType w:val="hybridMultilevel"/>
    <w:tmpl w:val="A00EE77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B93777"/>
    <w:multiLevelType w:val="hybridMultilevel"/>
    <w:tmpl w:val="2AA42B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47A7A"/>
    <w:multiLevelType w:val="hybridMultilevel"/>
    <w:tmpl w:val="EF22B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A15189"/>
    <w:multiLevelType w:val="hybridMultilevel"/>
    <w:tmpl w:val="EE061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4A5E45"/>
    <w:multiLevelType w:val="hybridMultilevel"/>
    <w:tmpl w:val="91C2311E"/>
    <w:lvl w:ilvl="0" w:tplc="04090003">
      <w:start w:val="1"/>
      <w:numFmt w:val="bullet"/>
      <w:lvlText w:val="o"/>
      <w:lvlJc w:val="left"/>
      <w:pPr>
        <w:ind w:left="1477" w:hanging="360"/>
      </w:pPr>
      <w:rPr>
        <w:rFonts w:ascii="Courier New" w:hAnsi="Courier New" w:cs="Courier New"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8" w15:restartNumberingAfterBreak="0">
    <w:nsid w:val="62DF5ABF"/>
    <w:multiLevelType w:val="hybridMultilevel"/>
    <w:tmpl w:val="9E940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4033F"/>
    <w:multiLevelType w:val="hybridMultilevel"/>
    <w:tmpl w:val="B79C8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FD1CB1"/>
    <w:multiLevelType w:val="hybridMultilevel"/>
    <w:tmpl w:val="C2D4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14"/>
  </w:num>
  <w:num w:numId="5">
    <w:abstractNumId w:val="8"/>
  </w:num>
  <w:num w:numId="6">
    <w:abstractNumId w:val="19"/>
  </w:num>
  <w:num w:numId="7">
    <w:abstractNumId w:val="23"/>
  </w:num>
  <w:num w:numId="8">
    <w:abstractNumId w:val="20"/>
  </w:num>
  <w:num w:numId="9">
    <w:abstractNumId w:val="12"/>
  </w:num>
  <w:num w:numId="10">
    <w:abstractNumId w:val="15"/>
  </w:num>
  <w:num w:numId="11">
    <w:abstractNumId w:val="1"/>
  </w:num>
  <w:num w:numId="12">
    <w:abstractNumId w:val="4"/>
  </w:num>
  <w:num w:numId="13">
    <w:abstractNumId w:val="10"/>
  </w:num>
  <w:num w:numId="14">
    <w:abstractNumId w:val="22"/>
  </w:num>
  <w:num w:numId="15">
    <w:abstractNumId w:val="6"/>
  </w:num>
  <w:num w:numId="16">
    <w:abstractNumId w:val="9"/>
  </w:num>
  <w:num w:numId="17">
    <w:abstractNumId w:val="11"/>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8"/>
  </w:num>
  <w:num w:numId="23">
    <w:abstractNumId w:val="17"/>
  </w:num>
  <w:num w:numId="24">
    <w:abstractNumId w:val="2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10305"/>
    <w:rsid w:val="00010677"/>
    <w:rsid w:val="0001347A"/>
    <w:rsid w:val="000157B7"/>
    <w:rsid w:val="00016061"/>
    <w:rsid w:val="00017699"/>
    <w:rsid w:val="00021861"/>
    <w:rsid w:val="00026AEF"/>
    <w:rsid w:val="00030554"/>
    <w:rsid w:val="00031575"/>
    <w:rsid w:val="000319D3"/>
    <w:rsid w:val="00032CA1"/>
    <w:rsid w:val="00035ACA"/>
    <w:rsid w:val="00045301"/>
    <w:rsid w:val="00046418"/>
    <w:rsid w:val="000512E3"/>
    <w:rsid w:val="00051DBF"/>
    <w:rsid w:val="00052CE5"/>
    <w:rsid w:val="00053376"/>
    <w:rsid w:val="000621FF"/>
    <w:rsid w:val="000662C6"/>
    <w:rsid w:val="00076B94"/>
    <w:rsid w:val="0008208D"/>
    <w:rsid w:val="00086E4E"/>
    <w:rsid w:val="000972EC"/>
    <w:rsid w:val="000A0094"/>
    <w:rsid w:val="000A47A6"/>
    <w:rsid w:val="000B2EC0"/>
    <w:rsid w:val="000B6F33"/>
    <w:rsid w:val="000C1B06"/>
    <w:rsid w:val="000C3AD9"/>
    <w:rsid w:val="000C455C"/>
    <w:rsid w:val="000C6422"/>
    <w:rsid w:val="000D52AB"/>
    <w:rsid w:val="000D7629"/>
    <w:rsid w:val="000E4DD3"/>
    <w:rsid w:val="000F0F66"/>
    <w:rsid w:val="000F3B63"/>
    <w:rsid w:val="00100004"/>
    <w:rsid w:val="00104D12"/>
    <w:rsid w:val="00105789"/>
    <w:rsid w:val="00106115"/>
    <w:rsid w:val="00121721"/>
    <w:rsid w:val="001227F7"/>
    <w:rsid w:val="00122ACB"/>
    <w:rsid w:val="00122F0C"/>
    <w:rsid w:val="0013278E"/>
    <w:rsid w:val="0014703B"/>
    <w:rsid w:val="00147AB7"/>
    <w:rsid w:val="001506FC"/>
    <w:rsid w:val="00150831"/>
    <w:rsid w:val="00150C56"/>
    <w:rsid w:val="00150FC5"/>
    <w:rsid w:val="00152626"/>
    <w:rsid w:val="001600F5"/>
    <w:rsid w:val="001659D8"/>
    <w:rsid w:val="001675C1"/>
    <w:rsid w:val="0017121A"/>
    <w:rsid w:val="001738E8"/>
    <w:rsid w:val="00176AD6"/>
    <w:rsid w:val="00180837"/>
    <w:rsid w:val="00180B33"/>
    <w:rsid w:val="00182B3E"/>
    <w:rsid w:val="001905DC"/>
    <w:rsid w:val="001936E2"/>
    <w:rsid w:val="001A2E1B"/>
    <w:rsid w:val="001A3F10"/>
    <w:rsid w:val="001A5717"/>
    <w:rsid w:val="001B01CF"/>
    <w:rsid w:val="001B1829"/>
    <w:rsid w:val="001B3C8E"/>
    <w:rsid w:val="001B70EA"/>
    <w:rsid w:val="001C0B5F"/>
    <w:rsid w:val="001C174F"/>
    <w:rsid w:val="001D311E"/>
    <w:rsid w:val="001D79E9"/>
    <w:rsid w:val="00201D5B"/>
    <w:rsid w:val="00202B63"/>
    <w:rsid w:val="002044B6"/>
    <w:rsid w:val="00204E2C"/>
    <w:rsid w:val="0021278D"/>
    <w:rsid w:val="002211F9"/>
    <w:rsid w:val="00223013"/>
    <w:rsid w:val="002260F0"/>
    <w:rsid w:val="00231CBE"/>
    <w:rsid w:val="00231EDE"/>
    <w:rsid w:val="00232C51"/>
    <w:rsid w:val="00234551"/>
    <w:rsid w:val="0023549F"/>
    <w:rsid w:val="002426E1"/>
    <w:rsid w:val="00253A6E"/>
    <w:rsid w:val="00254581"/>
    <w:rsid w:val="00254BEA"/>
    <w:rsid w:val="0026079C"/>
    <w:rsid w:val="002607AC"/>
    <w:rsid w:val="0026304F"/>
    <w:rsid w:val="0026700C"/>
    <w:rsid w:val="00277DFC"/>
    <w:rsid w:val="00280C3B"/>
    <w:rsid w:val="002828F4"/>
    <w:rsid w:val="00291ACE"/>
    <w:rsid w:val="0029273E"/>
    <w:rsid w:val="002944BB"/>
    <w:rsid w:val="00295BBA"/>
    <w:rsid w:val="002A41D4"/>
    <w:rsid w:val="002A5F60"/>
    <w:rsid w:val="002B5A6E"/>
    <w:rsid w:val="002C00D6"/>
    <w:rsid w:val="002C08D0"/>
    <w:rsid w:val="002C0CC8"/>
    <w:rsid w:val="002C11A3"/>
    <w:rsid w:val="002C2721"/>
    <w:rsid w:val="002C41FF"/>
    <w:rsid w:val="002D2DE6"/>
    <w:rsid w:val="002D7A28"/>
    <w:rsid w:val="002E1AC3"/>
    <w:rsid w:val="002F0D4D"/>
    <w:rsid w:val="002F55B6"/>
    <w:rsid w:val="00301C08"/>
    <w:rsid w:val="00302096"/>
    <w:rsid w:val="0030243F"/>
    <w:rsid w:val="00302610"/>
    <w:rsid w:val="0030636E"/>
    <w:rsid w:val="00306802"/>
    <w:rsid w:val="003070DC"/>
    <w:rsid w:val="003078B8"/>
    <w:rsid w:val="00310879"/>
    <w:rsid w:val="00310F4C"/>
    <w:rsid w:val="003124C1"/>
    <w:rsid w:val="00313465"/>
    <w:rsid w:val="00314145"/>
    <w:rsid w:val="00314E65"/>
    <w:rsid w:val="00317CDF"/>
    <w:rsid w:val="003220AF"/>
    <w:rsid w:val="003418A3"/>
    <w:rsid w:val="003449FA"/>
    <w:rsid w:val="00354311"/>
    <w:rsid w:val="003640B9"/>
    <w:rsid w:val="00371A15"/>
    <w:rsid w:val="00376A31"/>
    <w:rsid w:val="00376AA2"/>
    <w:rsid w:val="00380B1B"/>
    <w:rsid w:val="00384EA8"/>
    <w:rsid w:val="00392595"/>
    <w:rsid w:val="00393A39"/>
    <w:rsid w:val="00394286"/>
    <w:rsid w:val="003A4FD9"/>
    <w:rsid w:val="003A5AE6"/>
    <w:rsid w:val="003B036B"/>
    <w:rsid w:val="003B55D0"/>
    <w:rsid w:val="003B62C5"/>
    <w:rsid w:val="003C2247"/>
    <w:rsid w:val="003C4D37"/>
    <w:rsid w:val="003C5E1F"/>
    <w:rsid w:val="003D062E"/>
    <w:rsid w:val="003E44E0"/>
    <w:rsid w:val="003F0EFD"/>
    <w:rsid w:val="003F285A"/>
    <w:rsid w:val="003F2C51"/>
    <w:rsid w:val="003F5501"/>
    <w:rsid w:val="004063DA"/>
    <w:rsid w:val="00407643"/>
    <w:rsid w:val="004108BC"/>
    <w:rsid w:val="00432B30"/>
    <w:rsid w:val="00437CEC"/>
    <w:rsid w:val="0044255A"/>
    <w:rsid w:val="00443BE8"/>
    <w:rsid w:val="00451456"/>
    <w:rsid w:val="00457F09"/>
    <w:rsid w:val="004601F1"/>
    <w:rsid w:val="00462DE5"/>
    <w:rsid w:val="004631F3"/>
    <w:rsid w:val="004662DB"/>
    <w:rsid w:val="00473576"/>
    <w:rsid w:val="00473848"/>
    <w:rsid w:val="0047398A"/>
    <w:rsid w:val="0048166A"/>
    <w:rsid w:val="00494597"/>
    <w:rsid w:val="00494951"/>
    <w:rsid w:val="00495C30"/>
    <w:rsid w:val="004A3667"/>
    <w:rsid w:val="004B0FB0"/>
    <w:rsid w:val="004B23F5"/>
    <w:rsid w:val="004B5493"/>
    <w:rsid w:val="004B6E98"/>
    <w:rsid w:val="004B7BC6"/>
    <w:rsid w:val="004C0182"/>
    <w:rsid w:val="004C026E"/>
    <w:rsid w:val="004C2F0F"/>
    <w:rsid w:val="004C40AA"/>
    <w:rsid w:val="004C4489"/>
    <w:rsid w:val="004C45FC"/>
    <w:rsid w:val="004C568A"/>
    <w:rsid w:val="004D6647"/>
    <w:rsid w:val="004E1E8D"/>
    <w:rsid w:val="004E3115"/>
    <w:rsid w:val="004E6B82"/>
    <w:rsid w:val="004E7144"/>
    <w:rsid w:val="004F6AB7"/>
    <w:rsid w:val="0050043B"/>
    <w:rsid w:val="005028A4"/>
    <w:rsid w:val="0050365C"/>
    <w:rsid w:val="00504CF7"/>
    <w:rsid w:val="0051172E"/>
    <w:rsid w:val="005120F5"/>
    <w:rsid w:val="00512770"/>
    <w:rsid w:val="005166F1"/>
    <w:rsid w:val="0052219D"/>
    <w:rsid w:val="00522C8B"/>
    <w:rsid w:val="00524C6F"/>
    <w:rsid w:val="00530BA2"/>
    <w:rsid w:val="005312AB"/>
    <w:rsid w:val="0053135E"/>
    <w:rsid w:val="00541172"/>
    <w:rsid w:val="00545AD8"/>
    <w:rsid w:val="005500EF"/>
    <w:rsid w:val="00550566"/>
    <w:rsid w:val="005558CE"/>
    <w:rsid w:val="00556ED7"/>
    <w:rsid w:val="0056087F"/>
    <w:rsid w:val="005744F7"/>
    <w:rsid w:val="00581412"/>
    <w:rsid w:val="005820FF"/>
    <w:rsid w:val="00584628"/>
    <w:rsid w:val="005859A5"/>
    <w:rsid w:val="00586057"/>
    <w:rsid w:val="00591375"/>
    <w:rsid w:val="005948FA"/>
    <w:rsid w:val="00594BAB"/>
    <w:rsid w:val="005A1D06"/>
    <w:rsid w:val="005A6BB7"/>
    <w:rsid w:val="005B1C56"/>
    <w:rsid w:val="005B3031"/>
    <w:rsid w:val="005B5177"/>
    <w:rsid w:val="005B5B8E"/>
    <w:rsid w:val="005C1110"/>
    <w:rsid w:val="005C14D8"/>
    <w:rsid w:val="005C425F"/>
    <w:rsid w:val="005D1ACE"/>
    <w:rsid w:val="005D7011"/>
    <w:rsid w:val="005E4BB1"/>
    <w:rsid w:val="005E594C"/>
    <w:rsid w:val="005E5EAD"/>
    <w:rsid w:val="0060027A"/>
    <w:rsid w:val="006013F5"/>
    <w:rsid w:val="006127F7"/>
    <w:rsid w:val="00612C20"/>
    <w:rsid w:val="00613BD4"/>
    <w:rsid w:val="00615698"/>
    <w:rsid w:val="006224F6"/>
    <w:rsid w:val="00627D03"/>
    <w:rsid w:val="00632AAE"/>
    <w:rsid w:val="00633D27"/>
    <w:rsid w:val="00635BBD"/>
    <w:rsid w:val="00644D8D"/>
    <w:rsid w:val="006634AC"/>
    <w:rsid w:val="00664743"/>
    <w:rsid w:val="0067130B"/>
    <w:rsid w:val="00690060"/>
    <w:rsid w:val="006928C7"/>
    <w:rsid w:val="0069337F"/>
    <w:rsid w:val="006968E0"/>
    <w:rsid w:val="006A3A30"/>
    <w:rsid w:val="006B2FDE"/>
    <w:rsid w:val="006B5AA7"/>
    <w:rsid w:val="006B600E"/>
    <w:rsid w:val="006C0B34"/>
    <w:rsid w:val="006C2566"/>
    <w:rsid w:val="006D57FD"/>
    <w:rsid w:val="006D69BD"/>
    <w:rsid w:val="006E08E3"/>
    <w:rsid w:val="006E1C01"/>
    <w:rsid w:val="006E3910"/>
    <w:rsid w:val="006E3BDB"/>
    <w:rsid w:val="006E55BB"/>
    <w:rsid w:val="006F36E6"/>
    <w:rsid w:val="006F5960"/>
    <w:rsid w:val="00703E49"/>
    <w:rsid w:val="00706FA3"/>
    <w:rsid w:val="00707A7D"/>
    <w:rsid w:val="00707C36"/>
    <w:rsid w:val="007141E6"/>
    <w:rsid w:val="007204F5"/>
    <w:rsid w:val="007236A5"/>
    <w:rsid w:val="00724FEF"/>
    <w:rsid w:val="0072507D"/>
    <w:rsid w:val="00727D62"/>
    <w:rsid w:val="0073377B"/>
    <w:rsid w:val="00734C8E"/>
    <w:rsid w:val="007560BF"/>
    <w:rsid w:val="007714ED"/>
    <w:rsid w:val="00772436"/>
    <w:rsid w:val="00773B70"/>
    <w:rsid w:val="00774166"/>
    <w:rsid w:val="00774F75"/>
    <w:rsid w:val="00777DFE"/>
    <w:rsid w:val="00777E55"/>
    <w:rsid w:val="007869EB"/>
    <w:rsid w:val="0078759A"/>
    <w:rsid w:val="00791E93"/>
    <w:rsid w:val="00795FEB"/>
    <w:rsid w:val="007A0D7A"/>
    <w:rsid w:val="007A1E4E"/>
    <w:rsid w:val="007A26B6"/>
    <w:rsid w:val="007A4AAA"/>
    <w:rsid w:val="007A5E2D"/>
    <w:rsid w:val="007B03A0"/>
    <w:rsid w:val="007B2087"/>
    <w:rsid w:val="007B2368"/>
    <w:rsid w:val="007B6EC4"/>
    <w:rsid w:val="007B7C69"/>
    <w:rsid w:val="007E31EF"/>
    <w:rsid w:val="007E5D20"/>
    <w:rsid w:val="007F418C"/>
    <w:rsid w:val="00813FD7"/>
    <w:rsid w:val="008170EB"/>
    <w:rsid w:val="00824E39"/>
    <w:rsid w:val="008264D4"/>
    <w:rsid w:val="008315C8"/>
    <w:rsid w:val="00831BDB"/>
    <w:rsid w:val="008426CE"/>
    <w:rsid w:val="00854DD0"/>
    <w:rsid w:val="00861F44"/>
    <w:rsid w:val="00870392"/>
    <w:rsid w:val="00873EBD"/>
    <w:rsid w:val="008757DF"/>
    <w:rsid w:val="00876AB3"/>
    <w:rsid w:val="008839E7"/>
    <w:rsid w:val="00887DAD"/>
    <w:rsid w:val="00896BF5"/>
    <w:rsid w:val="008A31A5"/>
    <w:rsid w:val="008A32FE"/>
    <w:rsid w:val="008C17A4"/>
    <w:rsid w:val="008C32B9"/>
    <w:rsid w:val="008C6813"/>
    <w:rsid w:val="008C7E36"/>
    <w:rsid w:val="008D5B7A"/>
    <w:rsid w:val="008D6BE0"/>
    <w:rsid w:val="008E3945"/>
    <w:rsid w:val="008E529A"/>
    <w:rsid w:val="008E5A78"/>
    <w:rsid w:val="008E7396"/>
    <w:rsid w:val="008F19A5"/>
    <w:rsid w:val="008F1B3F"/>
    <w:rsid w:val="008F32B9"/>
    <w:rsid w:val="008F4D2B"/>
    <w:rsid w:val="008F62F3"/>
    <w:rsid w:val="0090198D"/>
    <w:rsid w:val="00902B33"/>
    <w:rsid w:val="009108C4"/>
    <w:rsid w:val="0091553D"/>
    <w:rsid w:val="00924A20"/>
    <w:rsid w:val="00926F6C"/>
    <w:rsid w:val="0093754F"/>
    <w:rsid w:val="009405BC"/>
    <w:rsid w:val="00940680"/>
    <w:rsid w:val="009414FC"/>
    <w:rsid w:val="009439D6"/>
    <w:rsid w:val="00947780"/>
    <w:rsid w:val="00951885"/>
    <w:rsid w:val="0095295F"/>
    <w:rsid w:val="00953741"/>
    <w:rsid w:val="009675A2"/>
    <w:rsid w:val="00970167"/>
    <w:rsid w:val="00971521"/>
    <w:rsid w:val="0097473D"/>
    <w:rsid w:val="00977A65"/>
    <w:rsid w:val="00982039"/>
    <w:rsid w:val="00987E04"/>
    <w:rsid w:val="00990249"/>
    <w:rsid w:val="0099347B"/>
    <w:rsid w:val="009A347C"/>
    <w:rsid w:val="009A5DED"/>
    <w:rsid w:val="009B396D"/>
    <w:rsid w:val="009B4925"/>
    <w:rsid w:val="009B62D9"/>
    <w:rsid w:val="009B6ED5"/>
    <w:rsid w:val="009B74AD"/>
    <w:rsid w:val="009C394B"/>
    <w:rsid w:val="009C3C49"/>
    <w:rsid w:val="009C7CAD"/>
    <w:rsid w:val="009D1EC1"/>
    <w:rsid w:val="009D4BCB"/>
    <w:rsid w:val="009D7F77"/>
    <w:rsid w:val="009E12C7"/>
    <w:rsid w:val="009E3D85"/>
    <w:rsid w:val="009E6D40"/>
    <w:rsid w:val="009F2391"/>
    <w:rsid w:val="009F26AE"/>
    <w:rsid w:val="009F6AB9"/>
    <w:rsid w:val="00A00E1B"/>
    <w:rsid w:val="00A018AB"/>
    <w:rsid w:val="00A0365E"/>
    <w:rsid w:val="00A03AF5"/>
    <w:rsid w:val="00A05EAB"/>
    <w:rsid w:val="00A103A2"/>
    <w:rsid w:val="00A12B15"/>
    <w:rsid w:val="00A2425A"/>
    <w:rsid w:val="00A33D2A"/>
    <w:rsid w:val="00A34345"/>
    <w:rsid w:val="00A3620C"/>
    <w:rsid w:val="00A40DB2"/>
    <w:rsid w:val="00A427BD"/>
    <w:rsid w:val="00A434C3"/>
    <w:rsid w:val="00A51451"/>
    <w:rsid w:val="00A53D00"/>
    <w:rsid w:val="00A66FEF"/>
    <w:rsid w:val="00A74C87"/>
    <w:rsid w:val="00A74D2C"/>
    <w:rsid w:val="00A82581"/>
    <w:rsid w:val="00A83ACD"/>
    <w:rsid w:val="00A84653"/>
    <w:rsid w:val="00A93A48"/>
    <w:rsid w:val="00A95A44"/>
    <w:rsid w:val="00A96BEE"/>
    <w:rsid w:val="00A96C6B"/>
    <w:rsid w:val="00AA0FCC"/>
    <w:rsid w:val="00AA21BE"/>
    <w:rsid w:val="00AA3E97"/>
    <w:rsid w:val="00AA683F"/>
    <w:rsid w:val="00AB316D"/>
    <w:rsid w:val="00AB6407"/>
    <w:rsid w:val="00AB7A1B"/>
    <w:rsid w:val="00AC20ED"/>
    <w:rsid w:val="00AC3B8D"/>
    <w:rsid w:val="00AC6036"/>
    <w:rsid w:val="00AD11A4"/>
    <w:rsid w:val="00AD2C47"/>
    <w:rsid w:val="00AD56D9"/>
    <w:rsid w:val="00AE75E3"/>
    <w:rsid w:val="00AF1E3D"/>
    <w:rsid w:val="00AF25EE"/>
    <w:rsid w:val="00AF7A78"/>
    <w:rsid w:val="00AF7F87"/>
    <w:rsid w:val="00B00668"/>
    <w:rsid w:val="00B00C90"/>
    <w:rsid w:val="00B0207C"/>
    <w:rsid w:val="00B02C4E"/>
    <w:rsid w:val="00B11FCD"/>
    <w:rsid w:val="00B131E5"/>
    <w:rsid w:val="00B23BA4"/>
    <w:rsid w:val="00B244D0"/>
    <w:rsid w:val="00B423E3"/>
    <w:rsid w:val="00B43B38"/>
    <w:rsid w:val="00B4531D"/>
    <w:rsid w:val="00B51194"/>
    <w:rsid w:val="00B549CC"/>
    <w:rsid w:val="00B55320"/>
    <w:rsid w:val="00B569CD"/>
    <w:rsid w:val="00B57892"/>
    <w:rsid w:val="00B57C21"/>
    <w:rsid w:val="00B603E6"/>
    <w:rsid w:val="00B615EB"/>
    <w:rsid w:val="00B61DE2"/>
    <w:rsid w:val="00B70076"/>
    <w:rsid w:val="00B73DDF"/>
    <w:rsid w:val="00BA2685"/>
    <w:rsid w:val="00BA44A0"/>
    <w:rsid w:val="00BA73F3"/>
    <w:rsid w:val="00BB18B8"/>
    <w:rsid w:val="00BB603F"/>
    <w:rsid w:val="00BC060D"/>
    <w:rsid w:val="00BC0F8E"/>
    <w:rsid w:val="00BC1400"/>
    <w:rsid w:val="00BD09EC"/>
    <w:rsid w:val="00BD4E83"/>
    <w:rsid w:val="00BE3CB1"/>
    <w:rsid w:val="00C0122A"/>
    <w:rsid w:val="00C06BD6"/>
    <w:rsid w:val="00C11999"/>
    <w:rsid w:val="00C26BA8"/>
    <w:rsid w:val="00C3251F"/>
    <w:rsid w:val="00C426E5"/>
    <w:rsid w:val="00C44232"/>
    <w:rsid w:val="00C46132"/>
    <w:rsid w:val="00C5059E"/>
    <w:rsid w:val="00C50AD2"/>
    <w:rsid w:val="00C526C5"/>
    <w:rsid w:val="00C56E2A"/>
    <w:rsid w:val="00C571E2"/>
    <w:rsid w:val="00C62603"/>
    <w:rsid w:val="00C70433"/>
    <w:rsid w:val="00C70EA0"/>
    <w:rsid w:val="00C72AA5"/>
    <w:rsid w:val="00C738AA"/>
    <w:rsid w:val="00C749C1"/>
    <w:rsid w:val="00C829D0"/>
    <w:rsid w:val="00C831D4"/>
    <w:rsid w:val="00C8372F"/>
    <w:rsid w:val="00C87749"/>
    <w:rsid w:val="00C92610"/>
    <w:rsid w:val="00CA12FD"/>
    <w:rsid w:val="00CA15B5"/>
    <w:rsid w:val="00CA1FD7"/>
    <w:rsid w:val="00CA4440"/>
    <w:rsid w:val="00CA5D95"/>
    <w:rsid w:val="00CA6787"/>
    <w:rsid w:val="00CA7562"/>
    <w:rsid w:val="00CA75AC"/>
    <w:rsid w:val="00CA7878"/>
    <w:rsid w:val="00CB355E"/>
    <w:rsid w:val="00CB5107"/>
    <w:rsid w:val="00CC10EB"/>
    <w:rsid w:val="00CC2984"/>
    <w:rsid w:val="00CC390D"/>
    <w:rsid w:val="00CD2910"/>
    <w:rsid w:val="00CD34E2"/>
    <w:rsid w:val="00CD4975"/>
    <w:rsid w:val="00CD573B"/>
    <w:rsid w:val="00CD72AA"/>
    <w:rsid w:val="00CE472A"/>
    <w:rsid w:val="00D00EDA"/>
    <w:rsid w:val="00D01067"/>
    <w:rsid w:val="00D04D62"/>
    <w:rsid w:val="00D1233F"/>
    <w:rsid w:val="00D24EFF"/>
    <w:rsid w:val="00D30DE4"/>
    <w:rsid w:val="00D34FBF"/>
    <w:rsid w:val="00D448DB"/>
    <w:rsid w:val="00D45AAE"/>
    <w:rsid w:val="00D45CEF"/>
    <w:rsid w:val="00D52224"/>
    <w:rsid w:val="00D577D2"/>
    <w:rsid w:val="00D57E25"/>
    <w:rsid w:val="00D60DE1"/>
    <w:rsid w:val="00D646E8"/>
    <w:rsid w:val="00D664EF"/>
    <w:rsid w:val="00D740A3"/>
    <w:rsid w:val="00D74F49"/>
    <w:rsid w:val="00D81956"/>
    <w:rsid w:val="00D8200B"/>
    <w:rsid w:val="00D90903"/>
    <w:rsid w:val="00D93F13"/>
    <w:rsid w:val="00D94E0A"/>
    <w:rsid w:val="00D95F86"/>
    <w:rsid w:val="00DA15A3"/>
    <w:rsid w:val="00DA17FD"/>
    <w:rsid w:val="00DA2195"/>
    <w:rsid w:val="00DA3915"/>
    <w:rsid w:val="00DA6255"/>
    <w:rsid w:val="00DA7248"/>
    <w:rsid w:val="00DB658E"/>
    <w:rsid w:val="00DB7616"/>
    <w:rsid w:val="00DB7E5C"/>
    <w:rsid w:val="00DC0DDB"/>
    <w:rsid w:val="00DC22C6"/>
    <w:rsid w:val="00DC2397"/>
    <w:rsid w:val="00DC25A7"/>
    <w:rsid w:val="00DC26EC"/>
    <w:rsid w:val="00DC4EAA"/>
    <w:rsid w:val="00DC5EBE"/>
    <w:rsid w:val="00DD3EDB"/>
    <w:rsid w:val="00DE1B79"/>
    <w:rsid w:val="00DF20BC"/>
    <w:rsid w:val="00E03CDC"/>
    <w:rsid w:val="00E04251"/>
    <w:rsid w:val="00E05FDE"/>
    <w:rsid w:val="00E11958"/>
    <w:rsid w:val="00E20281"/>
    <w:rsid w:val="00E20B43"/>
    <w:rsid w:val="00E22BD6"/>
    <w:rsid w:val="00E23131"/>
    <w:rsid w:val="00E25D19"/>
    <w:rsid w:val="00E279D4"/>
    <w:rsid w:val="00E37DE7"/>
    <w:rsid w:val="00E518E7"/>
    <w:rsid w:val="00E52A06"/>
    <w:rsid w:val="00E52A74"/>
    <w:rsid w:val="00E546B6"/>
    <w:rsid w:val="00E7697F"/>
    <w:rsid w:val="00E83384"/>
    <w:rsid w:val="00E850A7"/>
    <w:rsid w:val="00E8559E"/>
    <w:rsid w:val="00E8613B"/>
    <w:rsid w:val="00E91603"/>
    <w:rsid w:val="00E9264D"/>
    <w:rsid w:val="00E94503"/>
    <w:rsid w:val="00E96746"/>
    <w:rsid w:val="00EA072D"/>
    <w:rsid w:val="00EA4B7D"/>
    <w:rsid w:val="00EA55B7"/>
    <w:rsid w:val="00EA72AF"/>
    <w:rsid w:val="00EB0BD1"/>
    <w:rsid w:val="00EB2F72"/>
    <w:rsid w:val="00EB47C8"/>
    <w:rsid w:val="00EB65A0"/>
    <w:rsid w:val="00EC0EC7"/>
    <w:rsid w:val="00EC2DB4"/>
    <w:rsid w:val="00EC54B2"/>
    <w:rsid w:val="00EC7404"/>
    <w:rsid w:val="00ED7DB4"/>
    <w:rsid w:val="00EE2D09"/>
    <w:rsid w:val="00EE2F82"/>
    <w:rsid w:val="00EE3F85"/>
    <w:rsid w:val="00EE48DC"/>
    <w:rsid w:val="00EE70D2"/>
    <w:rsid w:val="00EE7908"/>
    <w:rsid w:val="00EF50C9"/>
    <w:rsid w:val="00EF62E7"/>
    <w:rsid w:val="00EF6C69"/>
    <w:rsid w:val="00F014DE"/>
    <w:rsid w:val="00F03BB3"/>
    <w:rsid w:val="00F03FA5"/>
    <w:rsid w:val="00F105B2"/>
    <w:rsid w:val="00F12B38"/>
    <w:rsid w:val="00F15104"/>
    <w:rsid w:val="00F16DE2"/>
    <w:rsid w:val="00F22A19"/>
    <w:rsid w:val="00F262F1"/>
    <w:rsid w:val="00F32634"/>
    <w:rsid w:val="00F44E91"/>
    <w:rsid w:val="00F46733"/>
    <w:rsid w:val="00F47246"/>
    <w:rsid w:val="00F5075B"/>
    <w:rsid w:val="00F511F6"/>
    <w:rsid w:val="00F52203"/>
    <w:rsid w:val="00F53A83"/>
    <w:rsid w:val="00F576DC"/>
    <w:rsid w:val="00F70B65"/>
    <w:rsid w:val="00F745F7"/>
    <w:rsid w:val="00F75DA2"/>
    <w:rsid w:val="00F81059"/>
    <w:rsid w:val="00F830A5"/>
    <w:rsid w:val="00F90850"/>
    <w:rsid w:val="00F9138F"/>
    <w:rsid w:val="00F93B6C"/>
    <w:rsid w:val="00F97BA4"/>
    <w:rsid w:val="00FA59D0"/>
    <w:rsid w:val="00FB09A9"/>
    <w:rsid w:val="00FD5247"/>
    <w:rsid w:val="00FE345F"/>
    <w:rsid w:val="00FF338B"/>
    <w:rsid w:val="00FF37D3"/>
    <w:rsid w:val="00FF70AC"/>
    <w:rsid w:val="00FF74C4"/>
    <w:rsid w:val="06F046BD"/>
    <w:rsid w:val="090A4A8D"/>
    <w:rsid w:val="0B4F8C64"/>
    <w:rsid w:val="0BC7AF68"/>
    <w:rsid w:val="0BD50709"/>
    <w:rsid w:val="0DA8856D"/>
    <w:rsid w:val="0E00CDC9"/>
    <w:rsid w:val="0EA92D5F"/>
    <w:rsid w:val="13324038"/>
    <w:rsid w:val="14663203"/>
    <w:rsid w:val="14D620F8"/>
    <w:rsid w:val="16020264"/>
    <w:rsid w:val="161BADB5"/>
    <w:rsid w:val="16BAC581"/>
    <w:rsid w:val="18A11C51"/>
    <w:rsid w:val="1939A326"/>
    <w:rsid w:val="21659BA9"/>
    <w:rsid w:val="22559B6F"/>
    <w:rsid w:val="226DFC2C"/>
    <w:rsid w:val="23ED34F1"/>
    <w:rsid w:val="26601D2C"/>
    <w:rsid w:val="2725B7E4"/>
    <w:rsid w:val="27DDECF2"/>
    <w:rsid w:val="289F5544"/>
    <w:rsid w:val="28A7B982"/>
    <w:rsid w:val="2952EBC2"/>
    <w:rsid w:val="2996A2F5"/>
    <w:rsid w:val="2EFD6E02"/>
    <w:rsid w:val="3012C9DB"/>
    <w:rsid w:val="38E72B25"/>
    <w:rsid w:val="3B4BC421"/>
    <w:rsid w:val="40B7B45A"/>
    <w:rsid w:val="42AC0C02"/>
    <w:rsid w:val="42E269CC"/>
    <w:rsid w:val="457C82F0"/>
    <w:rsid w:val="46F15096"/>
    <w:rsid w:val="483CD62F"/>
    <w:rsid w:val="499E6958"/>
    <w:rsid w:val="49A68221"/>
    <w:rsid w:val="4A6F45E5"/>
    <w:rsid w:val="4D36EF15"/>
    <w:rsid w:val="4F911AD3"/>
    <w:rsid w:val="528785EA"/>
    <w:rsid w:val="5314DBEF"/>
    <w:rsid w:val="5A0FAA4A"/>
    <w:rsid w:val="5A3CDB05"/>
    <w:rsid w:val="5AE72778"/>
    <w:rsid w:val="5C527B35"/>
    <w:rsid w:val="5D39C2C5"/>
    <w:rsid w:val="5DE65C12"/>
    <w:rsid w:val="5F96E697"/>
    <w:rsid w:val="62D476D5"/>
    <w:rsid w:val="633BAFDD"/>
    <w:rsid w:val="63B22F8F"/>
    <w:rsid w:val="69155C00"/>
    <w:rsid w:val="6A66F961"/>
    <w:rsid w:val="701A0FC2"/>
    <w:rsid w:val="72428D31"/>
    <w:rsid w:val="72BA1A88"/>
    <w:rsid w:val="77204700"/>
    <w:rsid w:val="793192C0"/>
    <w:rsid w:val="7A592C4B"/>
    <w:rsid w:val="7E1002E2"/>
    <w:rsid w:val="7F6F20E4"/>
    <w:rsid w:val="7FB7E2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14EAA"/>
  <w15:docId w15:val="{6E8845BC-1C03-4B64-BB40-C0DAD9A4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93B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5F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A4AAA"/>
    <w:rPr>
      <w:color w:val="0000FF" w:themeColor="hyperlink"/>
      <w:u w:val="single"/>
    </w:rPr>
  </w:style>
  <w:style w:type="paragraph" w:styleId="PlainText">
    <w:name w:val="Plain Text"/>
    <w:basedOn w:val="Normal"/>
    <w:link w:val="PlainTextChar"/>
    <w:uiPriority w:val="99"/>
    <w:semiHidden/>
    <w:unhideWhenUsed/>
    <w:rsid w:val="007A4AAA"/>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semiHidden/>
    <w:rsid w:val="007A4AAA"/>
    <w:rPr>
      <w:rFonts w:ascii="Calibri" w:hAnsi="Calibri" w:cs="Times New Roman"/>
      <w:sz w:val="22"/>
      <w:szCs w:val="21"/>
      <w:lang w:val="en-GB" w:eastAsia="en-GB"/>
    </w:rPr>
  </w:style>
  <w:style w:type="paragraph" w:styleId="NormalWeb">
    <w:name w:val="Normal (Web)"/>
    <w:basedOn w:val="Normal"/>
    <w:uiPriority w:val="99"/>
    <w:semiHidden/>
    <w:unhideWhenUsed/>
    <w:rsid w:val="00AD56D9"/>
    <w:pPr>
      <w:spacing w:before="100" w:beforeAutospacing="1" w:after="100" w:afterAutospacing="1"/>
    </w:pPr>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F93B6C"/>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E05FDE"/>
    <w:rPr>
      <w:rFonts w:asciiTheme="majorHAnsi" w:eastAsiaTheme="majorEastAsia" w:hAnsiTheme="majorHAnsi" w:cstheme="majorBidi"/>
      <w:color w:val="243F60" w:themeColor="accent1" w:themeShade="7F"/>
      <w:lang w:val="en-GB"/>
    </w:rPr>
  </w:style>
  <w:style w:type="character" w:styleId="CommentReference">
    <w:name w:val="annotation reference"/>
    <w:basedOn w:val="DefaultParagraphFont"/>
    <w:uiPriority w:val="99"/>
    <w:semiHidden/>
    <w:unhideWhenUsed/>
    <w:rsid w:val="005E5EAD"/>
    <w:rPr>
      <w:sz w:val="16"/>
      <w:szCs w:val="16"/>
    </w:rPr>
  </w:style>
  <w:style w:type="paragraph" w:styleId="CommentText">
    <w:name w:val="annotation text"/>
    <w:basedOn w:val="Normal"/>
    <w:link w:val="CommentTextChar"/>
    <w:uiPriority w:val="99"/>
    <w:semiHidden/>
    <w:unhideWhenUsed/>
    <w:rsid w:val="005E5EAD"/>
  </w:style>
  <w:style w:type="character" w:customStyle="1" w:styleId="CommentTextChar">
    <w:name w:val="Comment Text Char"/>
    <w:basedOn w:val="DefaultParagraphFont"/>
    <w:link w:val="CommentText"/>
    <w:uiPriority w:val="99"/>
    <w:semiHidden/>
    <w:rsid w:val="005E5EA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EAD"/>
    <w:rPr>
      <w:b/>
      <w:bCs/>
    </w:rPr>
  </w:style>
  <w:style w:type="character" w:customStyle="1" w:styleId="CommentSubjectChar">
    <w:name w:val="Comment Subject Char"/>
    <w:basedOn w:val="CommentTextChar"/>
    <w:link w:val="CommentSubject"/>
    <w:uiPriority w:val="99"/>
    <w:semiHidden/>
    <w:rsid w:val="005E5EA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CC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432">
      <w:bodyDiv w:val="1"/>
      <w:marLeft w:val="0"/>
      <w:marRight w:val="0"/>
      <w:marTop w:val="0"/>
      <w:marBottom w:val="0"/>
      <w:divBdr>
        <w:top w:val="none" w:sz="0" w:space="0" w:color="auto"/>
        <w:left w:val="none" w:sz="0" w:space="0" w:color="auto"/>
        <w:bottom w:val="none" w:sz="0" w:space="0" w:color="auto"/>
        <w:right w:val="none" w:sz="0" w:space="0" w:color="auto"/>
      </w:divBdr>
    </w:div>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86722404">
      <w:bodyDiv w:val="1"/>
      <w:marLeft w:val="0"/>
      <w:marRight w:val="0"/>
      <w:marTop w:val="0"/>
      <w:marBottom w:val="0"/>
      <w:divBdr>
        <w:top w:val="none" w:sz="0" w:space="0" w:color="auto"/>
        <w:left w:val="none" w:sz="0" w:space="0" w:color="auto"/>
        <w:bottom w:val="none" w:sz="0" w:space="0" w:color="auto"/>
        <w:right w:val="none" w:sz="0" w:space="0" w:color="auto"/>
      </w:divBdr>
    </w:div>
    <w:div w:id="377701807">
      <w:bodyDiv w:val="1"/>
      <w:marLeft w:val="0"/>
      <w:marRight w:val="0"/>
      <w:marTop w:val="0"/>
      <w:marBottom w:val="0"/>
      <w:divBdr>
        <w:top w:val="none" w:sz="0" w:space="0" w:color="auto"/>
        <w:left w:val="none" w:sz="0" w:space="0" w:color="auto"/>
        <w:bottom w:val="none" w:sz="0" w:space="0" w:color="auto"/>
        <w:right w:val="none" w:sz="0" w:space="0" w:color="auto"/>
      </w:divBdr>
      <w:divsChild>
        <w:div w:id="1371417226">
          <w:marLeft w:val="0"/>
          <w:marRight w:val="0"/>
          <w:marTop w:val="240"/>
          <w:marBottom w:val="240"/>
          <w:divBdr>
            <w:top w:val="none" w:sz="0" w:space="0" w:color="auto"/>
            <w:left w:val="none" w:sz="0" w:space="0" w:color="auto"/>
            <w:bottom w:val="none" w:sz="0" w:space="0" w:color="auto"/>
            <w:right w:val="none" w:sz="0" w:space="0" w:color="auto"/>
          </w:divBdr>
        </w:div>
      </w:divsChild>
    </w:div>
    <w:div w:id="736052275">
      <w:bodyDiv w:val="1"/>
      <w:marLeft w:val="0"/>
      <w:marRight w:val="0"/>
      <w:marTop w:val="0"/>
      <w:marBottom w:val="0"/>
      <w:divBdr>
        <w:top w:val="none" w:sz="0" w:space="0" w:color="auto"/>
        <w:left w:val="none" w:sz="0" w:space="0" w:color="auto"/>
        <w:bottom w:val="none" w:sz="0" w:space="0" w:color="auto"/>
        <w:right w:val="none" w:sz="0" w:space="0" w:color="auto"/>
      </w:divBdr>
    </w:div>
    <w:div w:id="870190716">
      <w:bodyDiv w:val="1"/>
      <w:marLeft w:val="0"/>
      <w:marRight w:val="0"/>
      <w:marTop w:val="0"/>
      <w:marBottom w:val="0"/>
      <w:divBdr>
        <w:top w:val="none" w:sz="0" w:space="0" w:color="auto"/>
        <w:left w:val="none" w:sz="0" w:space="0" w:color="auto"/>
        <w:bottom w:val="none" w:sz="0" w:space="0" w:color="auto"/>
        <w:right w:val="none" w:sz="0" w:space="0" w:color="auto"/>
      </w:divBdr>
    </w:div>
    <w:div w:id="108772740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408725519">
      <w:bodyDiv w:val="1"/>
      <w:marLeft w:val="0"/>
      <w:marRight w:val="0"/>
      <w:marTop w:val="0"/>
      <w:marBottom w:val="0"/>
      <w:divBdr>
        <w:top w:val="none" w:sz="0" w:space="0" w:color="auto"/>
        <w:left w:val="none" w:sz="0" w:space="0" w:color="auto"/>
        <w:bottom w:val="none" w:sz="0" w:space="0" w:color="auto"/>
        <w:right w:val="none" w:sz="0" w:space="0" w:color="auto"/>
      </w:divBdr>
      <w:divsChild>
        <w:div w:id="1854420174">
          <w:marLeft w:val="0"/>
          <w:marRight w:val="0"/>
          <w:marTop w:val="0"/>
          <w:marBottom w:val="0"/>
          <w:divBdr>
            <w:top w:val="none" w:sz="0" w:space="0" w:color="auto"/>
            <w:left w:val="none" w:sz="0" w:space="0" w:color="auto"/>
            <w:bottom w:val="none" w:sz="0" w:space="0" w:color="auto"/>
            <w:right w:val="none" w:sz="0" w:space="0" w:color="auto"/>
          </w:divBdr>
        </w:div>
      </w:divsChild>
    </w:div>
    <w:div w:id="1850679404">
      <w:bodyDiv w:val="1"/>
      <w:marLeft w:val="0"/>
      <w:marRight w:val="0"/>
      <w:marTop w:val="0"/>
      <w:marBottom w:val="0"/>
      <w:divBdr>
        <w:top w:val="none" w:sz="0" w:space="0" w:color="auto"/>
        <w:left w:val="none" w:sz="0" w:space="0" w:color="auto"/>
        <w:bottom w:val="none" w:sz="0" w:space="0" w:color="auto"/>
        <w:right w:val="none" w:sz="0" w:space="0" w:color="auto"/>
      </w:divBdr>
    </w:div>
    <w:div w:id="1967005832">
      <w:bodyDiv w:val="1"/>
      <w:marLeft w:val="0"/>
      <w:marRight w:val="0"/>
      <w:marTop w:val="0"/>
      <w:marBottom w:val="0"/>
      <w:divBdr>
        <w:top w:val="none" w:sz="0" w:space="0" w:color="auto"/>
        <w:left w:val="none" w:sz="0" w:space="0" w:color="auto"/>
        <w:bottom w:val="none" w:sz="0" w:space="0" w:color="auto"/>
        <w:right w:val="none" w:sz="0" w:space="0" w:color="auto"/>
      </w:divBdr>
    </w:div>
    <w:div w:id="214192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CRC/STA/9095&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cy.org/about-us/our-current-work/covid-19-niccys-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5F14-317B-4230-8550-78C70B7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1625</Words>
  <Characters>9269</Characters>
  <Application>Microsoft Office Word</Application>
  <DocSecurity>2</DocSecurity>
  <Lines>77</Lines>
  <Paragraphs>21</Paragraphs>
  <ScaleCrop>false</ScaleCrop>
  <Company>Whitenoise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Christine Irvine</cp:lastModifiedBy>
  <cp:revision>368</cp:revision>
  <cp:lastPrinted>2013-07-24T02:39:00Z</cp:lastPrinted>
  <dcterms:created xsi:type="dcterms:W3CDTF">2022-04-06T03:22:00Z</dcterms:created>
  <dcterms:modified xsi:type="dcterms:W3CDTF">2022-04-08T09:00:00Z</dcterms:modified>
</cp:coreProperties>
</file>