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DD" w:rsidRPr="00955B1B" w:rsidRDefault="00CC53D4" w:rsidP="00955B1B">
      <w:pPr>
        <w:pStyle w:val="NoSpacing"/>
        <w:jc w:val="center"/>
        <w:rPr>
          <w:rFonts w:ascii="Arial Bold" w:hAnsi="Arial Bold"/>
          <w:color w:val="23A4DE"/>
          <w:sz w:val="28"/>
          <w:szCs w:val="28"/>
        </w:rPr>
      </w:pPr>
      <w:bookmarkStart w:id="0" w:name="_top"/>
      <w:bookmarkStart w:id="1" w:name="_Toc362946577"/>
      <w:bookmarkStart w:id="2" w:name="_Toc367694005"/>
      <w:bookmarkEnd w:id="0"/>
      <w:r w:rsidRPr="00FC3476">
        <w:rPr>
          <w:rFonts w:ascii="Arial Bold" w:hAnsi="Arial Bold"/>
          <w:color w:val="23A4DE"/>
          <w:sz w:val="28"/>
          <w:szCs w:val="28"/>
        </w:rPr>
        <w:t xml:space="preserve">NICCY Summary: NI Assembly Written Answers for Week Ending </w:t>
      </w:r>
      <w:bookmarkStart w:id="3" w:name="_Section_75_of"/>
      <w:bookmarkEnd w:id="1"/>
      <w:bookmarkEnd w:id="2"/>
      <w:bookmarkEnd w:id="3"/>
      <w:r w:rsidR="006E6E52">
        <w:rPr>
          <w:rFonts w:ascii="Arial Bold" w:hAnsi="Arial Bold"/>
          <w:color w:val="23A4DE"/>
          <w:sz w:val="28"/>
          <w:szCs w:val="28"/>
        </w:rPr>
        <w:t>21</w:t>
      </w:r>
      <w:r w:rsidR="006E6E52" w:rsidRPr="006E6E52">
        <w:rPr>
          <w:rFonts w:ascii="Arial Bold" w:hAnsi="Arial Bold"/>
          <w:color w:val="23A4DE"/>
          <w:sz w:val="28"/>
          <w:szCs w:val="28"/>
          <w:vertAlign w:val="superscript"/>
        </w:rPr>
        <w:t>st</w:t>
      </w:r>
      <w:r w:rsidR="006E6E52">
        <w:rPr>
          <w:rFonts w:ascii="Arial Bold" w:hAnsi="Arial Bold"/>
          <w:color w:val="23A4DE"/>
          <w:sz w:val="28"/>
          <w:szCs w:val="28"/>
        </w:rPr>
        <w:t xml:space="preserve"> </w:t>
      </w:r>
      <w:r w:rsidR="00E62C60">
        <w:rPr>
          <w:rFonts w:ascii="Arial Bold" w:hAnsi="Arial Bold"/>
          <w:color w:val="23A4DE"/>
          <w:sz w:val="28"/>
          <w:szCs w:val="28"/>
        </w:rPr>
        <w:t xml:space="preserve">February </w:t>
      </w:r>
      <w:r w:rsidR="00115282">
        <w:rPr>
          <w:rFonts w:ascii="Arial Bold" w:hAnsi="Arial Bold"/>
          <w:color w:val="23A4DE"/>
          <w:sz w:val="28"/>
          <w:szCs w:val="28"/>
        </w:rPr>
        <w:t>2014</w:t>
      </w:r>
    </w:p>
    <w:p w:rsidR="006E6E52" w:rsidRDefault="006E6E52" w:rsidP="00883F0E">
      <w:pPr>
        <w:autoSpaceDE w:val="0"/>
        <w:autoSpaceDN w:val="0"/>
        <w:adjustRightInd w:val="0"/>
        <w:spacing w:line="288" w:lineRule="auto"/>
      </w:pPr>
    </w:p>
    <w:p w:rsidR="007C6010" w:rsidRDefault="00AA79C6" w:rsidP="007C6010">
      <w:pPr>
        <w:pStyle w:val="Heading2"/>
        <w:numPr>
          <w:ilvl w:val="0"/>
          <w:numId w:val="17"/>
        </w:numPr>
      </w:pPr>
      <w:hyperlink w:anchor="_Together:_Building_a" w:history="1">
        <w:r w:rsidR="007C6010" w:rsidRPr="007C6010">
          <w:t>Together: Building a United Community</w:t>
        </w:r>
      </w:hyperlink>
    </w:p>
    <w:p w:rsidR="007C6010" w:rsidRDefault="007C6010" w:rsidP="007C6010">
      <w:pPr>
        <w:rPr>
          <w:rFonts w:eastAsiaTheme="minorEastAsia"/>
        </w:rPr>
      </w:pPr>
    </w:p>
    <w:p w:rsidR="007C6010" w:rsidRDefault="00AA79C6" w:rsidP="007C6010">
      <w:pPr>
        <w:pStyle w:val="Heading2"/>
        <w:numPr>
          <w:ilvl w:val="0"/>
          <w:numId w:val="17"/>
        </w:numPr>
      </w:pPr>
      <w:hyperlink w:anchor="_Child_Poverty_Act" w:history="1">
        <w:r w:rsidR="007C6010" w:rsidRPr="007C6010">
          <w:t>Child Poverty Act 2010: Laying of Report</w:t>
        </w:r>
      </w:hyperlink>
      <w:r w:rsidR="007C6010">
        <w:br/>
      </w:r>
    </w:p>
    <w:p w:rsidR="007C6010" w:rsidRDefault="00AA79C6" w:rsidP="007C6010">
      <w:pPr>
        <w:pStyle w:val="Heading2"/>
        <w:numPr>
          <w:ilvl w:val="0"/>
          <w:numId w:val="17"/>
        </w:numPr>
      </w:pPr>
      <w:hyperlink w:anchor="_Sporting_Clubs:_Child" w:history="1">
        <w:r w:rsidR="007C6010" w:rsidRPr="007C6010">
          <w:t>Sporting Clubs: Child Protection Obligations</w:t>
        </w:r>
      </w:hyperlink>
    </w:p>
    <w:p w:rsidR="005E49ED" w:rsidRDefault="005E49ED" w:rsidP="005E49ED"/>
    <w:p w:rsidR="005E49ED" w:rsidRDefault="00AA79C6" w:rsidP="005E49ED">
      <w:pPr>
        <w:pStyle w:val="Heading2"/>
        <w:numPr>
          <w:ilvl w:val="0"/>
          <w:numId w:val="17"/>
        </w:numPr>
      </w:pPr>
      <w:hyperlink w:anchor="_Positive_Mental_Health" w:history="1">
        <w:r w:rsidR="005E49ED" w:rsidRPr="005E49ED">
          <w:t>Positive Mental Health Among Pupils</w:t>
        </w:r>
      </w:hyperlink>
    </w:p>
    <w:p w:rsidR="005E49ED" w:rsidRDefault="005E49ED" w:rsidP="005E49ED">
      <w:pPr>
        <w:rPr>
          <w:rFonts w:eastAsiaTheme="minorEastAsia"/>
        </w:rPr>
      </w:pPr>
    </w:p>
    <w:p w:rsidR="005E49ED" w:rsidRDefault="00AA79C6" w:rsidP="005E49ED">
      <w:pPr>
        <w:pStyle w:val="Heading2"/>
        <w:numPr>
          <w:ilvl w:val="0"/>
          <w:numId w:val="17"/>
        </w:numPr>
      </w:pPr>
      <w:hyperlink w:anchor="_Integrated_Education_Schools" w:history="1">
        <w:r w:rsidR="005E49ED" w:rsidRPr="005E49ED">
          <w:t>Integrated Education Schools</w:t>
        </w:r>
      </w:hyperlink>
    </w:p>
    <w:p w:rsidR="009E4205" w:rsidRDefault="009E4205" w:rsidP="009E4205">
      <w:pPr>
        <w:rPr>
          <w:rFonts w:eastAsiaTheme="minorEastAsia"/>
        </w:rPr>
      </w:pPr>
    </w:p>
    <w:p w:rsidR="009E4205" w:rsidRDefault="00AA79C6" w:rsidP="009E4205">
      <w:pPr>
        <w:pStyle w:val="Heading2"/>
        <w:numPr>
          <w:ilvl w:val="0"/>
          <w:numId w:val="17"/>
        </w:numPr>
      </w:pPr>
      <w:hyperlink w:anchor="_Development_of_Integrated" w:history="1">
        <w:r w:rsidR="009E4205" w:rsidRPr="009E4205">
          <w:t>Development of Integrated Education</w:t>
        </w:r>
      </w:hyperlink>
    </w:p>
    <w:p w:rsidR="009E4205" w:rsidRDefault="009E4205" w:rsidP="009E4205">
      <w:pPr>
        <w:rPr>
          <w:rFonts w:eastAsiaTheme="minorEastAsia"/>
        </w:rPr>
      </w:pPr>
    </w:p>
    <w:p w:rsidR="009E4205" w:rsidRDefault="00AA79C6" w:rsidP="009E4205">
      <w:pPr>
        <w:pStyle w:val="Heading2"/>
        <w:numPr>
          <w:ilvl w:val="0"/>
          <w:numId w:val="17"/>
        </w:numPr>
      </w:pPr>
      <w:hyperlink w:anchor="_International_Review_of" w:history="1">
        <w:r w:rsidR="009E4205" w:rsidRPr="009E4205">
          <w:t>International Review of Children’s Heart Surgery</w:t>
        </w:r>
      </w:hyperlink>
    </w:p>
    <w:p w:rsidR="009E4205" w:rsidRDefault="009E4205" w:rsidP="009E4205">
      <w:pPr>
        <w:rPr>
          <w:rFonts w:eastAsiaTheme="minorEastAsia"/>
        </w:rPr>
      </w:pPr>
    </w:p>
    <w:p w:rsidR="009E4205" w:rsidRDefault="00AA79C6" w:rsidP="009E4205">
      <w:pPr>
        <w:pStyle w:val="Heading2"/>
        <w:numPr>
          <w:ilvl w:val="0"/>
          <w:numId w:val="17"/>
        </w:numPr>
      </w:pPr>
      <w:hyperlink w:anchor="_Autistic_Spectrum_Disorder:" w:history="1">
        <w:r w:rsidR="009E4205" w:rsidRPr="009E4205">
          <w:t>Autistic Spectrum Disorder: Understanding the Needs of Children Northern Ireland Assessment</w:t>
        </w:r>
      </w:hyperlink>
    </w:p>
    <w:p w:rsidR="007947AD" w:rsidRDefault="007947AD" w:rsidP="007947AD">
      <w:pPr>
        <w:rPr>
          <w:rFonts w:eastAsiaTheme="minorEastAsia"/>
        </w:rPr>
      </w:pPr>
    </w:p>
    <w:p w:rsidR="007947AD" w:rsidRDefault="00AA79C6" w:rsidP="007947AD">
      <w:pPr>
        <w:pStyle w:val="Heading2"/>
        <w:numPr>
          <w:ilvl w:val="0"/>
          <w:numId w:val="17"/>
        </w:numPr>
      </w:pPr>
      <w:hyperlink w:anchor="_Protocol:_‘Meeting_the" w:history="1">
        <w:r w:rsidR="007947AD" w:rsidRPr="007947AD">
          <w:t>Protocol: ‘Meeting the Accommodation and Support Needs of 16-21 Year Olds’</w:t>
        </w:r>
      </w:hyperlink>
    </w:p>
    <w:p w:rsidR="007947AD" w:rsidRDefault="007947AD" w:rsidP="007947AD">
      <w:pPr>
        <w:rPr>
          <w:rFonts w:eastAsiaTheme="minorEastAsia"/>
        </w:rPr>
      </w:pPr>
    </w:p>
    <w:p w:rsidR="007947AD" w:rsidRPr="007947AD" w:rsidRDefault="00AA79C6" w:rsidP="007947AD">
      <w:pPr>
        <w:pStyle w:val="Heading2"/>
        <w:numPr>
          <w:ilvl w:val="0"/>
          <w:numId w:val="17"/>
        </w:numPr>
      </w:pPr>
      <w:hyperlink w:anchor="_Hydebank_Wood_Young" w:history="1">
        <w:r w:rsidR="007947AD" w:rsidRPr="007947AD">
          <w:t>Hydebank Wood Young Offenders Centre and Prison: Detention of Children</w:t>
        </w:r>
      </w:hyperlink>
    </w:p>
    <w:p w:rsidR="007947AD" w:rsidRPr="007947AD" w:rsidRDefault="007947AD" w:rsidP="007947AD">
      <w:pPr>
        <w:rPr>
          <w:rFonts w:eastAsiaTheme="minorEastAsia"/>
        </w:rPr>
      </w:pPr>
    </w:p>
    <w:p w:rsidR="007947AD" w:rsidRPr="007947AD" w:rsidRDefault="007947AD" w:rsidP="007947AD">
      <w:pPr>
        <w:rPr>
          <w:rFonts w:eastAsiaTheme="minorEastAsia"/>
        </w:rPr>
      </w:pPr>
    </w:p>
    <w:p w:rsidR="009E4205" w:rsidRPr="009E4205" w:rsidRDefault="009E4205" w:rsidP="009E4205">
      <w:pPr>
        <w:rPr>
          <w:rFonts w:eastAsiaTheme="minorEastAsia"/>
        </w:rPr>
      </w:pPr>
    </w:p>
    <w:p w:rsidR="009E4205" w:rsidRPr="009E4205" w:rsidRDefault="009E4205" w:rsidP="009E4205">
      <w:pPr>
        <w:rPr>
          <w:rFonts w:eastAsiaTheme="minorEastAsia"/>
        </w:rPr>
      </w:pPr>
    </w:p>
    <w:p w:rsidR="006E6E52" w:rsidRDefault="006E6E52" w:rsidP="00883F0E">
      <w:pPr>
        <w:autoSpaceDE w:val="0"/>
        <w:autoSpaceDN w:val="0"/>
        <w:adjustRightInd w:val="0"/>
        <w:spacing w:line="288" w:lineRule="auto"/>
      </w:pPr>
    </w:p>
    <w:p w:rsidR="006E6E52" w:rsidRDefault="006E6E52" w:rsidP="00883F0E">
      <w:pPr>
        <w:autoSpaceDE w:val="0"/>
        <w:autoSpaceDN w:val="0"/>
        <w:adjustRightInd w:val="0"/>
        <w:spacing w:line="288" w:lineRule="auto"/>
      </w:pPr>
    </w:p>
    <w:p w:rsidR="00D01C7F" w:rsidRDefault="00D01C7F" w:rsidP="007C6010">
      <w:pPr>
        <w:pStyle w:val="Heading2"/>
        <w:rPr>
          <w:rFonts w:eastAsiaTheme="minorEastAsia"/>
          <w:lang w:val="en-US"/>
        </w:rPr>
      </w:pPr>
      <w:bookmarkStart w:id="4" w:name="_Together:_Building_a"/>
      <w:bookmarkEnd w:id="4"/>
      <w:r>
        <w:rPr>
          <w:rFonts w:eastAsiaTheme="minorEastAsia"/>
          <w:lang w:val="en-US"/>
        </w:rPr>
        <w:lastRenderedPageBreak/>
        <w:t>Together: Building a United Community</w:t>
      </w:r>
    </w:p>
    <w:p w:rsidR="00D01C7F" w:rsidRDefault="00D01C7F" w:rsidP="007C6010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Weir </w:t>
      </w:r>
      <w:r>
        <w:rPr>
          <w:lang w:val="en-US"/>
        </w:rPr>
        <w:t>asked the First Minister and deputy First Minister to detail the proposed process and</w:t>
      </w:r>
      <w:r w:rsidR="007C6010">
        <w:rPr>
          <w:lang w:val="en-US"/>
        </w:rPr>
        <w:t xml:space="preserve"> </w:t>
      </w:r>
      <w:r>
        <w:rPr>
          <w:lang w:val="en-US"/>
        </w:rPr>
        <w:t>timetable for the ten new shared campuses under Together: Building a United Community.</w:t>
      </w:r>
    </w:p>
    <w:p w:rsidR="00D01C7F" w:rsidRDefault="00D01C7F" w:rsidP="007C6010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29373/11-15)</w:t>
      </w:r>
    </w:p>
    <w:p w:rsidR="00D01C7F" w:rsidRDefault="00D01C7F" w:rsidP="007C6010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6E6E52" w:rsidRDefault="00D01C7F" w:rsidP="007C6010">
      <w:pPr>
        <w:pStyle w:val="NICCYBodyText"/>
        <w:rPr>
          <w:lang w:val="en-US"/>
        </w:rPr>
      </w:pPr>
      <w:r w:rsidRPr="007C6010">
        <w:rPr>
          <w:rFonts w:ascii="ITCFranklinGothicDemi" w:hAnsi="ITCFranklinGothicDemi" w:cs="ITCFranklinGothicDemi"/>
          <w:b/>
          <w:lang w:val="en-US"/>
        </w:rPr>
        <w:t>Mr P Robinson and Mr M McGuinness: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proposals for 10 new shared education campuses</w:t>
      </w:r>
      <w:r w:rsidR="007C6010">
        <w:rPr>
          <w:lang w:val="en-US"/>
        </w:rPr>
        <w:t xml:space="preserve"> </w:t>
      </w:r>
      <w:r>
        <w:rPr>
          <w:lang w:val="en-US"/>
        </w:rPr>
        <w:t>complements current work already underway within the Department of Education and will be targeted</w:t>
      </w:r>
      <w:r w:rsidR="007C6010">
        <w:rPr>
          <w:lang w:val="en-US"/>
        </w:rPr>
        <w:t xml:space="preserve"> </w:t>
      </w:r>
      <w:r>
        <w:rPr>
          <w:lang w:val="en-US"/>
        </w:rPr>
        <w:t>at infrastructure projects aimed at improving or facilitating sharing in</w:t>
      </w:r>
      <w:r w:rsidR="007C6010">
        <w:rPr>
          <w:lang w:val="en-US"/>
        </w:rPr>
        <w:t xml:space="preserve">itiatives within local schools.  </w:t>
      </w:r>
      <w:r>
        <w:rPr>
          <w:lang w:val="en-US"/>
        </w:rPr>
        <w:t>The</w:t>
      </w:r>
      <w:r w:rsidR="007C6010">
        <w:rPr>
          <w:lang w:val="en-US"/>
        </w:rPr>
        <w:t xml:space="preserve"> </w:t>
      </w:r>
      <w:r>
        <w:rPr>
          <w:lang w:val="en-US"/>
        </w:rPr>
        <w:t>programme will target schools that can demonstrate the following types of sharing: shared facilities;</w:t>
      </w:r>
      <w:r w:rsidR="007C6010">
        <w:rPr>
          <w:lang w:val="en-US"/>
        </w:rPr>
        <w:t xml:space="preserve"> </w:t>
      </w:r>
      <w:r>
        <w:rPr>
          <w:lang w:val="en-US"/>
        </w:rPr>
        <w:t>enhanced facilities; and shared campus.</w:t>
      </w:r>
      <w:r w:rsidR="007C6010">
        <w:rPr>
          <w:lang w:val="en-US"/>
        </w:rPr>
        <w:t xml:space="preserve">  </w:t>
      </w:r>
      <w:r>
        <w:rPr>
          <w:lang w:val="en-US"/>
        </w:rPr>
        <w:t>A call for expressions of interest was made in January 2014 with a closing date for applications of 31</w:t>
      </w:r>
      <w:r w:rsidR="007C6010">
        <w:rPr>
          <w:lang w:val="en-US"/>
        </w:rPr>
        <w:t xml:space="preserve"> </w:t>
      </w:r>
      <w:r>
        <w:rPr>
          <w:lang w:val="en-US"/>
        </w:rPr>
        <w:t>March 2014.</w:t>
      </w:r>
    </w:p>
    <w:p w:rsidR="007C6010" w:rsidRDefault="007C6010" w:rsidP="007C6010">
      <w:pPr>
        <w:pStyle w:val="NICCYBodyText"/>
        <w:rPr>
          <w:lang w:val="en-US"/>
        </w:rPr>
      </w:pPr>
    </w:p>
    <w:p w:rsidR="007C6010" w:rsidRPr="006F3A42" w:rsidRDefault="00AA79C6" w:rsidP="007C6010">
      <w:pPr>
        <w:autoSpaceDE w:val="0"/>
        <w:autoSpaceDN w:val="0"/>
        <w:adjustRightInd w:val="0"/>
        <w:spacing w:line="288" w:lineRule="auto"/>
      </w:pPr>
      <w:hyperlink w:anchor="_top" w:history="1">
        <w:r w:rsidR="007C6010" w:rsidRPr="00A92D13">
          <w:rPr>
            <w:rStyle w:val="Hyperlink"/>
          </w:rPr>
          <w:t>Back to Top</w:t>
        </w:r>
      </w:hyperlink>
    </w:p>
    <w:p w:rsidR="00177FC5" w:rsidRDefault="007C6010" w:rsidP="007C6010">
      <w:pPr>
        <w:pStyle w:val="Heading2"/>
        <w:rPr>
          <w:rFonts w:eastAsiaTheme="minorEastAsia"/>
          <w:lang w:val="en-US"/>
        </w:rPr>
      </w:pPr>
      <w:bookmarkStart w:id="5" w:name="_Child_Poverty_Act"/>
      <w:bookmarkEnd w:id="5"/>
      <w:r>
        <w:rPr>
          <w:rFonts w:eastAsiaTheme="minorEastAsia"/>
          <w:lang w:val="en-US"/>
        </w:rPr>
        <w:br/>
      </w:r>
      <w:r w:rsidR="00177FC5">
        <w:rPr>
          <w:rFonts w:eastAsiaTheme="minorEastAsia"/>
          <w:lang w:val="en-US"/>
        </w:rPr>
        <w:t>Child Poverty Act 2010: Laying of Report</w:t>
      </w:r>
    </w:p>
    <w:p w:rsidR="00177FC5" w:rsidRDefault="00177FC5" w:rsidP="007C6010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Ms Lo </w:t>
      </w:r>
      <w:r>
        <w:rPr>
          <w:lang w:val="en-US"/>
        </w:rPr>
        <w:t>asked the First Minister and deputy First Minister to detail the consequences of missing the</w:t>
      </w:r>
      <w:r w:rsidR="007C6010">
        <w:rPr>
          <w:lang w:val="en-US"/>
        </w:rPr>
        <w:t xml:space="preserve"> </w:t>
      </w:r>
      <w:r>
        <w:rPr>
          <w:lang w:val="en-US"/>
        </w:rPr>
        <w:t>deadline for laying the report to the Assembly under the Child Poverty Act 2010.</w:t>
      </w:r>
    </w:p>
    <w:p w:rsidR="00177FC5" w:rsidRDefault="00177FC5" w:rsidP="007C6010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30392/11-15)</w:t>
      </w:r>
    </w:p>
    <w:p w:rsidR="007C6010" w:rsidRDefault="007C6010" w:rsidP="007C6010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177FC5" w:rsidRDefault="00177FC5" w:rsidP="007C6010">
      <w:pPr>
        <w:pStyle w:val="NICCYBodyText"/>
        <w:rPr>
          <w:lang w:val="en-US"/>
        </w:rPr>
      </w:pPr>
      <w:r w:rsidRPr="007C6010">
        <w:rPr>
          <w:rFonts w:ascii="ITCFranklinGothicDemi" w:hAnsi="ITCFranklinGothicDemi" w:cs="ITCFranklinGothicDemi"/>
          <w:b/>
          <w:lang w:val="en-US"/>
        </w:rPr>
        <w:t>Mr P Robinson and Mr M McGuinness: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We are required by the Child Poverty Act 2010 to Lay the</w:t>
      </w:r>
      <w:r w:rsidR="007C6010">
        <w:rPr>
          <w:lang w:val="en-US"/>
        </w:rPr>
        <w:t xml:space="preserve"> </w:t>
      </w:r>
      <w:r>
        <w:rPr>
          <w:lang w:val="en-US"/>
        </w:rPr>
        <w:t>Strategy in the Assembly by 24 March 2014.</w:t>
      </w:r>
      <w:r w:rsidR="007C6010">
        <w:rPr>
          <w:lang w:val="en-US"/>
        </w:rPr>
        <w:t xml:space="preserve">  </w:t>
      </w:r>
      <w:r>
        <w:rPr>
          <w:lang w:val="en-US"/>
        </w:rPr>
        <w:t>While it is unfortunate that we will miss this deadline, we have opted to extend the consultation period</w:t>
      </w:r>
      <w:r w:rsidR="007C6010">
        <w:rPr>
          <w:lang w:val="en-US"/>
        </w:rPr>
        <w:t xml:space="preserve"> </w:t>
      </w:r>
      <w:r>
        <w:rPr>
          <w:lang w:val="en-US"/>
        </w:rPr>
        <w:t>for the Delivering Social Change for Children and Young People until 31 March 2014.</w:t>
      </w:r>
      <w:r w:rsidR="007C6010">
        <w:rPr>
          <w:lang w:val="en-US"/>
        </w:rPr>
        <w:t xml:space="preserve">  </w:t>
      </w:r>
      <w:r>
        <w:rPr>
          <w:lang w:val="en-US"/>
        </w:rPr>
        <w:t>On balance and having sought advice on this matter, we believe this is the right decision to take, and</w:t>
      </w:r>
    </w:p>
    <w:p w:rsidR="003B34CD" w:rsidRDefault="00177FC5" w:rsidP="007C6010">
      <w:pPr>
        <w:pStyle w:val="NICCYBodyText"/>
        <w:rPr>
          <w:lang w:val="en-US"/>
        </w:rPr>
      </w:pPr>
      <w:r>
        <w:rPr>
          <w:lang w:val="en-US"/>
        </w:rPr>
        <w:t>one which will be welcomed by many given that we have received numerous requests for consideration</w:t>
      </w:r>
      <w:r w:rsidR="007C6010">
        <w:rPr>
          <w:lang w:val="en-US"/>
        </w:rPr>
        <w:t xml:space="preserve"> </w:t>
      </w:r>
      <w:r>
        <w:rPr>
          <w:lang w:val="en-US"/>
        </w:rPr>
        <w:t>of an extension to the consultation from a range of sources including the OFMDFM Committee.</w:t>
      </w:r>
    </w:p>
    <w:p w:rsidR="00177FC5" w:rsidRDefault="00177FC5" w:rsidP="00177FC5">
      <w:pPr>
        <w:autoSpaceDE w:val="0"/>
        <w:autoSpaceDN w:val="0"/>
        <w:adjustRightInd w:val="0"/>
        <w:spacing w:line="288" w:lineRule="auto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6D395F" w:rsidRPr="00741670" w:rsidRDefault="00AA79C6" w:rsidP="00741670">
      <w:pPr>
        <w:autoSpaceDE w:val="0"/>
        <w:autoSpaceDN w:val="0"/>
        <w:adjustRightInd w:val="0"/>
        <w:spacing w:line="288" w:lineRule="auto"/>
        <w:rPr>
          <w:rStyle w:val="Heading2Char"/>
        </w:rPr>
      </w:pPr>
      <w:hyperlink w:anchor="_top" w:history="1">
        <w:r w:rsidR="007C6010" w:rsidRPr="00A92D13">
          <w:rPr>
            <w:rStyle w:val="Hyperlink"/>
          </w:rPr>
          <w:t>Back to Top</w:t>
        </w:r>
      </w:hyperlink>
      <w:r w:rsidR="007C6010">
        <w:br/>
      </w:r>
      <w:bookmarkStart w:id="6" w:name="_Sporting_Clubs:_Child"/>
      <w:bookmarkEnd w:id="6"/>
      <w:r w:rsidR="00741670">
        <w:rPr>
          <w:b/>
          <w:bCs/>
        </w:rPr>
        <w:br/>
      </w:r>
      <w:r w:rsidR="00741670">
        <w:rPr>
          <w:b/>
          <w:bCs/>
        </w:rPr>
        <w:br/>
      </w:r>
      <w:r w:rsidR="005E49ED">
        <w:rPr>
          <w:b/>
          <w:bCs/>
        </w:rPr>
        <w:lastRenderedPageBreak/>
        <w:br/>
      </w:r>
      <w:r w:rsidR="006D395F" w:rsidRPr="00741670">
        <w:rPr>
          <w:rStyle w:val="Heading2Char"/>
        </w:rPr>
        <w:t>Sporting Clubs: Child Protection Obligations</w:t>
      </w:r>
    </w:p>
    <w:p w:rsidR="006D395F" w:rsidRDefault="006D395F" w:rsidP="007C6010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Weir </w:t>
      </w:r>
      <w:r>
        <w:rPr>
          <w:lang w:val="en-US"/>
        </w:rPr>
        <w:t>asked the Minister of Culture, Arts and Leisure what monitoring takes place to ensure that</w:t>
      </w:r>
      <w:r w:rsidR="007C6010">
        <w:rPr>
          <w:lang w:val="en-US"/>
        </w:rPr>
        <w:t xml:space="preserve"> </w:t>
      </w:r>
      <w:r>
        <w:rPr>
          <w:lang w:val="en-US"/>
        </w:rPr>
        <w:t>sporting clubs comply with their child protection obligations.</w:t>
      </w:r>
    </w:p>
    <w:p w:rsidR="006D395F" w:rsidRDefault="006D395F" w:rsidP="007C6010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30803/11-15)</w:t>
      </w:r>
    </w:p>
    <w:p w:rsidR="006D395F" w:rsidRDefault="006D395F" w:rsidP="007C6010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177FC5" w:rsidRPr="007C6010" w:rsidRDefault="006D395F" w:rsidP="007C6010">
      <w:pPr>
        <w:pStyle w:val="NICCYBodyText"/>
        <w:rPr>
          <w:lang w:val="en-US"/>
        </w:rPr>
      </w:pPr>
      <w:r w:rsidRPr="007C6010">
        <w:rPr>
          <w:rFonts w:ascii="ITCFranklinGothicDemi" w:hAnsi="ITCFranklinGothicDemi" w:cs="ITCFranklinGothicDemi"/>
          <w:b/>
          <w:lang w:val="en-US"/>
        </w:rPr>
        <w:t>Ms Ní Chuilín: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governing bodies of sport in the north of Ireland have responsibility for ensuring</w:t>
      </w:r>
      <w:r w:rsidR="007C6010">
        <w:rPr>
          <w:lang w:val="en-US"/>
        </w:rPr>
        <w:t xml:space="preserve"> </w:t>
      </w:r>
      <w:r>
        <w:rPr>
          <w:lang w:val="en-US"/>
        </w:rPr>
        <w:t>that all affiliated sporting clubs are compliant with child protection obligations, including monitoring the</w:t>
      </w:r>
      <w:r w:rsidR="007C6010">
        <w:rPr>
          <w:lang w:val="en-US"/>
        </w:rPr>
        <w:t xml:space="preserve"> </w:t>
      </w:r>
      <w:r>
        <w:rPr>
          <w:lang w:val="en-US"/>
        </w:rPr>
        <w:t>compliance of these obligations.</w:t>
      </w:r>
      <w:r w:rsidR="007C6010">
        <w:rPr>
          <w:lang w:val="en-US"/>
        </w:rPr>
        <w:t xml:space="preserve">  </w:t>
      </w:r>
      <w:r>
        <w:rPr>
          <w:lang w:val="en-US"/>
        </w:rPr>
        <w:t>Through its governance programme, Sport NI, an arms length body of my Department, has introduced</w:t>
      </w:r>
      <w:r w:rsidR="007C6010">
        <w:rPr>
          <w:lang w:val="en-US"/>
        </w:rPr>
        <w:t xml:space="preserve"> </w:t>
      </w:r>
      <w:r>
        <w:rPr>
          <w:lang w:val="en-US"/>
        </w:rPr>
        <w:t>a process to assist all funded sport governing bodies to</w:t>
      </w:r>
      <w:r w:rsidR="007C6010">
        <w:rPr>
          <w:lang w:val="en-US"/>
        </w:rPr>
        <w:t xml:space="preserve"> assess safeguarding standards.  </w:t>
      </w:r>
      <w:r>
        <w:rPr>
          <w:lang w:val="en-US"/>
        </w:rPr>
        <w:t>These</w:t>
      </w:r>
      <w:r w:rsidR="007C6010">
        <w:rPr>
          <w:lang w:val="en-US"/>
        </w:rPr>
        <w:t xml:space="preserve"> </w:t>
      </w:r>
      <w:r>
        <w:rPr>
          <w:lang w:val="en-US"/>
        </w:rPr>
        <w:t>standards are taken from guidance sponsored by the Department of Health and Social Services and</w:t>
      </w:r>
      <w:r w:rsidR="007C6010">
        <w:rPr>
          <w:lang w:val="en-US"/>
        </w:rPr>
        <w:t xml:space="preserve"> </w:t>
      </w:r>
      <w:r>
        <w:rPr>
          <w:lang w:val="en-US"/>
        </w:rPr>
        <w:t>Public Safety through “Our Duty to Care”.</w:t>
      </w:r>
      <w:r w:rsidR="007947AD">
        <w:rPr>
          <w:lang w:val="en-US"/>
        </w:rPr>
        <w:t xml:space="preserve">  </w:t>
      </w:r>
      <w:r>
        <w:rPr>
          <w:lang w:val="en-US"/>
        </w:rPr>
        <w:t>In addition, Sport NI has processes in place to ensure that any clubs, who apply for direct funding,</w:t>
      </w:r>
      <w:r w:rsidR="007C6010">
        <w:rPr>
          <w:lang w:val="en-US"/>
        </w:rPr>
        <w:t xml:space="preserve"> </w:t>
      </w:r>
      <w:r>
        <w:rPr>
          <w:lang w:val="en-US"/>
        </w:rPr>
        <w:t>comply with child protection obligations.</w:t>
      </w:r>
      <w:r w:rsidR="007C6010">
        <w:rPr>
          <w:lang w:val="en-US"/>
        </w:rPr>
        <w:t xml:space="preserve">  </w:t>
      </w:r>
      <w:r>
        <w:rPr>
          <w:lang w:val="en-US"/>
        </w:rPr>
        <w:t>Sport NI will continue to provide support to governing bodies on their child protection obligations.</w:t>
      </w:r>
    </w:p>
    <w:p w:rsidR="003B34CD" w:rsidRDefault="003B34CD" w:rsidP="00883F0E">
      <w:pPr>
        <w:autoSpaceDE w:val="0"/>
        <w:autoSpaceDN w:val="0"/>
        <w:adjustRightInd w:val="0"/>
        <w:spacing w:line="288" w:lineRule="auto"/>
      </w:pPr>
    </w:p>
    <w:p w:rsidR="007C6010" w:rsidRDefault="00AA79C6" w:rsidP="007C6010">
      <w:pPr>
        <w:autoSpaceDE w:val="0"/>
        <w:autoSpaceDN w:val="0"/>
        <w:adjustRightInd w:val="0"/>
        <w:spacing w:line="288" w:lineRule="auto"/>
      </w:pPr>
      <w:hyperlink w:anchor="_top" w:history="1">
        <w:r w:rsidR="007C6010" w:rsidRPr="00A92D13">
          <w:rPr>
            <w:rStyle w:val="Hyperlink"/>
          </w:rPr>
          <w:t>Back to Top</w:t>
        </w:r>
      </w:hyperlink>
    </w:p>
    <w:p w:rsidR="00360609" w:rsidRDefault="00360609" w:rsidP="007C6010">
      <w:pPr>
        <w:pStyle w:val="Heading2"/>
        <w:rPr>
          <w:rFonts w:eastAsiaTheme="minorEastAsia"/>
          <w:lang w:val="en-US"/>
        </w:rPr>
      </w:pPr>
      <w:bookmarkStart w:id="7" w:name="_Positive_Mental_Health"/>
      <w:bookmarkEnd w:id="7"/>
      <w:r>
        <w:rPr>
          <w:rFonts w:eastAsiaTheme="minorEastAsia"/>
          <w:lang w:val="en-US"/>
        </w:rPr>
        <w:t>Positive Mental Health Among Pupils</w:t>
      </w:r>
    </w:p>
    <w:p w:rsidR="00360609" w:rsidRDefault="00360609" w:rsidP="007C6010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Ms Fearon </w:t>
      </w:r>
      <w:r>
        <w:rPr>
          <w:lang w:val="en-US"/>
        </w:rPr>
        <w:t>asked the Minister of Education how his Department is working to encourage positive</w:t>
      </w:r>
      <w:r w:rsidR="007C6010">
        <w:rPr>
          <w:lang w:val="en-US"/>
        </w:rPr>
        <w:t xml:space="preserve"> </w:t>
      </w:r>
      <w:r>
        <w:rPr>
          <w:lang w:val="en-US"/>
        </w:rPr>
        <w:t>mental health among pupils from an early age; and what action is being taken to improve school</w:t>
      </w:r>
      <w:r w:rsidR="007C6010">
        <w:rPr>
          <w:lang w:val="en-US"/>
        </w:rPr>
        <w:t xml:space="preserve"> </w:t>
      </w:r>
      <w:r>
        <w:rPr>
          <w:lang w:val="en-US"/>
        </w:rPr>
        <w:t>counselling services.</w:t>
      </w:r>
    </w:p>
    <w:p w:rsidR="00360609" w:rsidRDefault="00360609" w:rsidP="007C6010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30923/11-15)</w:t>
      </w:r>
    </w:p>
    <w:p w:rsidR="00360609" w:rsidRDefault="00360609" w:rsidP="007C6010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360609" w:rsidRDefault="00360609" w:rsidP="007C6010">
      <w:pPr>
        <w:pStyle w:val="NICCYBodyText"/>
        <w:rPr>
          <w:lang w:val="en-US"/>
        </w:rPr>
      </w:pPr>
      <w:r w:rsidRPr="007C6010">
        <w:rPr>
          <w:rFonts w:ascii="ITCFranklinGothicDemi" w:hAnsi="ITCFranklinGothicDemi" w:cs="ITCFranklinGothicDemi"/>
          <w:b/>
          <w:lang w:val="en-US"/>
        </w:rPr>
        <w:t>Mr O’Dowd: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Department of Education (DE) promotes positive mental health and well-being of</w:t>
      </w:r>
      <w:r w:rsidR="007C6010">
        <w:rPr>
          <w:lang w:val="en-US"/>
        </w:rPr>
        <w:t xml:space="preserve"> </w:t>
      </w:r>
      <w:r>
        <w:rPr>
          <w:lang w:val="en-US"/>
        </w:rPr>
        <w:t>pupils in schools through a range of developments.</w:t>
      </w:r>
    </w:p>
    <w:p w:rsidR="007401AD" w:rsidRDefault="007401AD" w:rsidP="007C6010">
      <w:pPr>
        <w:pStyle w:val="NICCYBodyText"/>
        <w:rPr>
          <w:lang w:val="en-US"/>
        </w:rPr>
      </w:pPr>
    </w:p>
    <w:p w:rsidR="00360609" w:rsidRDefault="00360609" w:rsidP="007C6010">
      <w:pPr>
        <w:pStyle w:val="NICCYBodyText"/>
        <w:rPr>
          <w:lang w:val="en-US"/>
        </w:rPr>
      </w:pPr>
      <w:r>
        <w:rPr>
          <w:lang w:val="en-US"/>
        </w:rPr>
        <w:t>The Revised Curriculum for primary and post-primary schools has elements designed to develop the</w:t>
      </w:r>
      <w:r w:rsidR="007C6010">
        <w:rPr>
          <w:lang w:val="en-US"/>
        </w:rPr>
        <w:t xml:space="preserve"> </w:t>
      </w:r>
      <w:r>
        <w:rPr>
          <w:lang w:val="en-US"/>
        </w:rPr>
        <w:t>young person as an individual and to enhance young people’s own awareness of the stressors in their</w:t>
      </w:r>
      <w:r w:rsidR="007C6010">
        <w:rPr>
          <w:lang w:val="en-US"/>
        </w:rPr>
        <w:t xml:space="preserve"> </w:t>
      </w:r>
      <w:r>
        <w:rPr>
          <w:lang w:val="en-US"/>
        </w:rPr>
        <w:t>lives and their capacity to deal with them.</w:t>
      </w:r>
    </w:p>
    <w:p w:rsidR="007401AD" w:rsidRDefault="007401AD" w:rsidP="007C6010">
      <w:pPr>
        <w:pStyle w:val="NICCYBodyText"/>
        <w:rPr>
          <w:lang w:val="en-US"/>
        </w:rPr>
      </w:pPr>
    </w:p>
    <w:p w:rsidR="00360609" w:rsidRDefault="00360609" w:rsidP="007C6010">
      <w:pPr>
        <w:pStyle w:val="NICCYBodyText"/>
        <w:rPr>
          <w:lang w:val="en-US"/>
        </w:rPr>
      </w:pPr>
      <w:r>
        <w:rPr>
          <w:lang w:val="en-US"/>
        </w:rPr>
        <w:t>The “iMatter” Programme is intended to support the entire school community to be engaged in</w:t>
      </w:r>
      <w:r w:rsidR="007C6010">
        <w:rPr>
          <w:lang w:val="en-US"/>
        </w:rPr>
        <w:t xml:space="preserve"> </w:t>
      </w:r>
      <w:r>
        <w:rPr>
          <w:lang w:val="en-US"/>
        </w:rPr>
        <w:t>promoting resilient e</w:t>
      </w:r>
      <w:r w:rsidR="007C6010">
        <w:rPr>
          <w:lang w:val="en-US"/>
        </w:rPr>
        <w:t xml:space="preserve">motional health for all pupils.  </w:t>
      </w:r>
      <w:r>
        <w:rPr>
          <w:lang w:val="en-US"/>
        </w:rPr>
        <w:t>Under the programme a suite of homework diary</w:t>
      </w:r>
      <w:r w:rsidR="007C6010">
        <w:rPr>
          <w:lang w:val="en-US"/>
        </w:rPr>
        <w:t xml:space="preserve"> </w:t>
      </w:r>
      <w:r>
        <w:rPr>
          <w:lang w:val="en-US"/>
        </w:rPr>
        <w:t>inserts and posters on topics of concern to young people such as self esteem and coping with stress,</w:t>
      </w:r>
      <w:r w:rsidR="007C6010">
        <w:rPr>
          <w:lang w:val="en-US"/>
        </w:rPr>
        <w:t xml:space="preserve"> </w:t>
      </w:r>
      <w:r>
        <w:rPr>
          <w:lang w:val="en-US"/>
        </w:rPr>
        <w:t xml:space="preserve">worry and anxiety, and outlining sources of help are </w:t>
      </w:r>
      <w:r>
        <w:rPr>
          <w:lang w:val="en-US"/>
        </w:rPr>
        <w:lastRenderedPageBreak/>
        <w:t>prepared and distributed annually.</w:t>
      </w:r>
      <w:r w:rsidR="007C6010">
        <w:rPr>
          <w:lang w:val="en-US"/>
        </w:rPr>
        <w:t xml:space="preserve">  </w:t>
      </w:r>
      <w:r>
        <w:rPr>
          <w:lang w:val="en-US"/>
        </w:rPr>
        <w:t>Pupils are also alerted to a topical “Message of the Month” each time they access the C2K system.</w:t>
      </w:r>
    </w:p>
    <w:p w:rsidR="007C6010" w:rsidRDefault="007C6010" w:rsidP="007C6010">
      <w:pPr>
        <w:pStyle w:val="NICCYBodyText"/>
        <w:rPr>
          <w:lang w:val="en-US"/>
        </w:rPr>
      </w:pPr>
    </w:p>
    <w:p w:rsidR="00360609" w:rsidRDefault="00360609" w:rsidP="007C6010">
      <w:pPr>
        <w:pStyle w:val="NICCYBodyText"/>
        <w:rPr>
          <w:lang w:val="en-US"/>
        </w:rPr>
      </w:pPr>
      <w:r>
        <w:rPr>
          <w:lang w:val="en-US"/>
        </w:rPr>
        <w:t>The Department issued a “Guide to Managing Critical Incidents in Schools” along with a supporting</w:t>
      </w:r>
      <w:r w:rsidR="007C6010">
        <w:rPr>
          <w:lang w:val="en-US"/>
        </w:rPr>
        <w:t xml:space="preserve"> DVD on 10 February.  </w:t>
      </w:r>
      <w:r>
        <w:rPr>
          <w:lang w:val="en-US"/>
        </w:rPr>
        <w:t>The Guide, commissioned by DE as part of the ‘iMatter’ Programme, is aimed</w:t>
      </w:r>
      <w:r w:rsidR="007C6010">
        <w:rPr>
          <w:lang w:val="en-US"/>
        </w:rPr>
        <w:t xml:space="preserve"> </w:t>
      </w:r>
      <w:r>
        <w:rPr>
          <w:lang w:val="en-US"/>
        </w:rPr>
        <w:t>at ensuring a regional approach to dealing with critical incidents and is designed to help schools be</w:t>
      </w:r>
      <w:r w:rsidR="007C6010">
        <w:rPr>
          <w:lang w:val="en-US"/>
        </w:rPr>
        <w:t xml:space="preserve"> </w:t>
      </w:r>
      <w:r>
        <w:rPr>
          <w:lang w:val="en-US"/>
        </w:rPr>
        <w:t>prepared for a critical incident and to ensure effective management before, during and after the event.</w:t>
      </w:r>
      <w:r w:rsidR="007C6010">
        <w:rPr>
          <w:lang w:val="en-US"/>
        </w:rPr>
        <w:t xml:space="preserve">  </w:t>
      </w:r>
      <w:r>
        <w:rPr>
          <w:lang w:val="en-US"/>
        </w:rPr>
        <w:t>The Guide is available on the DE website.</w:t>
      </w:r>
    </w:p>
    <w:p w:rsidR="007401AD" w:rsidRDefault="007401AD" w:rsidP="007C6010">
      <w:pPr>
        <w:pStyle w:val="NICCYBodyText"/>
        <w:rPr>
          <w:lang w:val="en-US"/>
        </w:rPr>
      </w:pPr>
    </w:p>
    <w:p w:rsidR="006E6E52" w:rsidRDefault="00360609" w:rsidP="007C6010">
      <w:pPr>
        <w:pStyle w:val="NICCYBodyText"/>
        <w:rPr>
          <w:lang w:val="en-US"/>
        </w:rPr>
      </w:pPr>
      <w:r>
        <w:rPr>
          <w:lang w:val="en-US"/>
        </w:rPr>
        <w:t>DE is a member of and funds the local Anti-Bullying Forum (NIABF) which brings together local statutory</w:t>
      </w:r>
      <w:r w:rsidR="007C6010">
        <w:rPr>
          <w:lang w:val="en-US"/>
        </w:rPr>
        <w:t xml:space="preserve"> </w:t>
      </w:r>
      <w:r>
        <w:rPr>
          <w:lang w:val="en-US"/>
        </w:rPr>
        <w:t>and voluntary organisations to help schools and organisations working with young people to develop</w:t>
      </w:r>
      <w:r w:rsidR="007C6010">
        <w:rPr>
          <w:lang w:val="en-US"/>
        </w:rPr>
        <w:t xml:space="preserve"> </w:t>
      </w:r>
      <w:r>
        <w:rPr>
          <w:lang w:val="en-US"/>
        </w:rPr>
        <w:t>appropriate strategies to</w:t>
      </w:r>
      <w:r w:rsidR="007C6010">
        <w:rPr>
          <w:lang w:val="en-US"/>
        </w:rPr>
        <w:t xml:space="preserve"> prevent and deal with bullying behaviours.  </w:t>
      </w:r>
      <w:r>
        <w:rPr>
          <w:lang w:val="en-US"/>
        </w:rPr>
        <w:t>In August 2013 the Forum</w:t>
      </w:r>
      <w:r w:rsidR="007C6010">
        <w:rPr>
          <w:lang w:val="en-US"/>
        </w:rPr>
        <w:t xml:space="preserve"> </w:t>
      </w:r>
      <w:r>
        <w:rPr>
          <w:lang w:val="en-US"/>
        </w:rPr>
        <w:t>published “Effective Responses to Bullying” to support schools in the management of alleged bullying</w:t>
      </w:r>
      <w:r w:rsidR="007C6010">
        <w:rPr>
          <w:lang w:val="en-US"/>
        </w:rPr>
        <w:t xml:space="preserve"> incidents.  </w:t>
      </w:r>
      <w:r>
        <w:rPr>
          <w:lang w:val="en-US"/>
        </w:rPr>
        <w:t xml:space="preserve">Further information is available at </w:t>
      </w:r>
      <w:hyperlink r:id="rId8" w:history="1">
        <w:r w:rsidRPr="007C6010">
          <w:rPr>
            <w:rStyle w:val="Hyperlink"/>
            <w:lang w:val="en-US"/>
          </w:rPr>
          <w:t>www.niabf.org.uk</w:t>
        </w:r>
      </w:hyperlink>
      <w:r w:rsidRPr="007C6010">
        <w:rPr>
          <w:lang w:val="en-US"/>
        </w:rPr>
        <w:t>.</w:t>
      </w:r>
    </w:p>
    <w:p w:rsidR="007401AD" w:rsidRDefault="007401AD" w:rsidP="007C6010">
      <w:pPr>
        <w:pStyle w:val="NICCYBodyText"/>
        <w:rPr>
          <w:lang w:val="en-US"/>
        </w:rPr>
      </w:pPr>
    </w:p>
    <w:p w:rsidR="007401AD" w:rsidRDefault="007401AD" w:rsidP="007C6010">
      <w:pPr>
        <w:pStyle w:val="NICCYBodyText"/>
        <w:rPr>
          <w:lang w:val="en-US"/>
        </w:rPr>
      </w:pPr>
      <w:r>
        <w:rPr>
          <w:lang w:val="en-US"/>
        </w:rPr>
        <w:t>The Independent Counselling Service for Schools (ICSS) has been accessible to young people</w:t>
      </w:r>
      <w:r w:rsidR="007C6010">
        <w:rPr>
          <w:lang w:val="en-US"/>
        </w:rPr>
        <w:t xml:space="preserve"> </w:t>
      </w:r>
      <w:r>
        <w:rPr>
          <w:lang w:val="en-US"/>
        </w:rPr>
        <w:t>of postprimary age in mainstrea</w:t>
      </w:r>
      <w:r w:rsidR="007C6010">
        <w:rPr>
          <w:lang w:val="en-US"/>
        </w:rPr>
        <w:t xml:space="preserve">m schools since September 2007.  </w:t>
      </w:r>
      <w:r>
        <w:rPr>
          <w:lang w:val="en-US"/>
        </w:rPr>
        <w:t>This service was extended to</w:t>
      </w:r>
      <w:r w:rsidR="007C6010">
        <w:rPr>
          <w:lang w:val="en-US"/>
        </w:rPr>
        <w:t xml:space="preserve"> </w:t>
      </w:r>
      <w:r>
        <w:rPr>
          <w:lang w:val="en-US"/>
        </w:rPr>
        <w:t>postprimary aged pupils in special schools from January 2011 and has been widely welcomed by the</w:t>
      </w:r>
      <w:r w:rsidR="007C6010">
        <w:rPr>
          <w:lang w:val="en-US"/>
        </w:rPr>
        <w:t xml:space="preserve"> schools involved.  </w:t>
      </w:r>
      <w:r>
        <w:rPr>
          <w:lang w:val="en-US"/>
        </w:rPr>
        <w:t>An average of 1432 pupils per month use the ICSS Ser</w:t>
      </w:r>
      <w:r w:rsidR="007C6010">
        <w:rPr>
          <w:lang w:val="en-US"/>
        </w:rPr>
        <w:t xml:space="preserve">vice.  </w:t>
      </w:r>
      <w:r>
        <w:rPr>
          <w:lang w:val="en-US"/>
        </w:rPr>
        <w:t>As part of the current</w:t>
      </w:r>
      <w:r w:rsidR="007C6010">
        <w:rPr>
          <w:lang w:val="en-US"/>
        </w:rPr>
        <w:t xml:space="preserve"> </w:t>
      </w:r>
      <w:r>
        <w:rPr>
          <w:lang w:val="en-US"/>
        </w:rPr>
        <w:t>arrangements for support following a critical incident, pupils in primary schools have access to</w:t>
      </w:r>
      <w:r w:rsidR="007C6010">
        <w:rPr>
          <w:lang w:val="en-US"/>
        </w:rPr>
        <w:t xml:space="preserve"> counselling support.  </w:t>
      </w:r>
      <w:r>
        <w:rPr>
          <w:lang w:val="en-US"/>
        </w:rPr>
        <w:t>Work will take place later this year on how access to the counselling service might</w:t>
      </w:r>
      <w:r w:rsidR="005E49ED">
        <w:rPr>
          <w:lang w:val="en-US"/>
        </w:rPr>
        <w:t xml:space="preserve"> </w:t>
      </w:r>
      <w:r>
        <w:rPr>
          <w:lang w:val="en-US"/>
        </w:rPr>
        <w:t>be extended to primary aged pupils.</w:t>
      </w:r>
    </w:p>
    <w:p w:rsidR="007401AD" w:rsidRDefault="007401AD" w:rsidP="007C6010">
      <w:pPr>
        <w:pStyle w:val="NICCYBodyText"/>
        <w:rPr>
          <w:lang w:val="en-US"/>
        </w:rPr>
      </w:pPr>
    </w:p>
    <w:p w:rsidR="00360609" w:rsidRDefault="007401AD" w:rsidP="007C6010">
      <w:pPr>
        <w:pStyle w:val="NICCYBodyText"/>
        <w:rPr>
          <w:lang w:val="en-US"/>
        </w:rPr>
      </w:pPr>
      <w:r>
        <w:rPr>
          <w:lang w:val="en-US"/>
        </w:rPr>
        <w:t>In October 2012 the Delivering Social Change programme provided funding for a series of six Signature</w:t>
      </w:r>
      <w:r w:rsidR="005E49ED">
        <w:rPr>
          <w:lang w:val="en-US"/>
        </w:rPr>
        <w:t xml:space="preserve"> </w:t>
      </w:r>
      <w:r>
        <w:rPr>
          <w:lang w:val="en-US"/>
        </w:rPr>
        <w:t>projects, involving the establishment of 20 new nurture units to be rolled out in Primary Schools across</w:t>
      </w:r>
      <w:r w:rsidR="005E49ED">
        <w:rPr>
          <w:lang w:val="en-US"/>
        </w:rPr>
        <w:t xml:space="preserve"> the north of Ireland.  </w:t>
      </w:r>
      <w:r>
        <w:rPr>
          <w:lang w:val="en-US"/>
        </w:rPr>
        <w:t xml:space="preserve">Nurture Units offer a short term, </w:t>
      </w:r>
      <w:r w:rsidR="005E49ED">
        <w:rPr>
          <w:lang w:val="en-US"/>
        </w:rPr>
        <w:t>focused</w:t>
      </w:r>
      <w:r>
        <w:rPr>
          <w:lang w:val="en-US"/>
        </w:rPr>
        <w:t xml:space="preserve"> intervention strategy which addresses</w:t>
      </w:r>
      <w:r w:rsidR="005E49ED">
        <w:rPr>
          <w:lang w:val="en-US"/>
        </w:rPr>
        <w:t xml:space="preserve"> </w:t>
      </w:r>
      <w:r>
        <w:rPr>
          <w:lang w:val="en-US"/>
        </w:rPr>
        <w:t>barriers to learning arising from social, emotional and behavioural difficulties, aiming to develop and</w:t>
      </w:r>
      <w:r w:rsidR="005E49ED">
        <w:rPr>
          <w:lang w:val="en-US"/>
        </w:rPr>
        <w:t xml:space="preserve"> </w:t>
      </w:r>
      <w:r>
        <w:rPr>
          <w:lang w:val="en-US"/>
        </w:rPr>
        <w:t>improve the child’s behaviour enabling them, after a short time in the nurture unit, to participate</w:t>
      </w:r>
      <w:r w:rsidR="005E49ED">
        <w:rPr>
          <w:lang w:val="en-US"/>
        </w:rPr>
        <w:t xml:space="preserve"> </w:t>
      </w:r>
      <w:r>
        <w:rPr>
          <w:lang w:val="en-US"/>
        </w:rPr>
        <w:t>effectively</w:t>
      </w:r>
      <w:r w:rsidR="005E49ED">
        <w:rPr>
          <w:lang w:val="en-US"/>
        </w:rPr>
        <w:t xml:space="preserve"> within their mainstream class.  </w:t>
      </w:r>
      <w:r>
        <w:rPr>
          <w:lang w:val="en-US"/>
        </w:rPr>
        <w:t>DE provided financial assistance to a further 10 schools with</w:t>
      </w:r>
      <w:r w:rsidR="005E49ED">
        <w:rPr>
          <w:lang w:val="en-US"/>
        </w:rPr>
        <w:t xml:space="preserve"> </w:t>
      </w:r>
      <w:r>
        <w:rPr>
          <w:lang w:val="en-US"/>
        </w:rPr>
        <w:t>existing nurture provision for the lifetime of the</w:t>
      </w:r>
      <w:r w:rsidR="005E49ED">
        <w:rPr>
          <w:lang w:val="en-US"/>
        </w:rPr>
        <w:t xml:space="preserve"> Signature Project (June 2015).  </w:t>
      </w:r>
      <w:r>
        <w:rPr>
          <w:lang w:val="en-US"/>
        </w:rPr>
        <w:t>Latest figures indicate that a</w:t>
      </w:r>
      <w:r w:rsidR="005E49ED">
        <w:rPr>
          <w:lang w:val="en-US"/>
        </w:rPr>
        <w:t xml:space="preserve"> </w:t>
      </w:r>
      <w:r>
        <w:rPr>
          <w:lang w:val="en-US"/>
        </w:rPr>
        <w:t>total of 116 children, 75 boys and 41 girls, are currently attending the units.</w:t>
      </w:r>
    </w:p>
    <w:p w:rsidR="00360609" w:rsidRDefault="00AA79C6" w:rsidP="00360609">
      <w:pPr>
        <w:autoSpaceDE w:val="0"/>
        <w:autoSpaceDN w:val="0"/>
        <w:adjustRightInd w:val="0"/>
        <w:spacing w:line="288" w:lineRule="auto"/>
      </w:pPr>
      <w:hyperlink w:anchor="_top" w:history="1">
        <w:r w:rsidR="007947AD" w:rsidRPr="00A92D13">
          <w:rPr>
            <w:rStyle w:val="Hyperlink"/>
          </w:rPr>
          <w:t>Back to Top</w:t>
        </w:r>
      </w:hyperlink>
    </w:p>
    <w:p w:rsidR="006127FB" w:rsidRDefault="006127FB" w:rsidP="005E49ED">
      <w:pPr>
        <w:pStyle w:val="Heading2"/>
        <w:rPr>
          <w:rFonts w:eastAsiaTheme="minorEastAsia"/>
          <w:lang w:val="en-US"/>
        </w:rPr>
      </w:pPr>
      <w:bookmarkStart w:id="8" w:name="_Integrated_Education_Schools"/>
      <w:bookmarkEnd w:id="8"/>
      <w:r>
        <w:rPr>
          <w:rFonts w:eastAsiaTheme="minorEastAsia"/>
          <w:lang w:val="en-US"/>
        </w:rPr>
        <w:lastRenderedPageBreak/>
        <w:t>Integrated Education Schools</w:t>
      </w:r>
    </w:p>
    <w:p w:rsidR="005E49ED" w:rsidRDefault="006127FB" w:rsidP="005E49ED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D McIlveen </w:t>
      </w:r>
      <w:r>
        <w:rPr>
          <w:lang w:val="en-US"/>
        </w:rPr>
        <w:t xml:space="preserve">asked the Minister of Education to detail </w:t>
      </w:r>
    </w:p>
    <w:p w:rsidR="005E49ED" w:rsidRDefault="006127FB" w:rsidP="005E49ED">
      <w:pPr>
        <w:pStyle w:val="NICCYBodyText"/>
        <w:numPr>
          <w:ilvl w:val="0"/>
          <w:numId w:val="18"/>
        </w:numPr>
        <w:rPr>
          <w:lang w:val="en-US"/>
        </w:rPr>
      </w:pPr>
      <w:r>
        <w:rPr>
          <w:lang w:val="en-US"/>
        </w:rPr>
        <w:t>how many new Integrated Education</w:t>
      </w:r>
      <w:r w:rsidR="005E49ED">
        <w:rPr>
          <w:lang w:val="en-US"/>
        </w:rPr>
        <w:t xml:space="preserve"> </w:t>
      </w:r>
      <w:r>
        <w:rPr>
          <w:lang w:val="en-US"/>
        </w:rPr>
        <w:t xml:space="preserve">schools have opened; and </w:t>
      </w:r>
    </w:p>
    <w:p w:rsidR="006127FB" w:rsidRDefault="006127FB" w:rsidP="005E49ED">
      <w:pPr>
        <w:pStyle w:val="NICCYBodyText"/>
        <w:numPr>
          <w:ilvl w:val="0"/>
          <w:numId w:val="18"/>
        </w:numPr>
        <w:rPr>
          <w:lang w:val="en-US"/>
        </w:rPr>
      </w:pPr>
      <w:r>
        <w:rPr>
          <w:lang w:val="en-US"/>
        </w:rPr>
        <w:t>how much of his budget has been used to promote integrated education,</w:t>
      </w:r>
    </w:p>
    <w:p w:rsidR="006127FB" w:rsidRDefault="005E49ED" w:rsidP="005E49ED">
      <w:pPr>
        <w:pStyle w:val="NICCYBodyText"/>
        <w:rPr>
          <w:lang w:val="en-US"/>
        </w:rPr>
      </w:pPr>
      <w:r>
        <w:rPr>
          <w:lang w:val="en-US"/>
        </w:rPr>
        <w:t xml:space="preserve">                </w:t>
      </w:r>
      <w:r w:rsidR="006127FB">
        <w:rPr>
          <w:lang w:val="en-US"/>
        </w:rPr>
        <w:t>in each of the last five years.</w:t>
      </w:r>
    </w:p>
    <w:p w:rsidR="006127FB" w:rsidRDefault="006127FB" w:rsidP="005E49ED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30948/11-15)</w:t>
      </w:r>
    </w:p>
    <w:p w:rsidR="006127FB" w:rsidRDefault="006127FB" w:rsidP="005E49ED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6127FB" w:rsidRDefault="006127FB" w:rsidP="005E49ED">
      <w:pPr>
        <w:pStyle w:val="NICCYBodyText"/>
        <w:rPr>
          <w:lang w:val="en-US"/>
        </w:rPr>
      </w:pPr>
      <w:r w:rsidRPr="005E49ED">
        <w:rPr>
          <w:rFonts w:ascii="ITCFranklinGothicDemi" w:hAnsi="ITCFranklinGothicDemi" w:cs="ITCFranklinGothicDemi"/>
          <w:b/>
          <w:lang w:val="en-US"/>
        </w:rPr>
        <w:t>Mr O’Dowd: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No new integrated schools have opened in the last five years, nor have any Development</w:t>
      </w:r>
      <w:r w:rsidR="005E49ED">
        <w:rPr>
          <w:lang w:val="en-US"/>
        </w:rPr>
        <w:t xml:space="preserve"> </w:t>
      </w:r>
      <w:r>
        <w:rPr>
          <w:lang w:val="en-US"/>
        </w:rPr>
        <w:t>Proposals, seeking to open new integrated schools, been published during that period.</w:t>
      </w:r>
      <w:r w:rsidR="005E49ED">
        <w:rPr>
          <w:lang w:val="en-US"/>
        </w:rPr>
        <w:t xml:space="preserve">  </w:t>
      </w:r>
      <w:r>
        <w:rPr>
          <w:lang w:val="en-US"/>
        </w:rPr>
        <w:t>However, during the last five years, a Development Proposal to allow a school to transform from</w:t>
      </w:r>
      <w:r w:rsidR="005E49ED">
        <w:rPr>
          <w:lang w:val="en-US"/>
        </w:rPr>
        <w:t xml:space="preserve"> </w:t>
      </w:r>
      <w:r>
        <w:rPr>
          <w:lang w:val="en-US"/>
        </w:rPr>
        <w:t>‘controlled’ status to ‘controlled integrated’ was published and approved, as were three Development</w:t>
      </w:r>
      <w:r w:rsidR="005E49ED">
        <w:rPr>
          <w:lang w:val="en-US"/>
        </w:rPr>
        <w:t xml:space="preserve"> </w:t>
      </w:r>
      <w:r>
        <w:rPr>
          <w:lang w:val="en-US"/>
        </w:rPr>
        <w:t>Proposals to increase enrolment numbers; two at integrated post Primary schools, and one at an</w:t>
      </w:r>
      <w:r w:rsidR="005E49ED">
        <w:rPr>
          <w:lang w:val="en-US"/>
        </w:rPr>
        <w:t xml:space="preserve"> </w:t>
      </w:r>
      <w:r>
        <w:rPr>
          <w:lang w:val="en-US"/>
        </w:rPr>
        <w:t>integrated nursery school.</w:t>
      </w:r>
    </w:p>
    <w:p w:rsidR="006127FB" w:rsidRDefault="006127FB" w:rsidP="005E49ED">
      <w:pPr>
        <w:pStyle w:val="NICCYBodyText"/>
        <w:rPr>
          <w:lang w:val="en-US"/>
        </w:rPr>
      </w:pPr>
    </w:p>
    <w:p w:rsidR="006E6E52" w:rsidRDefault="006127FB" w:rsidP="005E49ED">
      <w:pPr>
        <w:pStyle w:val="NICCYBodyText"/>
        <w:rPr>
          <w:lang w:val="en-US"/>
        </w:rPr>
      </w:pPr>
      <w:r>
        <w:rPr>
          <w:lang w:val="en-US"/>
        </w:rPr>
        <w:t>In relation to the amount of funding used to promote integrated education, Article 64 (2) of the</w:t>
      </w:r>
      <w:r w:rsidR="005E49ED">
        <w:rPr>
          <w:lang w:val="en-US"/>
        </w:rPr>
        <w:t xml:space="preserve"> </w:t>
      </w:r>
      <w:r>
        <w:rPr>
          <w:lang w:val="en-US"/>
        </w:rPr>
        <w:t>Education Reform (NI) Order 1989 allows the Department to pay grants to a body, which has as an</w:t>
      </w:r>
      <w:r w:rsidR="005E49ED">
        <w:rPr>
          <w:lang w:val="en-US"/>
        </w:rPr>
        <w:t xml:space="preserve"> </w:t>
      </w:r>
      <w:r>
        <w:rPr>
          <w:lang w:val="en-US"/>
        </w:rPr>
        <w:t>objective, the encouragement or pro</w:t>
      </w:r>
      <w:r w:rsidR="005E49ED">
        <w:rPr>
          <w:lang w:val="en-US"/>
        </w:rPr>
        <w:t xml:space="preserve">motion of integrated education.  </w:t>
      </w:r>
      <w:r>
        <w:rPr>
          <w:lang w:val="en-US"/>
        </w:rPr>
        <w:t>In fulfilment of this legislation,</w:t>
      </w:r>
      <w:r w:rsidR="005E49ED">
        <w:rPr>
          <w:lang w:val="en-US"/>
        </w:rPr>
        <w:t xml:space="preserve"> </w:t>
      </w:r>
      <w:r>
        <w:rPr>
          <w:lang w:val="en-US"/>
        </w:rPr>
        <w:t>my Department provides funding annually to the Council fo</w:t>
      </w:r>
      <w:r w:rsidR="005E49ED">
        <w:rPr>
          <w:lang w:val="en-US"/>
        </w:rPr>
        <w:t xml:space="preserve">r Integrated Education (NICIE).  </w:t>
      </w:r>
      <w:r>
        <w:rPr>
          <w:lang w:val="en-US"/>
        </w:rPr>
        <w:t>The amount</w:t>
      </w:r>
      <w:r w:rsidR="005E49ED">
        <w:rPr>
          <w:lang w:val="en-US"/>
        </w:rPr>
        <w:t xml:space="preserve"> </w:t>
      </w:r>
      <w:r>
        <w:rPr>
          <w:lang w:val="en-US"/>
        </w:rPr>
        <w:t>of funding made available to NICIE during the last five years to promote and encourage integrated</w:t>
      </w:r>
      <w:r w:rsidR="005E49ED">
        <w:rPr>
          <w:lang w:val="en-US"/>
        </w:rPr>
        <w:t xml:space="preserve"> </w:t>
      </w:r>
      <w:r>
        <w:rPr>
          <w:lang w:val="en-US"/>
        </w:rPr>
        <w:t>education is as follows:</w:t>
      </w:r>
    </w:p>
    <w:p w:rsidR="006127FB" w:rsidRDefault="006127FB" w:rsidP="006127FB">
      <w:pPr>
        <w:autoSpaceDE w:val="0"/>
        <w:autoSpaceDN w:val="0"/>
        <w:adjustRightInd w:val="0"/>
        <w:spacing w:line="288" w:lineRule="auto"/>
      </w:pPr>
    </w:p>
    <w:p w:rsidR="006E6E52" w:rsidRDefault="006127FB" w:rsidP="00883F0E">
      <w:pPr>
        <w:autoSpaceDE w:val="0"/>
        <w:autoSpaceDN w:val="0"/>
        <w:adjustRightInd w:val="0"/>
        <w:spacing w:line="288" w:lineRule="auto"/>
      </w:pPr>
      <w:r>
        <w:rPr>
          <w:noProof/>
          <w:lang w:val="en-US"/>
        </w:rPr>
        <w:drawing>
          <wp:inline distT="0" distB="0" distL="0" distR="0">
            <wp:extent cx="6183356" cy="1790700"/>
            <wp:effectExtent l="19050" t="0" r="7894" b="0"/>
            <wp:docPr id="1" name="Picture 1" descr="C:\Users\Andrew.McGall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McGall\Desktop\Cap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56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AD" w:rsidRDefault="007947AD" w:rsidP="009E4205">
      <w:pPr>
        <w:autoSpaceDE w:val="0"/>
        <w:autoSpaceDN w:val="0"/>
        <w:adjustRightInd w:val="0"/>
        <w:spacing w:line="288" w:lineRule="auto"/>
      </w:pPr>
    </w:p>
    <w:p w:rsidR="007947AD" w:rsidRDefault="00AA79C6" w:rsidP="009E4205">
      <w:pPr>
        <w:autoSpaceDE w:val="0"/>
        <w:autoSpaceDN w:val="0"/>
        <w:adjustRightInd w:val="0"/>
        <w:spacing w:line="288" w:lineRule="auto"/>
      </w:pPr>
      <w:hyperlink w:anchor="_top" w:history="1">
        <w:r w:rsidR="005E49ED" w:rsidRPr="00A92D13">
          <w:rPr>
            <w:rStyle w:val="Hyperlink"/>
          </w:rPr>
          <w:t>Back to Top</w:t>
        </w:r>
      </w:hyperlink>
      <w:bookmarkStart w:id="9" w:name="_Development_of_Integrated"/>
      <w:bookmarkEnd w:id="9"/>
      <w:r w:rsidR="009E4205">
        <w:br/>
      </w:r>
    </w:p>
    <w:p w:rsidR="007947AD" w:rsidRDefault="007947AD" w:rsidP="009E4205">
      <w:pPr>
        <w:autoSpaceDE w:val="0"/>
        <w:autoSpaceDN w:val="0"/>
        <w:adjustRightInd w:val="0"/>
        <w:spacing w:line="288" w:lineRule="auto"/>
      </w:pPr>
    </w:p>
    <w:p w:rsidR="007947AD" w:rsidRDefault="007947AD" w:rsidP="009E4205">
      <w:pPr>
        <w:autoSpaceDE w:val="0"/>
        <w:autoSpaceDN w:val="0"/>
        <w:adjustRightInd w:val="0"/>
        <w:spacing w:line="288" w:lineRule="auto"/>
      </w:pPr>
    </w:p>
    <w:p w:rsidR="008A6859" w:rsidRPr="009E4205" w:rsidRDefault="009E4205" w:rsidP="009E4205">
      <w:pPr>
        <w:autoSpaceDE w:val="0"/>
        <w:autoSpaceDN w:val="0"/>
        <w:adjustRightInd w:val="0"/>
        <w:spacing w:line="288" w:lineRule="auto"/>
        <w:rPr>
          <w:rStyle w:val="Heading2Char"/>
        </w:rPr>
      </w:pPr>
      <w:r>
        <w:lastRenderedPageBreak/>
        <w:br/>
      </w:r>
      <w:r w:rsidR="008A6859" w:rsidRPr="009E4205">
        <w:rPr>
          <w:rStyle w:val="Heading2Char"/>
        </w:rPr>
        <w:t>Development of Integrated Education</w:t>
      </w:r>
    </w:p>
    <w:p w:rsidR="008A6859" w:rsidRDefault="008A6859" w:rsidP="005E49ED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D McIlveen </w:t>
      </w:r>
      <w:r>
        <w:rPr>
          <w:lang w:val="en-US"/>
        </w:rPr>
        <w:t>asked the Minister of Education how he plans to promote and develop integrated</w:t>
      </w:r>
      <w:r w:rsidR="005E49ED">
        <w:rPr>
          <w:lang w:val="en-US"/>
        </w:rPr>
        <w:t xml:space="preserve"> </w:t>
      </w:r>
      <w:r>
        <w:rPr>
          <w:lang w:val="en-US"/>
        </w:rPr>
        <w:t>education.</w:t>
      </w:r>
    </w:p>
    <w:p w:rsidR="008A6859" w:rsidRDefault="008A6859" w:rsidP="005E49ED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30949/11-15)</w:t>
      </w:r>
    </w:p>
    <w:p w:rsidR="008A6859" w:rsidRDefault="008A6859" w:rsidP="005E49ED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8A6859" w:rsidRDefault="008A6859" w:rsidP="005E49ED">
      <w:pPr>
        <w:pStyle w:val="NICCYBodyText"/>
        <w:rPr>
          <w:lang w:val="en-US"/>
        </w:rPr>
      </w:pPr>
      <w:r w:rsidRPr="005E49ED">
        <w:rPr>
          <w:rFonts w:ascii="ITCFranklinGothicDemi" w:hAnsi="ITCFranklinGothicDemi" w:cs="ITCFranklinGothicDemi"/>
          <w:b/>
          <w:lang w:val="en-US"/>
        </w:rPr>
        <w:t>Mr O’Dowd: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Under Article 64 (1) of the Education Reform (NI) Order 1989, my Department has a</w:t>
      </w:r>
      <w:r w:rsidR="005E49ED">
        <w:rPr>
          <w:lang w:val="en-US"/>
        </w:rPr>
        <w:t xml:space="preserve"> </w:t>
      </w:r>
      <w:r>
        <w:rPr>
          <w:lang w:val="en-US"/>
        </w:rPr>
        <w:t>statutory duty to encourage and facilitate the development of integrated education (i.e. the education</w:t>
      </w:r>
      <w:r w:rsidR="005E49ED">
        <w:rPr>
          <w:lang w:val="en-US"/>
        </w:rPr>
        <w:t xml:space="preserve"> </w:t>
      </w:r>
      <w:r>
        <w:rPr>
          <w:lang w:val="en-US"/>
        </w:rPr>
        <w:t>together, at school, of Protest</w:t>
      </w:r>
      <w:r w:rsidR="005E49ED">
        <w:rPr>
          <w:lang w:val="en-US"/>
        </w:rPr>
        <w:t xml:space="preserve">ant and Roman Catholic pupils).  </w:t>
      </w:r>
      <w:r>
        <w:rPr>
          <w:lang w:val="en-US"/>
        </w:rPr>
        <w:t>I take this duty very seriously, and will</w:t>
      </w:r>
      <w:r w:rsidR="005E49ED">
        <w:rPr>
          <w:lang w:val="en-US"/>
        </w:rPr>
        <w:t xml:space="preserve"> </w:t>
      </w:r>
      <w:r>
        <w:rPr>
          <w:lang w:val="en-US"/>
        </w:rPr>
        <w:t>continue to do so.</w:t>
      </w:r>
    </w:p>
    <w:p w:rsidR="008A6859" w:rsidRDefault="008A6859" w:rsidP="005E49ED">
      <w:pPr>
        <w:pStyle w:val="NICCYBodyText"/>
        <w:rPr>
          <w:lang w:val="en-US"/>
        </w:rPr>
      </w:pPr>
    </w:p>
    <w:p w:rsidR="008A6859" w:rsidRDefault="008A6859" w:rsidP="005E49ED">
      <w:pPr>
        <w:pStyle w:val="NICCYBodyText"/>
        <w:rPr>
          <w:lang w:val="en-US"/>
        </w:rPr>
      </w:pPr>
      <w:r>
        <w:rPr>
          <w:lang w:val="en-US"/>
        </w:rPr>
        <w:t>To help encourage and facilitate the development of integrated education, the Department of Education</w:t>
      </w:r>
      <w:r w:rsidR="005E49ED">
        <w:rPr>
          <w:lang w:val="en-US"/>
        </w:rPr>
        <w:t xml:space="preserve"> </w:t>
      </w:r>
      <w:r>
        <w:rPr>
          <w:lang w:val="en-US"/>
        </w:rPr>
        <w:t>provides annual funding to help schools with the process of trans</w:t>
      </w:r>
      <w:r w:rsidR="005E49ED">
        <w:rPr>
          <w:lang w:val="en-US"/>
        </w:rPr>
        <w:t xml:space="preserve">formation to integrated status.  </w:t>
      </w:r>
      <w:r>
        <w:rPr>
          <w:lang w:val="en-US"/>
        </w:rPr>
        <w:t>This</w:t>
      </w:r>
      <w:r w:rsidR="005E49ED">
        <w:rPr>
          <w:lang w:val="en-US"/>
        </w:rPr>
        <w:t xml:space="preserve"> </w:t>
      </w:r>
      <w:r>
        <w:rPr>
          <w:lang w:val="en-US"/>
        </w:rPr>
        <w:t>supports schools in the initial stages of the transformation process and with the employment of a</w:t>
      </w:r>
      <w:r w:rsidR="005E49ED">
        <w:rPr>
          <w:lang w:val="en-US"/>
        </w:rPr>
        <w:t xml:space="preserve"> </w:t>
      </w:r>
      <w:r>
        <w:rPr>
          <w:lang w:val="en-US"/>
        </w:rPr>
        <w:t>teacher, from the minority community in the school, to assist with religious education. The budget</w:t>
      </w:r>
      <w:r w:rsidR="009E4205">
        <w:rPr>
          <w:lang w:val="en-US"/>
        </w:rPr>
        <w:t xml:space="preserve"> </w:t>
      </w:r>
      <w:r>
        <w:rPr>
          <w:lang w:val="en-US"/>
        </w:rPr>
        <w:t>available for 2013/14 is £185k.</w:t>
      </w:r>
      <w:r w:rsidR="009E4205">
        <w:rPr>
          <w:lang w:val="en-US"/>
        </w:rPr>
        <w:t xml:space="preserve">  </w:t>
      </w:r>
      <w:r>
        <w:rPr>
          <w:lang w:val="en-US"/>
        </w:rPr>
        <w:t>In addition, Article 64 (2) of the 1989 Order allows the Department to pay grants to a body which</w:t>
      </w:r>
      <w:r w:rsidR="009E4205">
        <w:rPr>
          <w:lang w:val="en-US"/>
        </w:rPr>
        <w:t xml:space="preserve"> </w:t>
      </w:r>
      <w:r>
        <w:rPr>
          <w:lang w:val="en-US"/>
        </w:rPr>
        <w:t>has as an objective the encouragement or pro</w:t>
      </w:r>
      <w:r w:rsidR="009E4205">
        <w:rPr>
          <w:lang w:val="en-US"/>
        </w:rPr>
        <w:t xml:space="preserve">motion of integrated education.  </w:t>
      </w:r>
      <w:r>
        <w:rPr>
          <w:lang w:val="en-US"/>
        </w:rPr>
        <w:t>In fulfilment of this</w:t>
      </w:r>
    </w:p>
    <w:p w:rsidR="009E4205" w:rsidRPr="009E4205" w:rsidRDefault="008A6859" w:rsidP="005E49ED">
      <w:pPr>
        <w:pStyle w:val="NICCYBodyText"/>
        <w:rPr>
          <w:lang w:val="en-US"/>
        </w:rPr>
      </w:pPr>
      <w:r>
        <w:rPr>
          <w:lang w:val="en-US"/>
        </w:rPr>
        <w:t>legislation, my Department provides funding annually to the NI Council for Integrated Education (NICIE).</w:t>
      </w:r>
      <w:r w:rsidR="009E4205">
        <w:rPr>
          <w:lang w:val="en-US"/>
        </w:rPr>
        <w:t xml:space="preserve">  </w:t>
      </w:r>
      <w:r>
        <w:rPr>
          <w:lang w:val="en-US"/>
        </w:rPr>
        <w:t>Funding of £646k has been allocated for 2013/14.</w:t>
      </w:r>
      <w:r w:rsidR="009E4205">
        <w:rPr>
          <w:lang w:val="en-US"/>
        </w:rPr>
        <w:t xml:space="preserve">  </w:t>
      </w:r>
      <w:r w:rsidR="00BE4944">
        <w:rPr>
          <w:lang w:val="en-US"/>
        </w:rPr>
        <w:t>I have met with officials from NICIE twice in recent months, to discuss proposals to further promote</w:t>
      </w:r>
      <w:r w:rsidR="009E4205">
        <w:rPr>
          <w:lang w:val="en-US"/>
        </w:rPr>
        <w:t xml:space="preserve"> </w:t>
      </w:r>
      <w:r w:rsidR="00BE4944">
        <w:rPr>
          <w:lang w:val="en-US"/>
        </w:rPr>
        <w:t xml:space="preserve">and facilitate the development and </w:t>
      </w:r>
      <w:r w:rsidR="009E4205">
        <w:rPr>
          <w:lang w:val="en-US"/>
        </w:rPr>
        <w:t xml:space="preserve">growth of integrated education.  </w:t>
      </w:r>
      <w:r w:rsidR="00BE4944">
        <w:rPr>
          <w:lang w:val="en-US"/>
        </w:rPr>
        <w:t>I remain willing to consider further</w:t>
      </w:r>
      <w:r w:rsidR="009E4205">
        <w:rPr>
          <w:lang w:val="en-US"/>
        </w:rPr>
        <w:t xml:space="preserve"> </w:t>
      </w:r>
      <w:r w:rsidR="00BE4944">
        <w:rPr>
          <w:lang w:val="en-US"/>
        </w:rPr>
        <w:t>innovative approaches which will facilitate the development of the sector.</w:t>
      </w:r>
      <w:r w:rsidR="009E4205">
        <w:rPr>
          <w:lang w:val="en-US"/>
        </w:rPr>
        <w:t xml:space="preserve">  </w:t>
      </w:r>
      <w:r w:rsidR="00BE4944">
        <w:rPr>
          <w:lang w:val="en-US"/>
        </w:rPr>
        <w:t>I recognise the vital and valuable contribution that integrated education, together with all other types of</w:t>
      </w:r>
      <w:r w:rsidR="009E4205">
        <w:rPr>
          <w:lang w:val="en-US"/>
        </w:rPr>
        <w:t xml:space="preserve"> </w:t>
      </w:r>
      <w:r w:rsidR="00BE4944">
        <w:rPr>
          <w:lang w:val="en-US"/>
        </w:rPr>
        <w:t>education, makes to building a peaceful and stable future for our children.</w:t>
      </w:r>
      <w:r w:rsidR="009E4205">
        <w:rPr>
          <w:lang w:val="en-US"/>
        </w:rPr>
        <w:t xml:space="preserve">  </w:t>
      </w:r>
      <w:r w:rsidR="00BE4944">
        <w:rPr>
          <w:lang w:val="en-US"/>
        </w:rPr>
        <w:t>Going forward, the Department of Education will ensure that it continues to have a rigorous approach to</w:t>
      </w:r>
      <w:r w:rsidR="009E4205">
        <w:rPr>
          <w:lang w:val="en-US"/>
        </w:rPr>
        <w:t xml:space="preserve"> </w:t>
      </w:r>
      <w:r w:rsidR="00BE4944">
        <w:rPr>
          <w:lang w:val="en-US"/>
        </w:rPr>
        <w:t>its duty to integrated education.</w:t>
      </w:r>
      <w:r w:rsidR="009E4205">
        <w:rPr>
          <w:lang w:val="en-US"/>
        </w:rPr>
        <w:br/>
      </w:r>
      <w:r w:rsidR="009E4205">
        <w:br/>
      </w:r>
      <w:hyperlink w:anchor="_top" w:history="1">
        <w:r w:rsidR="009E4205" w:rsidRPr="00A92D13">
          <w:rPr>
            <w:rStyle w:val="Hyperlink"/>
          </w:rPr>
          <w:t>Back to Top</w:t>
        </w:r>
      </w:hyperlink>
    </w:p>
    <w:p w:rsidR="006127FB" w:rsidRDefault="006127FB" w:rsidP="00883F0E">
      <w:pPr>
        <w:autoSpaceDE w:val="0"/>
        <w:autoSpaceDN w:val="0"/>
        <w:adjustRightInd w:val="0"/>
        <w:spacing w:line="288" w:lineRule="auto"/>
      </w:pPr>
    </w:p>
    <w:p w:rsidR="007947AD" w:rsidRDefault="007947AD" w:rsidP="00883F0E">
      <w:pPr>
        <w:autoSpaceDE w:val="0"/>
        <w:autoSpaceDN w:val="0"/>
        <w:adjustRightInd w:val="0"/>
        <w:spacing w:line="288" w:lineRule="auto"/>
      </w:pPr>
    </w:p>
    <w:p w:rsidR="007947AD" w:rsidRDefault="007947AD" w:rsidP="00883F0E">
      <w:pPr>
        <w:autoSpaceDE w:val="0"/>
        <w:autoSpaceDN w:val="0"/>
        <w:adjustRightInd w:val="0"/>
        <w:spacing w:line="288" w:lineRule="auto"/>
      </w:pPr>
    </w:p>
    <w:p w:rsidR="007947AD" w:rsidRDefault="007947AD" w:rsidP="00883F0E">
      <w:pPr>
        <w:autoSpaceDE w:val="0"/>
        <w:autoSpaceDN w:val="0"/>
        <w:adjustRightInd w:val="0"/>
        <w:spacing w:line="288" w:lineRule="auto"/>
      </w:pPr>
    </w:p>
    <w:p w:rsidR="007947AD" w:rsidRDefault="007947AD" w:rsidP="00883F0E">
      <w:pPr>
        <w:autoSpaceDE w:val="0"/>
        <w:autoSpaceDN w:val="0"/>
        <w:adjustRightInd w:val="0"/>
        <w:spacing w:line="288" w:lineRule="auto"/>
      </w:pPr>
    </w:p>
    <w:p w:rsidR="00C74ADB" w:rsidRDefault="00C74ADB" w:rsidP="009E4205">
      <w:pPr>
        <w:pStyle w:val="Heading2"/>
        <w:rPr>
          <w:rFonts w:eastAsiaTheme="minorEastAsia"/>
          <w:lang w:val="en-US"/>
        </w:rPr>
      </w:pPr>
      <w:bookmarkStart w:id="10" w:name="_International_Review_of"/>
      <w:bookmarkEnd w:id="10"/>
      <w:r>
        <w:rPr>
          <w:rFonts w:eastAsiaTheme="minorEastAsia"/>
          <w:lang w:val="en-US"/>
        </w:rPr>
        <w:lastRenderedPageBreak/>
        <w:t>International Review of Children’s Heart Surgery</w:t>
      </w:r>
    </w:p>
    <w:p w:rsidR="00C74ADB" w:rsidRDefault="00C74ADB" w:rsidP="009E4205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Weir </w:t>
      </w:r>
      <w:r>
        <w:rPr>
          <w:lang w:val="en-US"/>
        </w:rPr>
        <w:t>asked the Minister of Health, Social Services and Public Safety to list the personnel appointed</w:t>
      </w:r>
      <w:r w:rsidR="009E4205">
        <w:rPr>
          <w:lang w:val="en-US"/>
        </w:rPr>
        <w:t xml:space="preserve"> </w:t>
      </w:r>
      <w:r>
        <w:rPr>
          <w:lang w:val="en-US"/>
        </w:rPr>
        <w:t>to the International Review of Children’s Heart Surgery.</w:t>
      </w:r>
    </w:p>
    <w:p w:rsidR="00C74ADB" w:rsidRDefault="00C74ADB" w:rsidP="009E4205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30470/11-15)</w:t>
      </w:r>
    </w:p>
    <w:p w:rsidR="00C74ADB" w:rsidRDefault="00C74ADB" w:rsidP="009E4205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C74ADB" w:rsidRDefault="00C74ADB" w:rsidP="009E4205">
      <w:pPr>
        <w:pStyle w:val="NICCYBodyText"/>
        <w:rPr>
          <w:lang w:val="en-US"/>
        </w:rPr>
      </w:pPr>
      <w:r w:rsidRPr="009E4205">
        <w:rPr>
          <w:rFonts w:ascii="ITCFranklinGothicDemi" w:hAnsi="ITCFranklinGothicDemi" w:cs="ITCFranklinGothicDemi"/>
          <w:b/>
          <w:lang w:val="en-US"/>
        </w:rPr>
        <w:t>Mr Poots</w:t>
      </w:r>
      <w:r>
        <w:rPr>
          <w:rFonts w:ascii="ITCFranklinGothicDemi" w:hAnsi="ITCFranklinGothicDemi" w:cs="ITCFranklinGothicDemi"/>
          <w:lang w:val="en-US"/>
        </w:rPr>
        <w:t xml:space="preserve">: </w:t>
      </w:r>
      <w:r>
        <w:rPr>
          <w:lang w:val="en-US"/>
        </w:rPr>
        <w:t>Three experts have been appointed to the Expert Group to carry out an Assessment of a</w:t>
      </w:r>
      <w:r w:rsidR="009E4205">
        <w:rPr>
          <w:lang w:val="en-US"/>
        </w:rPr>
        <w:t xml:space="preserve"> </w:t>
      </w:r>
      <w:r>
        <w:rPr>
          <w:lang w:val="en-US"/>
        </w:rPr>
        <w:t>potential all-island service for the future delivery of Congenital Cardiology and Cardiac Surgical services</w:t>
      </w:r>
      <w:r w:rsidR="009E4205">
        <w:rPr>
          <w:lang w:val="en-US"/>
        </w:rPr>
        <w:t xml:space="preserve"> </w:t>
      </w:r>
      <w:r>
        <w:rPr>
          <w:lang w:val="en-US"/>
        </w:rPr>
        <w:t>for both adults and children, recommending the most appropriate model that meets the population</w:t>
      </w:r>
      <w:r w:rsidR="009E4205">
        <w:rPr>
          <w:lang w:val="en-US"/>
        </w:rPr>
        <w:t xml:space="preserve"> </w:t>
      </w:r>
      <w:r>
        <w:rPr>
          <w:lang w:val="en-US"/>
        </w:rPr>
        <w:t>health needs and other requirements of both jurisdictions i.e. Northern Ireland and the Republic of</w:t>
      </w:r>
      <w:r w:rsidR="009E4205">
        <w:rPr>
          <w:lang w:val="en-US"/>
        </w:rPr>
        <w:t xml:space="preserve"> </w:t>
      </w:r>
      <w:r>
        <w:rPr>
          <w:lang w:val="en-US"/>
        </w:rPr>
        <w:t>Ireland. They are:</w:t>
      </w:r>
    </w:p>
    <w:p w:rsidR="00C74ADB" w:rsidRDefault="00C74ADB" w:rsidP="009E4205">
      <w:pPr>
        <w:pStyle w:val="NICCYBodyText"/>
        <w:rPr>
          <w:lang w:val="en-US"/>
        </w:rPr>
      </w:pPr>
    </w:p>
    <w:p w:rsidR="00C74ADB" w:rsidRPr="009E4205" w:rsidRDefault="00C74ADB" w:rsidP="009E4205">
      <w:pPr>
        <w:pStyle w:val="NICCYBodyText"/>
        <w:numPr>
          <w:ilvl w:val="0"/>
          <w:numId w:val="19"/>
        </w:numPr>
        <w:rPr>
          <w:lang w:val="en-US"/>
        </w:rPr>
      </w:pPr>
      <w:r w:rsidRPr="00FD0556">
        <w:rPr>
          <w:lang w:val="en-US"/>
        </w:rPr>
        <w:t>Dr John Mayer, Chair in Cardiovascular Studies at the Children’s Hospital, Boston (to chair the</w:t>
      </w:r>
      <w:r w:rsidR="009E4205">
        <w:rPr>
          <w:lang w:val="en-US"/>
        </w:rPr>
        <w:t xml:space="preserve"> </w:t>
      </w:r>
      <w:r w:rsidRPr="009E4205">
        <w:rPr>
          <w:lang w:val="en-US"/>
        </w:rPr>
        <w:t>Expert Group);</w:t>
      </w:r>
    </w:p>
    <w:p w:rsidR="00C74ADB" w:rsidRPr="00FD0556" w:rsidRDefault="00C74ADB" w:rsidP="009E4205">
      <w:pPr>
        <w:pStyle w:val="NICCYBodyText"/>
        <w:numPr>
          <w:ilvl w:val="0"/>
          <w:numId w:val="19"/>
        </w:numPr>
        <w:rPr>
          <w:lang w:val="en-US"/>
        </w:rPr>
      </w:pPr>
      <w:r w:rsidRPr="00FD0556">
        <w:rPr>
          <w:lang w:val="en-US"/>
        </w:rPr>
        <w:t>Dr Adrian Moran, Consultant Cardiologist from the Maine Medical Centre, USA, and fellow of the</w:t>
      </w:r>
      <w:r w:rsidR="00FD0556">
        <w:rPr>
          <w:lang w:val="en-US"/>
        </w:rPr>
        <w:t xml:space="preserve"> </w:t>
      </w:r>
      <w:r w:rsidRPr="00FD0556">
        <w:rPr>
          <w:lang w:val="en-US"/>
        </w:rPr>
        <w:t>American Academy of Paediatrics and the American College of Cardiology;</w:t>
      </w:r>
    </w:p>
    <w:p w:rsidR="00BE4944" w:rsidRPr="009E4205" w:rsidRDefault="00C74ADB" w:rsidP="009E4205">
      <w:pPr>
        <w:pStyle w:val="NICCYBodyText"/>
        <w:numPr>
          <w:ilvl w:val="0"/>
          <w:numId w:val="19"/>
        </w:numPr>
        <w:rPr>
          <w:lang w:val="en-US"/>
        </w:rPr>
      </w:pPr>
      <w:r w:rsidRPr="00FD0556">
        <w:rPr>
          <w:lang w:val="en-US"/>
        </w:rPr>
        <w:t>Dr John Sinclair, Consultant Paediatric Cardiac Anaesthetist and Intensivist at Yorkhill Children’s</w:t>
      </w:r>
      <w:r w:rsidR="009E4205">
        <w:rPr>
          <w:lang w:val="en-US"/>
        </w:rPr>
        <w:t xml:space="preserve"> </w:t>
      </w:r>
      <w:r w:rsidRPr="009E4205">
        <w:rPr>
          <w:lang w:val="en-US"/>
        </w:rPr>
        <w:t>Hospital, Glasgow.</w:t>
      </w:r>
    </w:p>
    <w:p w:rsidR="006127FB" w:rsidRDefault="006127FB" w:rsidP="009E4205">
      <w:pPr>
        <w:pStyle w:val="NICCYBodyText"/>
      </w:pPr>
    </w:p>
    <w:p w:rsidR="00FD0556" w:rsidRDefault="00FD0556" w:rsidP="009E4205">
      <w:pPr>
        <w:pStyle w:val="NICCYBodyText"/>
        <w:rPr>
          <w:lang w:val="en-US"/>
        </w:rPr>
      </w:pPr>
      <w:r>
        <w:rPr>
          <w:lang w:val="en-US"/>
        </w:rPr>
        <w:t>The Expert Group will be supported by specialist professional nursing representation and other</w:t>
      </w:r>
      <w:r w:rsidR="009E4205">
        <w:rPr>
          <w:lang w:val="en-US"/>
        </w:rPr>
        <w:t xml:space="preserve"> </w:t>
      </w:r>
      <w:r>
        <w:rPr>
          <w:lang w:val="en-US"/>
        </w:rPr>
        <w:t>expertise as required.</w:t>
      </w:r>
    </w:p>
    <w:p w:rsidR="009E4205" w:rsidRDefault="009E4205" w:rsidP="009E4205">
      <w:pPr>
        <w:pStyle w:val="NICCYBodyText"/>
        <w:rPr>
          <w:lang w:val="en-US"/>
        </w:rPr>
      </w:pPr>
    </w:p>
    <w:p w:rsidR="009E4205" w:rsidRPr="009E4205" w:rsidRDefault="00AA79C6" w:rsidP="009E4205">
      <w:pPr>
        <w:pStyle w:val="NICCYBodyText"/>
        <w:rPr>
          <w:lang w:val="en-US"/>
        </w:rPr>
      </w:pPr>
      <w:hyperlink w:anchor="_top" w:history="1">
        <w:r w:rsidR="009E4205" w:rsidRPr="00A92D13">
          <w:rPr>
            <w:rStyle w:val="Hyperlink"/>
          </w:rPr>
          <w:t>Back to Top</w:t>
        </w:r>
      </w:hyperlink>
    </w:p>
    <w:p w:rsidR="003D01E3" w:rsidRDefault="003D01E3" w:rsidP="009E4205">
      <w:pPr>
        <w:pStyle w:val="Heading2"/>
        <w:rPr>
          <w:rFonts w:eastAsiaTheme="minorEastAsia"/>
          <w:lang w:val="en-US"/>
        </w:rPr>
      </w:pPr>
      <w:bookmarkStart w:id="11" w:name="_Autistic_Spectrum_Disorder:"/>
      <w:bookmarkEnd w:id="11"/>
      <w:r>
        <w:rPr>
          <w:rFonts w:eastAsiaTheme="minorEastAsia"/>
          <w:lang w:val="en-US"/>
        </w:rPr>
        <w:t>Autistic Spectrum Disorder: Understanding the Needs of Children Northern Ireland</w:t>
      </w:r>
      <w:r w:rsidR="009E4205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Assessment</w:t>
      </w:r>
    </w:p>
    <w:p w:rsidR="003D01E3" w:rsidRDefault="003D01E3" w:rsidP="009E4205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McNarry </w:t>
      </w:r>
      <w:r>
        <w:rPr>
          <w:lang w:val="en-US"/>
        </w:rPr>
        <w:t>asked the Minister of Health, Social Services and Public Safety whether each child who is</w:t>
      </w:r>
      <w:r w:rsidR="009E4205">
        <w:rPr>
          <w:lang w:val="en-US"/>
        </w:rPr>
        <w:t xml:space="preserve"> </w:t>
      </w:r>
      <w:r>
        <w:rPr>
          <w:lang w:val="en-US"/>
        </w:rPr>
        <w:t>diagnosed with autistic spectrum disorder also has an Understanding the Needs of Children Northern</w:t>
      </w:r>
      <w:r w:rsidR="009E4205">
        <w:rPr>
          <w:lang w:val="en-US"/>
        </w:rPr>
        <w:t xml:space="preserve"> </w:t>
      </w:r>
      <w:r>
        <w:rPr>
          <w:lang w:val="en-US"/>
        </w:rPr>
        <w:t>Ireland assessment; and to detail give the number who have received each, broken down by Health and</w:t>
      </w:r>
      <w:r w:rsidR="009E4205">
        <w:rPr>
          <w:lang w:val="en-US"/>
        </w:rPr>
        <w:t xml:space="preserve"> </w:t>
      </w:r>
      <w:r>
        <w:rPr>
          <w:lang w:val="en-US"/>
        </w:rPr>
        <w:t>Social Care Trust.</w:t>
      </w:r>
    </w:p>
    <w:p w:rsidR="003D01E3" w:rsidRDefault="003D01E3" w:rsidP="009E4205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30667/11-15)</w:t>
      </w:r>
    </w:p>
    <w:p w:rsidR="003D01E3" w:rsidRDefault="003D01E3" w:rsidP="009E4205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3D01E3" w:rsidRDefault="003D01E3" w:rsidP="009E4205">
      <w:pPr>
        <w:pStyle w:val="NICCYBodyText"/>
        <w:rPr>
          <w:lang w:val="en-US"/>
        </w:rPr>
      </w:pPr>
      <w:r w:rsidRPr="009E4205">
        <w:rPr>
          <w:rFonts w:ascii="ITCFranklinGothicDemi" w:hAnsi="ITCFranklinGothicDemi" w:cs="ITCFranklinGothicDemi"/>
          <w:b/>
          <w:lang w:val="en-US"/>
        </w:rPr>
        <w:t>Mr Poots</w:t>
      </w:r>
      <w:r>
        <w:rPr>
          <w:rFonts w:ascii="ITCFranklinGothicDemi" w:hAnsi="ITCFranklinGothicDemi" w:cs="ITCFranklinGothicDemi"/>
          <w:lang w:val="en-US"/>
        </w:rPr>
        <w:t xml:space="preserve">: </w:t>
      </w:r>
      <w:r>
        <w:rPr>
          <w:lang w:val="en-US"/>
        </w:rPr>
        <w:t>The information requested is not readily available and could only be provided at</w:t>
      </w:r>
    </w:p>
    <w:p w:rsidR="00FD0556" w:rsidRDefault="003D01E3" w:rsidP="009E4205">
      <w:pPr>
        <w:pStyle w:val="NICCYBodyText"/>
        <w:rPr>
          <w:lang w:val="en-US"/>
        </w:rPr>
      </w:pPr>
      <w:r>
        <w:rPr>
          <w:lang w:val="en-US"/>
        </w:rPr>
        <w:t>disproportionate cost.</w:t>
      </w:r>
      <w:r w:rsidR="009E4205">
        <w:rPr>
          <w:lang w:val="en-US"/>
        </w:rPr>
        <w:br/>
      </w:r>
    </w:p>
    <w:p w:rsidR="009E4205" w:rsidRPr="009E4205" w:rsidRDefault="00AA79C6" w:rsidP="009E4205">
      <w:pPr>
        <w:pStyle w:val="NICCYBodyText"/>
        <w:rPr>
          <w:lang w:val="en-US"/>
        </w:rPr>
      </w:pPr>
      <w:hyperlink w:anchor="_top" w:history="1">
        <w:r w:rsidR="009E4205" w:rsidRPr="00A92D13">
          <w:rPr>
            <w:rStyle w:val="Hyperlink"/>
          </w:rPr>
          <w:t>Back to Top</w:t>
        </w:r>
      </w:hyperlink>
    </w:p>
    <w:p w:rsidR="00DA03B1" w:rsidRDefault="00DA03B1" w:rsidP="009E4205">
      <w:pPr>
        <w:pStyle w:val="Heading2"/>
        <w:rPr>
          <w:rFonts w:eastAsiaTheme="minorEastAsia"/>
          <w:lang w:val="en-US"/>
        </w:rPr>
      </w:pPr>
      <w:bookmarkStart w:id="12" w:name="_Protocol:_‘Meeting_the"/>
      <w:bookmarkEnd w:id="12"/>
      <w:r>
        <w:rPr>
          <w:rFonts w:eastAsiaTheme="minorEastAsia"/>
          <w:lang w:val="en-US"/>
        </w:rPr>
        <w:lastRenderedPageBreak/>
        <w:t>Protocol: ‘Meeting the Accommodation and Support Needs of 16-21 Year Olds’</w:t>
      </w:r>
    </w:p>
    <w:p w:rsidR="009E4205" w:rsidRDefault="00DA03B1" w:rsidP="009E4205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F McCann </w:t>
      </w:r>
      <w:r>
        <w:rPr>
          <w:lang w:val="en-US"/>
        </w:rPr>
        <w:t>asked the Minister of Health, Social Services and Public Safety to detail when the</w:t>
      </w:r>
      <w:r w:rsidR="009E4205">
        <w:rPr>
          <w:lang w:val="en-US"/>
        </w:rPr>
        <w:t xml:space="preserve"> </w:t>
      </w:r>
      <w:r>
        <w:rPr>
          <w:lang w:val="en-US"/>
        </w:rPr>
        <w:t xml:space="preserve">protocol ‘Meeting the accommodation and support needs of 16-21 year olds’ </w:t>
      </w:r>
    </w:p>
    <w:p w:rsidR="009E4205" w:rsidRDefault="00DA03B1" w:rsidP="009E4205">
      <w:pPr>
        <w:pStyle w:val="NICCYBodyText"/>
        <w:numPr>
          <w:ilvl w:val="0"/>
          <w:numId w:val="20"/>
        </w:numPr>
        <w:rPr>
          <w:lang w:val="en-US"/>
        </w:rPr>
      </w:pPr>
      <w:r>
        <w:rPr>
          <w:lang w:val="en-US"/>
        </w:rPr>
        <w:t>is to be formally</w:t>
      </w:r>
      <w:r w:rsidR="009E4205">
        <w:rPr>
          <w:lang w:val="en-US"/>
        </w:rPr>
        <w:t xml:space="preserve"> </w:t>
      </w:r>
      <w:r>
        <w:rPr>
          <w:lang w:val="en-US"/>
        </w:rPr>
        <w:t xml:space="preserve">released; and </w:t>
      </w:r>
    </w:p>
    <w:p w:rsidR="00DA03B1" w:rsidRDefault="00DA03B1" w:rsidP="009E4205">
      <w:pPr>
        <w:pStyle w:val="NICCYBodyText"/>
        <w:numPr>
          <w:ilvl w:val="0"/>
          <w:numId w:val="20"/>
        </w:numPr>
        <w:rPr>
          <w:lang w:val="en-US"/>
        </w:rPr>
      </w:pPr>
      <w:r>
        <w:rPr>
          <w:lang w:val="en-US"/>
        </w:rPr>
        <w:t>will become operational.</w:t>
      </w:r>
    </w:p>
    <w:p w:rsidR="00DA03B1" w:rsidRDefault="00DA03B1" w:rsidP="009E4205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30871/11-15)</w:t>
      </w:r>
    </w:p>
    <w:p w:rsidR="00DA03B1" w:rsidRDefault="00DA03B1" w:rsidP="009E4205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DA03B1" w:rsidRDefault="00DA03B1" w:rsidP="009E4205">
      <w:pPr>
        <w:pStyle w:val="NICCYBodyText"/>
        <w:rPr>
          <w:lang w:val="en-US"/>
        </w:rPr>
      </w:pPr>
      <w:r w:rsidRPr="009E4205">
        <w:rPr>
          <w:rFonts w:ascii="ITCFranklinGothicDemi" w:hAnsi="ITCFranklinGothicDemi" w:cs="ITCFranklinGothicDemi"/>
          <w:b/>
          <w:lang w:val="en-US"/>
        </w:rPr>
        <w:t>Mr Poots: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There are several documents under develo</w:t>
      </w:r>
      <w:r w:rsidR="009E4205">
        <w:rPr>
          <w:lang w:val="en-US"/>
        </w:rPr>
        <w:t xml:space="preserve">pment relating to this subject.  </w:t>
      </w:r>
      <w:r>
        <w:rPr>
          <w:lang w:val="en-US"/>
        </w:rPr>
        <w:t>It is assumed that</w:t>
      </w:r>
      <w:r w:rsidR="009E4205">
        <w:rPr>
          <w:lang w:val="en-US"/>
        </w:rPr>
        <w:t xml:space="preserve"> </w:t>
      </w:r>
      <w:r>
        <w:rPr>
          <w:lang w:val="en-US"/>
        </w:rPr>
        <w:t>the document referred to in this question relates to “Meeting the Accommodation and Support Needs</w:t>
      </w:r>
      <w:r w:rsidR="009E4205">
        <w:rPr>
          <w:lang w:val="en-US"/>
        </w:rPr>
        <w:t xml:space="preserve"> </w:t>
      </w:r>
      <w:r>
        <w:rPr>
          <w:lang w:val="en-US"/>
        </w:rPr>
        <w:t>of 16-21 year olds: Regional Good Practice Guidance Agreed by the Northern Ireland Housing Executive</w:t>
      </w:r>
      <w:r w:rsidR="009E4205">
        <w:rPr>
          <w:lang w:val="en-US"/>
        </w:rPr>
        <w:t xml:space="preserve"> </w:t>
      </w:r>
      <w:r>
        <w:rPr>
          <w:lang w:val="en-US"/>
        </w:rPr>
        <w:t>and Health and Social Care Trusts.”</w:t>
      </w:r>
    </w:p>
    <w:p w:rsidR="00DA03B1" w:rsidRDefault="00DA03B1" w:rsidP="009E4205">
      <w:pPr>
        <w:pStyle w:val="NICCYBodyText"/>
        <w:rPr>
          <w:lang w:val="en-US"/>
        </w:rPr>
      </w:pPr>
    </w:p>
    <w:p w:rsidR="00DA03B1" w:rsidRDefault="00DA03B1" w:rsidP="009E4205">
      <w:pPr>
        <w:pStyle w:val="NICCYBodyText"/>
        <w:rPr>
          <w:lang w:val="en-US"/>
        </w:rPr>
      </w:pPr>
      <w:r>
        <w:rPr>
          <w:lang w:val="en-US"/>
        </w:rPr>
        <w:t>This good practice Guidance is jointly owned by the Northern Ireland Housing Executive (NIHE) and</w:t>
      </w:r>
      <w:r w:rsidR="009E4205">
        <w:rPr>
          <w:lang w:val="en-US"/>
        </w:rPr>
        <w:t xml:space="preserve"> </w:t>
      </w:r>
      <w:r>
        <w:rPr>
          <w:lang w:val="en-US"/>
        </w:rPr>
        <w:t>the five Health a</w:t>
      </w:r>
      <w:r w:rsidR="009E4205">
        <w:rPr>
          <w:lang w:val="en-US"/>
        </w:rPr>
        <w:t xml:space="preserve">nd Social Care Trusts (Trusts).  </w:t>
      </w:r>
      <w:r>
        <w:rPr>
          <w:lang w:val="en-US"/>
        </w:rPr>
        <w:t>Its development has been facilitated by the Regional</w:t>
      </w:r>
      <w:r w:rsidR="009E4205">
        <w:rPr>
          <w:lang w:val="en-US"/>
        </w:rPr>
        <w:t xml:space="preserve"> </w:t>
      </w:r>
      <w:r>
        <w:rPr>
          <w:lang w:val="en-US"/>
        </w:rPr>
        <w:t>Health and Social Care Board (HSCB) with assistance from the Department of Justice and the Youth</w:t>
      </w:r>
      <w:r w:rsidR="009E4205">
        <w:rPr>
          <w:lang w:val="en-US"/>
        </w:rPr>
        <w:t xml:space="preserve"> </w:t>
      </w:r>
      <w:r>
        <w:rPr>
          <w:lang w:val="en-US"/>
        </w:rPr>
        <w:t>Justice Agency and is current</w:t>
      </w:r>
      <w:r w:rsidR="009E4205">
        <w:rPr>
          <w:lang w:val="en-US"/>
        </w:rPr>
        <w:t xml:space="preserve">ly in the final drafting stage.  </w:t>
      </w:r>
      <w:r>
        <w:rPr>
          <w:lang w:val="en-US"/>
        </w:rPr>
        <w:t>It should be noted that the draft Guidance,</w:t>
      </w:r>
      <w:r w:rsidR="009E4205">
        <w:rPr>
          <w:lang w:val="en-US"/>
        </w:rPr>
        <w:t xml:space="preserve"> </w:t>
      </w:r>
      <w:r>
        <w:rPr>
          <w:lang w:val="en-US"/>
        </w:rPr>
        <w:t>whilst not formally released, has be</w:t>
      </w:r>
      <w:r w:rsidR="009E4205">
        <w:rPr>
          <w:lang w:val="en-US"/>
        </w:rPr>
        <w:t xml:space="preserve">en a focus of recent workshops.  </w:t>
      </w:r>
      <w:r>
        <w:rPr>
          <w:lang w:val="en-US"/>
        </w:rPr>
        <w:t>I have been advised that the lead</w:t>
      </w:r>
      <w:r w:rsidR="009E4205">
        <w:rPr>
          <w:lang w:val="en-US"/>
        </w:rPr>
        <w:t xml:space="preserve"> </w:t>
      </w:r>
      <w:r>
        <w:rPr>
          <w:lang w:val="en-US"/>
        </w:rPr>
        <w:t>agencies, which have been fully involved in its development, are currently working to the spirit, intent</w:t>
      </w:r>
      <w:r w:rsidR="009E4205">
        <w:rPr>
          <w:lang w:val="en-US"/>
        </w:rPr>
        <w:t xml:space="preserve"> </w:t>
      </w:r>
      <w:r>
        <w:rPr>
          <w:lang w:val="en-US"/>
        </w:rPr>
        <w:t>and requirements of the Guidance.</w:t>
      </w:r>
    </w:p>
    <w:p w:rsidR="00DA03B1" w:rsidRDefault="00DA03B1" w:rsidP="009E4205">
      <w:pPr>
        <w:pStyle w:val="NICCYBodyText"/>
        <w:rPr>
          <w:lang w:val="en-US"/>
        </w:rPr>
      </w:pPr>
    </w:p>
    <w:p w:rsidR="00DA03B1" w:rsidRDefault="00DA03B1" w:rsidP="009E4205">
      <w:pPr>
        <w:pStyle w:val="NICCYBodyText"/>
        <w:rPr>
          <w:lang w:val="en-US"/>
        </w:rPr>
      </w:pPr>
      <w:r w:rsidRPr="007947AD">
        <w:rPr>
          <w:b/>
          <w:lang w:val="en-US"/>
        </w:rPr>
        <w:t>(i)</w:t>
      </w:r>
      <w:r>
        <w:rPr>
          <w:lang w:val="en-US"/>
        </w:rPr>
        <w:t xml:space="preserve"> The Guidance will be i</w:t>
      </w:r>
      <w:r w:rsidR="007947AD">
        <w:rPr>
          <w:lang w:val="en-US"/>
        </w:rPr>
        <w:t xml:space="preserve">ssued before the 30 April 2014.  </w:t>
      </w:r>
      <w:r>
        <w:rPr>
          <w:lang w:val="en-US"/>
        </w:rPr>
        <w:t>Prior to its release, the document will</w:t>
      </w:r>
      <w:r w:rsidR="007947AD">
        <w:rPr>
          <w:lang w:val="en-US"/>
        </w:rPr>
        <w:t xml:space="preserve"> </w:t>
      </w:r>
      <w:r>
        <w:rPr>
          <w:lang w:val="en-US"/>
        </w:rPr>
        <w:t>require formal endorsement and dissemination by the Trust Directors and the NIHE Chief</w:t>
      </w:r>
      <w:r w:rsidR="007947AD">
        <w:rPr>
          <w:lang w:val="en-US"/>
        </w:rPr>
        <w:t xml:space="preserve"> </w:t>
      </w:r>
      <w:r>
        <w:rPr>
          <w:lang w:val="en-US"/>
        </w:rPr>
        <w:t>Executive within their respective or</w:t>
      </w:r>
      <w:r w:rsidR="007947AD">
        <w:rPr>
          <w:lang w:val="en-US"/>
        </w:rPr>
        <w:t xml:space="preserve">ganisations for implementation.  </w:t>
      </w:r>
      <w:r>
        <w:rPr>
          <w:lang w:val="en-US"/>
        </w:rPr>
        <w:t>At the same time, the</w:t>
      </w:r>
      <w:r w:rsidR="007947AD">
        <w:rPr>
          <w:lang w:val="en-US"/>
        </w:rPr>
        <w:t xml:space="preserve"> </w:t>
      </w:r>
      <w:r>
        <w:rPr>
          <w:lang w:val="en-US"/>
        </w:rPr>
        <w:t>HSCB will formally issue the document to relevant voluntary and community organisations for</w:t>
      </w:r>
      <w:r w:rsidR="007947AD">
        <w:rPr>
          <w:lang w:val="en-US"/>
        </w:rPr>
        <w:t xml:space="preserve"> </w:t>
      </w:r>
      <w:r>
        <w:rPr>
          <w:lang w:val="en-US"/>
        </w:rPr>
        <w:t>information.</w:t>
      </w:r>
    </w:p>
    <w:p w:rsidR="007947AD" w:rsidRDefault="007947AD" w:rsidP="009E4205">
      <w:pPr>
        <w:pStyle w:val="NICCYBodyText"/>
        <w:rPr>
          <w:lang w:val="en-US"/>
        </w:rPr>
      </w:pPr>
    </w:p>
    <w:p w:rsidR="003D01E3" w:rsidRDefault="00DA03B1" w:rsidP="009E4205">
      <w:pPr>
        <w:pStyle w:val="NICCYBodyText"/>
        <w:rPr>
          <w:lang w:val="en-US"/>
        </w:rPr>
      </w:pPr>
      <w:r w:rsidRPr="007947AD">
        <w:rPr>
          <w:b/>
          <w:lang w:val="en-US"/>
        </w:rPr>
        <w:t>(ii)</w:t>
      </w:r>
      <w:r>
        <w:rPr>
          <w:lang w:val="en-US"/>
        </w:rPr>
        <w:t xml:space="preserve"> The Guidance will be operational from the point of issue and dissemination by the lead agencies.</w:t>
      </w:r>
      <w:r w:rsidR="007947AD">
        <w:rPr>
          <w:lang w:val="en-US"/>
        </w:rPr>
        <w:br/>
      </w:r>
    </w:p>
    <w:p w:rsidR="003D01E3" w:rsidRPr="007947AD" w:rsidRDefault="00AA79C6" w:rsidP="007947AD">
      <w:pPr>
        <w:pStyle w:val="NICCYBodyText"/>
        <w:rPr>
          <w:lang w:val="en-US"/>
        </w:rPr>
      </w:pPr>
      <w:hyperlink w:anchor="_top" w:history="1">
        <w:r w:rsidR="007947AD" w:rsidRPr="00A92D13">
          <w:rPr>
            <w:rStyle w:val="Hyperlink"/>
          </w:rPr>
          <w:t>Back to Top</w:t>
        </w:r>
      </w:hyperlink>
      <w:r w:rsidR="007947AD">
        <w:br/>
      </w:r>
    </w:p>
    <w:p w:rsidR="005B1107" w:rsidRDefault="005B1107" w:rsidP="007947AD">
      <w:pPr>
        <w:pStyle w:val="Heading2"/>
        <w:rPr>
          <w:rFonts w:eastAsiaTheme="minorEastAsia"/>
          <w:lang w:val="en-US"/>
        </w:rPr>
      </w:pPr>
      <w:bookmarkStart w:id="13" w:name="_Hydebank_Wood_Young"/>
      <w:bookmarkEnd w:id="13"/>
      <w:r>
        <w:rPr>
          <w:rFonts w:eastAsiaTheme="minorEastAsia"/>
          <w:lang w:val="en-US"/>
        </w:rPr>
        <w:lastRenderedPageBreak/>
        <w:t>Hydebank Wood Young Offenders Centre and Prison: Detention of Children</w:t>
      </w:r>
    </w:p>
    <w:p w:rsidR="005B1107" w:rsidRDefault="005B1107" w:rsidP="007947AD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McGlone </w:t>
      </w:r>
      <w:r>
        <w:rPr>
          <w:lang w:val="en-US"/>
        </w:rPr>
        <w:t>asked the Minister of Justice, given that the Youth Justice Review and the Prison Review</w:t>
      </w:r>
      <w:r w:rsidR="007947AD">
        <w:rPr>
          <w:lang w:val="en-US"/>
        </w:rPr>
        <w:t xml:space="preserve"> </w:t>
      </w:r>
      <w:r>
        <w:rPr>
          <w:lang w:val="en-US"/>
        </w:rPr>
        <w:t>commented on the unsuitability of Hydebank Wood Young Offenders Centre for the detention of</w:t>
      </w:r>
      <w:r w:rsidR="007947AD">
        <w:rPr>
          <w:lang w:val="en-US"/>
        </w:rPr>
        <w:t xml:space="preserve"> </w:t>
      </w:r>
      <w:r>
        <w:rPr>
          <w:lang w:val="en-US"/>
        </w:rPr>
        <w:t>children, whether his Department will bring forward legislation to permanently end the detention of</w:t>
      </w:r>
      <w:r w:rsidR="007947AD">
        <w:rPr>
          <w:lang w:val="en-US"/>
        </w:rPr>
        <w:t xml:space="preserve"> </w:t>
      </w:r>
      <w:r>
        <w:rPr>
          <w:lang w:val="en-US"/>
        </w:rPr>
        <w:t>children with adults in Hydebank Wood Young Offenders Centre in all circumstances; and if so, to</w:t>
      </w:r>
      <w:r w:rsidR="007947AD">
        <w:rPr>
          <w:lang w:val="en-US"/>
        </w:rPr>
        <w:t xml:space="preserve"> </w:t>
      </w:r>
      <w:r>
        <w:rPr>
          <w:lang w:val="en-US"/>
        </w:rPr>
        <w:t>outline the timeframe for this.</w:t>
      </w:r>
    </w:p>
    <w:p w:rsidR="005B1107" w:rsidRDefault="005B1107" w:rsidP="007947AD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30695/11-15)</w:t>
      </w:r>
    </w:p>
    <w:p w:rsidR="005B1107" w:rsidRDefault="005B1107" w:rsidP="007947AD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5B1107" w:rsidRDefault="005B1107" w:rsidP="007947AD">
      <w:pPr>
        <w:pStyle w:val="NICCYBodyText"/>
        <w:rPr>
          <w:lang w:val="en-US"/>
        </w:rPr>
      </w:pPr>
      <w:r w:rsidRPr="007947AD">
        <w:rPr>
          <w:rFonts w:ascii="ITCFranklinGothicDemi" w:hAnsi="ITCFranklinGothicDemi" w:cs="ITCFranklinGothicDemi"/>
          <w:b/>
          <w:lang w:val="en-US"/>
        </w:rPr>
        <w:t>Mr Ford: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On publication of the Youth Justice Review Implementation Plan, I gave a commitment to</w:t>
      </w:r>
      <w:r w:rsidR="007947AD">
        <w:rPr>
          <w:lang w:val="en-US"/>
        </w:rPr>
        <w:t xml:space="preserve"> </w:t>
      </w:r>
      <w:r>
        <w:rPr>
          <w:lang w:val="en-US"/>
        </w:rPr>
        <w:t>remove all children from custody at Hydebank Wood Young Offenders Centre and no child has been</w:t>
      </w:r>
      <w:r w:rsidR="007947AD">
        <w:rPr>
          <w:lang w:val="en-US"/>
        </w:rPr>
        <w:t xml:space="preserve"> held there since November 2012.  </w:t>
      </w:r>
      <w:r>
        <w:rPr>
          <w:lang w:val="en-US"/>
        </w:rPr>
        <w:t>Whilst this is currently being achieved by administrative means, I will</w:t>
      </w:r>
      <w:r w:rsidR="007947AD">
        <w:rPr>
          <w:lang w:val="en-US"/>
        </w:rPr>
        <w:t xml:space="preserve"> </w:t>
      </w:r>
      <w:r>
        <w:rPr>
          <w:lang w:val="en-US"/>
        </w:rPr>
        <w:t>be bringing forward legisl</w:t>
      </w:r>
      <w:r w:rsidR="007947AD">
        <w:rPr>
          <w:lang w:val="en-US"/>
        </w:rPr>
        <w:t xml:space="preserve">ation to underpin the position.  </w:t>
      </w:r>
      <w:r>
        <w:rPr>
          <w:lang w:val="en-US"/>
        </w:rPr>
        <w:t>A public consultation on this, and other aspects</w:t>
      </w:r>
      <w:r w:rsidR="007947AD">
        <w:rPr>
          <w:lang w:val="en-US"/>
        </w:rPr>
        <w:t xml:space="preserve"> </w:t>
      </w:r>
      <w:r>
        <w:rPr>
          <w:lang w:val="en-US"/>
        </w:rPr>
        <w:t>of custodial arrangements for children, has recently concluded and we are considering the responses</w:t>
      </w:r>
      <w:r w:rsidR="007947AD">
        <w:rPr>
          <w:lang w:val="en-US"/>
        </w:rPr>
        <w:t xml:space="preserve"> </w:t>
      </w:r>
      <w:r>
        <w:rPr>
          <w:lang w:val="en-US"/>
        </w:rPr>
        <w:t>with a view to making the necessary legislative amendments through the Fines and Enforcement Bill,</w:t>
      </w:r>
    </w:p>
    <w:p w:rsidR="005B1107" w:rsidRDefault="005B1107" w:rsidP="007947AD">
      <w:pPr>
        <w:pStyle w:val="NICCYBodyText"/>
      </w:pPr>
      <w:r>
        <w:rPr>
          <w:lang w:val="en-US"/>
        </w:rPr>
        <w:t>which is scheduled for introduction in the autumn.</w:t>
      </w:r>
    </w:p>
    <w:p w:rsidR="002B4C9F" w:rsidRDefault="002B4C9F" w:rsidP="003D01E3">
      <w:pPr>
        <w:autoSpaceDE w:val="0"/>
        <w:autoSpaceDN w:val="0"/>
        <w:adjustRightInd w:val="0"/>
        <w:spacing w:line="288" w:lineRule="auto"/>
      </w:pPr>
    </w:p>
    <w:p w:rsidR="00D97231" w:rsidRPr="006F3A42" w:rsidRDefault="00AA79C6" w:rsidP="00883F0E">
      <w:pPr>
        <w:autoSpaceDE w:val="0"/>
        <w:autoSpaceDN w:val="0"/>
        <w:adjustRightInd w:val="0"/>
        <w:spacing w:line="288" w:lineRule="auto"/>
      </w:pPr>
      <w:hyperlink w:anchor="_top" w:history="1">
        <w:r w:rsidR="00883F0E" w:rsidRPr="00A92D13">
          <w:rPr>
            <w:rStyle w:val="Hyperlink"/>
          </w:rPr>
          <w:t>Back to Top</w:t>
        </w:r>
      </w:hyperlink>
    </w:p>
    <w:sectPr w:rsidR="00D97231" w:rsidRPr="006F3A42" w:rsidSect="002B54AF">
      <w:headerReference w:type="default" r:id="rId10"/>
      <w:footerReference w:type="even" r:id="rId11"/>
      <w:footerReference w:type="default" r:id="rId12"/>
      <w:pgSz w:w="11900" w:h="16840"/>
      <w:pgMar w:top="2835" w:right="1134" w:bottom="2041" w:left="1134" w:header="39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95" w:rsidRDefault="00FC3B95" w:rsidP="00CC53D4">
      <w:r>
        <w:separator/>
      </w:r>
    </w:p>
  </w:endnote>
  <w:endnote w:type="continuationSeparator" w:id="0">
    <w:p w:rsidR="00FC3B95" w:rsidRDefault="00FC3B95" w:rsidP="00CC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FranklinGothic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Book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12" w:rsidRDefault="00AA79C6" w:rsidP="00CC53D4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702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0212" w:rsidRDefault="00370212" w:rsidP="00CC53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12" w:rsidRPr="00D81956" w:rsidRDefault="00AA79C6" w:rsidP="00CC53D4">
    <w:pPr>
      <w:pStyle w:val="Footer"/>
      <w:rPr>
        <w:rStyle w:val="PageNumber"/>
        <w:rFonts w:ascii="Arial" w:hAnsi="Arial" w:cs="Arial"/>
        <w:sz w:val="16"/>
        <w:szCs w:val="16"/>
      </w:rPr>
    </w:pPr>
    <w:r w:rsidRPr="00D81956">
      <w:rPr>
        <w:rStyle w:val="PageNumber"/>
        <w:rFonts w:ascii="Arial" w:hAnsi="Arial" w:cs="Arial"/>
        <w:sz w:val="16"/>
        <w:szCs w:val="16"/>
      </w:rPr>
      <w:fldChar w:fldCharType="begin"/>
    </w:r>
    <w:r w:rsidR="00370212" w:rsidRPr="00D8195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81956">
      <w:rPr>
        <w:rStyle w:val="PageNumber"/>
        <w:rFonts w:ascii="Arial" w:hAnsi="Arial" w:cs="Arial"/>
        <w:sz w:val="16"/>
        <w:szCs w:val="16"/>
      </w:rPr>
      <w:fldChar w:fldCharType="separate"/>
    </w:r>
    <w:r w:rsidR="009C7EAD">
      <w:rPr>
        <w:rStyle w:val="PageNumber"/>
        <w:rFonts w:ascii="Arial" w:hAnsi="Arial" w:cs="Arial"/>
        <w:noProof/>
        <w:sz w:val="16"/>
        <w:szCs w:val="16"/>
      </w:rPr>
      <w:t>1</w:t>
    </w:r>
    <w:r w:rsidRPr="00D81956">
      <w:rPr>
        <w:rStyle w:val="PageNumber"/>
        <w:rFonts w:ascii="Arial" w:hAnsi="Arial" w:cs="Arial"/>
        <w:sz w:val="16"/>
        <w:szCs w:val="16"/>
      </w:rPr>
      <w:fldChar w:fldCharType="end"/>
    </w:r>
  </w:p>
  <w:p w:rsidR="00370212" w:rsidRPr="00D81956" w:rsidRDefault="00370212" w:rsidP="00CC53D4">
    <w:pPr>
      <w:pStyle w:val="Footer"/>
    </w:pPr>
    <w:r>
      <w:t xml:space="preserve"> </w:t>
    </w:r>
    <w:r w:rsidR="00AA79C6">
      <w:rPr>
        <w:noProof/>
      </w:rPr>
      <w:pict>
        <v:group id="Group 10" o:spid="_x0000_s2049" style="position:absolute;margin-left:-71.95pt;margin-top:-26.9pt;width:595.25pt;height:5.45pt;z-index:251663360;mso-position-horizontal-relative:text;mso-position-vertical-relative:text" coordsize="8548079,136769" wrapcoords="-27 0 -27 18514 21600 18514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">
          <v:rect id="Rectangle 11" o:spid="_x0000_s2050" style="position:absolute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GzUwgAA&#10;ANsAAAAPAAAAZHJzL2Rvd25yZXYueG1sRE9Ni8IwEL0v+B/CCF5EU7sgUo1iXRa8eNBdUW9DM7bF&#10;ZlKbqN1/bwRhb/N4nzNbtKYSd2pcaVnBaBiBIM6sLjlX8PvzPZiAcB5ZY2WZFPyRg8W88zHDRNsH&#10;b+m+87kIIewSVFB4XydSuqwgg25oa+LAnW1j0AfY5FI3+AjhppJxFI2lwZJDQ4E1rQrKLrubUbAf&#10;13a/PVSrTVp+pafPY9xPr7FSvW67nILw1Pp/8du91mH+CF6/hAP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IbNTCAAAA2wAAAA8AAAAAAAAAAAAAAAAAlwIAAGRycy9kb3du&#10;cmV2LnhtbFBLBQYAAAAABAAEAPUAAACGAwAAAAA=&#10;" fillcolor="#008aca" stroked="f">
            <v:textbox style="mso-next-textbox:#Rectangle 11">
              <w:txbxContent>
                <w:p w:rsidR="00370212" w:rsidRDefault="00370212" w:rsidP="00CC53D4"/>
              </w:txbxContent>
            </v:textbox>
          </v:rect>
          <v:rect id="Rectangle 12" o:spid="_x0000_s2051" style="position:absolute;left:1709616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+QpwQAA&#10;ANsAAAAPAAAAZHJzL2Rvd25yZXYueG1sRE/NisIwEL4L+w5hFvam6XpQqUYpLoLuRfx5gLEZ22Iz&#10;KU1qs/v0RhC8zcf3O4tVMLW4U+sqywq+RwkI4tzqigsF59NmOAPhPLLG2jIp+CMHq+XHYIGptj0f&#10;6H70hYgh7FJUUHrfpFK6vCSDbmQb4shdbWvQR9gWUrfYx3BTy3GSTKTBimNDiQ2tS8pvx84o2O3d&#10;f5dN+8tl+jPpfrss7HdVUOrrM2RzEJ6Cf4tf7q2O88fw/CU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J/kKcEAAADbAAAADwAAAAAAAAAAAAAAAACXAgAAZHJzL2Rvd25y&#10;ZXYueG1sUEsFBgAAAAAEAAQA9QAAAIUDAAAAAA==&#10;" fillcolor="#cc006a" stroked="f">
            <v:textbox style="mso-next-textbox:#Rectangle 12">
              <w:txbxContent>
                <w:p w:rsidR="00370212" w:rsidRDefault="00370212" w:rsidP="00CC53D4"/>
              </w:txbxContent>
            </v:textbox>
          </v:rect>
          <v:rect id="Rectangle 13" o:spid="_x0000_s2052" style="position:absolute;left:3419231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CoWDxQAA&#10;ANsAAAAPAAAAZHJzL2Rvd25yZXYueG1sRI9Ba8JAEIXvgv9hGcGL1E0VtKSuIrbBnixV8Txkp0kw&#10;O5vurib213cLgrcZ3vvevFmsOlOLKzlfWVbwPE5AEOdWV1woOB6ypxcQPiBrrC2Tght5WC37vQWm&#10;2rb8Rdd9KEQMYZ+igjKEJpXS5yUZ9GPbEEft2zqDIa6ukNphG8NNLSdJMpMGK44XSmxoU1J+3l9M&#10;rHHK/PvaFWE7+pnnu8/ZWzZqf5UaDrr1K4hAXXiY7/SHjtwU/n+JA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KhYPFAAAA2wAAAA8AAAAAAAAAAAAAAAAAlwIAAGRycy9k&#10;b3ducmV2LnhtbFBLBQYAAAAABAAEAPUAAACJAwAAAAA=&#10;" fillcolor="#de6021" stroked="f">
            <v:textbox style="mso-next-textbox:#Rectangle 13">
              <w:txbxContent>
                <w:p w:rsidR="00370212" w:rsidRDefault="00370212" w:rsidP="00CC53D4"/>
              </w:txbxContent>
            </v:textbox>
          </v:rect>
          <v:rect id="Rectangle 14" o:spid="_x0000_s2053" style="position:absolute;left:5128847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HdpIwgAA&#10;ANsAAAAPAAAAZHJzL2Rvd25yZXYueG1sRE9LawIxEL4X+h/CCL3VrFJEVqMsFmkPRfHV9jhsppvg&#10;ZrJuUl3/fVMQvM3H95zpvHO1OFMbrGcFg34Ggrj02nKlYL9bPo9BhIissfZMCq4UYD57fJhirv2F&#10;N3TexkqkEA45KjAxNrmUoTTkMPR9Q5y4H986jAm2ldQtXlK4q+Uwy0bSoeXUYLChhaHyuP11Cmhn&#10;v+rvw9quhifzpl8/ik/MCqWeel0xARGpi3fxzf2u0/wX+P8lHS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d2kjCAAAA2wAAAA8AAAAAAAAAAAAAAAAAlwIAAGRycy9kb3du&#10;cmV2LnhtbFBLBQYAAAAABAAEAPUAAACGAwAAAAA=&#10;" fillcolor="#5cac34" stroked="f">
            <v:textbox style="mso-next-textbox:#Rectangle 14">
              <w:txbxContent>
                <w:p w:rsidR="00370212" w:rsidRDefault="00370212" w:rsidP="00CC53D4"/>
              </w:txbxContent>
            </v:textbox>
          </v:rect>
          <v:rect id="Rectangle 15" o:spid="_x0000_s2054" style="position:absolute;left:6838463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cM7vwAA&#10;ANsAAAAPAAAAZHJzL2Rvd25yZXYueG1sRE9Ni8IwEL0L/ocwgjdN3aJI17SIsOBFxKoHb0Mz23a3&#10;mZQmav33RhC8zeN9zirrTSNu1LnasoLZNAJBXFhdc6ngdPyZLEE4j6yxsUwKHuQgS4eDFSba3vlA&#10;t9yXIoSwS1BB5X2bSOmKigy6qW2JA/drO4M+wK6UusN7CDeN/IqihTRYc2iosKVNRcV/fjUK4rO5&#10;UHPd5SZ+LEt0+1iv/1ip8ahff4Pw1PuP+O3e6jB/Dq9fwgEyf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sJwzu/AAAA2wAAAA8AAAAAAAAAAAAAAAAAlwIAAGRycy9kb3ducmV2&#10;LnhtbFBLBQYAAAAABAAEAPUAAACDAwAAAAA=&#10;" fillcolor="#cd0920" stroked="f">
            <v:textbox style="mso-next-textbox:#Rectangle 15">
              <w:txbxContent>
                <w:p w:rsidR="00370212" w:rsidRDefault="00370212" w:rsidP="00CC53D4"/>
              </w:txbxContent>
            </v:textbox>
          </v:rect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95" w:rsidRDefault="00FC3B95" w:rsidP="00CC53D4">
      <w:r>
        <w:separator/>
      </w:r>
    </w:p>
  </w:footnote>
  <w:footnote w:type="continuationSeparator" w:id="0">
    <w:p w:rsidR="00FC3B95" w:rsidRDefault="00FC3B95" w:rsidP="00CC5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/>
    </w:tblPr>
    <w:tblGrid>
      <w:gridCol w:w="5027"/>
      <w:gridCol w:w="4855"/>
    </w:tblGrid>
    <w:tr w:rsidR="00370212" w:rsidTr="000D52AB">
      <w:tc>
        <w:tcPr>
          <w:tcW w:w="5027" w:type="dxa"/>
          <w:shd w:val="clear" w:color="auto" w:fill="auto"/>
        </w:tcPr>
        <w:p w:rsidR="00370212" w:rsidRDefault="00370212" w:rsidP="00CC53D4">
          <w:pPr>
            <w:pStyle w:val="CompanyName"/>
          </w:pPr>
        </w:p>
      </w:tc>
      <w:tc>
        <w:tcPr>
          <w:tcW w:w="4855" w:type="dxa"/>
          <w:shd w:val="clear" w:color="auto" w:fill="auto"/>
        </w:tcPr>
        <w:p w:rsidR="00370212" w:rsidRDefault="00370212" w:rsidP="00CC53D4">
          <w:pPr>
            <w:pStyle w:val="CompanyName"/>
          </w:pPr>
        </w:p>
      </w:tc>
    </w:tr>
  </w:tbl>
  <w:p w:rsidR="00370212" w:rsidRDefault="00370212" w:rsidP="00CC53D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4639945</wp:posOffset>
          </wp:positionH>
          <wp:positionV relativeFrom="paragraph">
            <wp:posOffset>190500</wp:posOffset>
          </wp:positionV>
          <wp:extent cx="1536700" cy="635000"/>
          <wp:effectExtent l="0" t="0" r="12700" b="0"/>
          <wp:wrapTight wrapText="bothSides">
            <wp:wrapPolygon edited="0">
              <wp:start x="0" y="0"/>
              <wp:lineTo x="0" y="20736"/>
              <wp:lineTo x="20350" y="20736"/>
              <wp:lineTo x="21421" y="12096"/>
              <wp:lineTo x="2142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ED"/>
    <w:multiLevelType w:val="hybridMultilevel"/>
    <w:tmpl w:val="AD4A7CA8"/>
    <w:lvl w:ilvl="0" w:tplc="9FBA31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21E53"/>
    <w:multiLevelType w:val="hybridMultilevel"/>
    <w:tmpl w:val="4764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1207"/>
    <w:multiLevelType w:val="hybridMultilevel"/>
    <w:tmpl w:val="A90497D2"/>
    <w:lvl w:ilvl="0" w:tplc="B148AD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56D8"/>
    <w:multiLevelType w:val="hybridMultilevel"/>
    <w:tmpl w:val="7EE2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71A62"/>
    <w:multiLevelType w:val="hybridMultilevel"/>
    <w:tmpl w:val="9ABA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96177"/>
    <w:multiLevelType w:val="hybridMultilevel"/>
    <w:tmpl w:val="2454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5B0D"/>
    <w:multiLevelType w:val="hybridMultilevel"/>
    <w:tmpl w:val="0568C250"/>
    <w:lvl w:ilvl="0" w:tplc="63448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16421"/>
    <w:multiLevelType w:val="hybridMultilevel"/>
    <w:tmpl w:val="3BBE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327E0"/>
    <w:multiLevelType w:val="hybridMultilevel"/>
    <w:tmpl w:val="E4947E6A"/>
    <w:lvl w:ilvl="0" w:tplc="5E9A9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14802"/>
    <w:multiLevelType w:val="hybridMultilevel"/>
    <w:tmpl w:val="59A2189C"/>
    <w:lvl w:ilvl="0" w:tplc="63C88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473A4"/>
    <w:multiLevelType w:val="hybridMultilevel"/>
    <w:tmpl w:val="CE38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0360D"/>
    <w:multiLevelType w:val="hybridMultilevel"/>
    <w:tmpl w:val="FBDCCEC0"/>
    <w:lvl w:ilvl="0" w:tplc="2D66F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636E"/>
    <w:multiLevelType w:val="hybridMultilevel"/>
    <w:tmpl w:val="03761006"/>
    <w:lvl w:ilvl="0" w:tplc="6194D5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1ED5"/>
    <w:multiLevelType w:val="hybridMultilevel"/>
    <w:tmpl w:val="1B0C17BC"/>
    <w:lvl w:ilvl="0" w:tplc="B81C7B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1777A"/>
    <w:multiLevelType w:val="hybridMultilevel"/>
    <w:tmpl w:val="FF6A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47755"/>
    <w:multiLevelType w:val="hybridMultilevel"/>
    <w:tmpl w:val="97A4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303AB"/>
    <w:multiLevelType w:val="hybridMultilevel"/>
    <w:tmpl w:val="C242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661CB"/>
    <w:multiLevelType w:val="hybridMultilevel"/>
    <w:tmpl w:val="5C84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9235F"/>
    <w:multiLevelType w:val="hybridMultilevel"/>
    <w:tmpl w:val="5CF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1564B"/>
    <w:multiLevelType w:val="hybridMultilevel"/>
    <w:tmpl w:val="92AECB44"/>
    <w:lvl w:ilvl="0" w:tplc="27706CC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2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19"/>
  </w:num>
  <w:num w:numId="11">
    <w:abstractNumId w:val="10"/>
  </w:num>
  <w:num w:numId="12">
    <w:abstractNumId w:val="1"/>
  </w:num>
  <w:num w:numId="13">
    <w:abstractNumId w:val="2"/>
  </w:num>
  <w:num w:numId="14">
    <w:abstractNumId w:val="11"/>
  </w:num>
  <w:num w:numId="15">
    <w:abstractNumId w:val="15"/>
  </w:num>
  <w:num w:numId="16">
    <w:abstractNumId w:val="4"/>
  </w:num>
  <w:num w:numId="17">
    <w:abstractNumId w:val="3"/>
  </w:num>
  <w:num w:numId="18">
    <w:abstractNumId w:val="0"/>
  </w:num>
  <w:num w:numId="19">
    <w:abstractNumId w:val="5"/>
  </w:num>
  <w:num w:numId="20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B30"/>
    <w:rsid w:val="000211FE"/>
    <w:rsid w:val="000234A1"/>
    <w:rsid w:val="000444A3"/>
    <w:rsid w:val="00044D88"/>
    <w:rsid w:val="00055EA0"/>
    <w:rsid w:val="000837F5"/>
    <w:rsid w:val="00093189"/>
    <w:rsid w:val="000D2AEB"/>
    <w:rsid w:val="000D52AB"/>
    <w:rsid w:val="000E3D86"/>
    <w:rsid w:val="000F1CDD"/>
    <w:rsid w:val="000F7DDE"/>
    <w:rsid w:val="00110962"/>
    <w:rsid w:val="0011386A"/>
    <w:rsid w:val="00115282"/>
    <w:rsid w:val="001324EB"/>
    <w:rsid w:val="00133E56"/>
    <w:rsid w:val="00135AEE"/>
    <w:rsid w:val="00136B0B"/>
    <w:rsid w:val="00140FB5"/>
    <w:rsid w:val="00142718"/>
    <w:rsid w:val="00155105"/>
    <w:rsid w:val="00156DAF"/>
    <w:rsid w:val="00162F1C"/>
    <w:rsid w:val="0017007C"/>
    <w:rsid w:val="00177FC5"/>
    <w:rsid w:val="00190478"/>
    <w:rsid w:val="001911A0"/>
    <w:rsid w:val="001936E2"/>
    <w:rsid w:val="001E0551"/>
    <w:rsid w:val="001F008E"/>
    <w:rsid w:val="00222A16"/>
    <w:rsid w:val="002411E9"/>
    <w:rsid w:val="00245FC8"/>
    <w:rsid w:val="00252BCB"/>
    <w:rsid w:val="00253DF5"/>
    <w:rsid w:val="00257738"/>
    <w:rsid w:val="00266801"/>
    <w:rsid w:val="002721BD"/>
    <w:rsid w:val="00280C3B"/>
    <w:rsid w:val="00283DC8"/>
    <w:rsid w:val="002A3F21"/>
    <w:rsid w:val="002B4C9F"/>
    <w:rsid w:val="002B54AF"/>
    <w:rsid w:val="002D63CA"/>
    <w:rsid w:val="002E1D4A"/>
    <w:rsid w:val="002F37EE"/>
    <w:rsid w:val="00311BBE"/>
    <w:rsid w:val="00327C24"/>
    <w:rsid w:val="003313EA"/>
    <w:rsid w:val="00342A06"/>
    <w:rsid w:val="003505C8"/>
    <w:rsid w:val="00360609"/>
    <w:rsid w:val="00370212"/>
    <w:rsid w:val="003708B8"/>
    <w:rsid w:val="00382E2D"/>
    <w:rsid w:val="00394F1A"/>
    <w:rsid w:val="003B0C0B"/>
    <w:rsid w:val="003B34CD"/>
    <w:rsid w:val="003B38FB"/>
    <w:rsid w:val="003D01E3"/>
    <w:rsid w:val="003E6232"/>
    <w:rsid w:val="003F5501"/>
    <w:rsid w:val="00410724"/>
    <w:rsid w:val="00432B30"/>
    <w:rsid w:val="00451456"/>
    <w:rsid w:val="00483941"/>
    <w:rsid w:val="00486653"/>
    <w:rsid w:val="00494024"/>
    <w:rsid w:val="004B7D02"/>
    <w:rsid w:val="004C026E"/>
    <w:rsid w:val="004E3955"/>
    <w:rsid w:val="004F785C"/>
    <w:rsid w:val="0050043B"/>
    <w:rsid w:val="00502CBF"/>
    <w:rsid w:val="0052135F"/>
    <w:rsid w:val="00522437"/>
    <w:rsid w:val="00534EB5"/>
    <w:rsid w:val="00542EC1"/>
    <w:rsid w:val="005525FB"/>
    <w:rsid w:val="00560EC9"/>
    <w:rsid w:val="00594766"/>
    <w:rsid w:val="00596D71"/>
    <w:rsid w:val="005B1107"/>
    <w:rsid w:val="005C465F"/>
    <w:rsid w:val="005C4D0D"/>
    <w:rsid w:val="005D2D33"/>
    <w:rsid w:val="005E49ED"/>
    <w:rsid w:val="005F4C21"/>
    <w:rsid w:val="006013F5"/>
    <w:rsid w:val="006127FB"/>
    <w:rsid w:val="006240F5"/>
    <w:rsid w:val="0062524B"/>
    <w:rsid w:val="006373CF"/>
    <w:rsid w:val="00655558"/>
    <w:rsid w:val="006608EA"/>
    <w:rsid w:val="006754C4"/>
    <w:rsid w:val="00676A55"/>
    <w:rsid w:val="006A5470"/>
    <w:rsid w:val="006B22BB"/>
    <w:rsid w:val="006B33DC"/>
    <w:rsid w:val="006B7F4A"/>
    <w:rsid w:val="006C3DFB"/>
    <w:rsid w:val="006D395F"/>
    <w:rsid w:val="006E5A88"/>
    <w:rsid w:val="006E6E52"/>
    <w:rsid w:val="006F3562"/>
    <w:rsid w:val="006F3A42"/>
    <w:rsid w:val="006F3F8A"/>
    <w:rsid w:val="006F5620"/>
    <w:rsid w:val="006F77CB"/>
    <w:rsid w:val="0070315A"/>
    <w:rsid w:val="007035A8"/>
    <w:rsid w:val="00705080"/>
    <w:rsid w:val="0070635F"/>
    <w:rsid w:val="0070725E"/>
    <w:rsid w:val="00712D51"/>
    <w:rsid w:val="00727D62"/>
    <w:rsid w:val="007401AD"/>
    <w:rsid w:val="00741670"/>
    <w:rsid w:val="00751ADC"/>
    <w:rsid w:val="0076185E"/>
    <w:rsid w:val="00764644"/>
    <w:rsid w:val="00773FE9"/>
    <w:rsid w:val="007902A6"/>
    <w:rsid w:val="007910C9"/>
    <w:rsid w:val="007915E7"/>
    <w:rsid w:val="007947AD"/>
    <w:rsid w:val="007A5E2D"/>
    <w:rsid w:val="007B6113"/>
    <w:rsid w:val="007C339F"/>
    <w:rsid w:val="007C6010"/>
    <w:rsid w:val="007D1642"/>
    <w:rsid w:val="008131FD"/>
    <w:rsid w:val="00815A2F"/>
    <w:rsid w:val="00831BDB"/>
    <w:rsid w:val="008654D4"/>
    <w:rsid w:val="00873EBD"/>
    <w:rsid w:val="00874602"/>
    <w:rsid w:val="008822D4"/>
    <w:rsid w:val="00883F0E"/>
    <w:rsid w:val="008860ED"/>
    <w:rsid w:val="00894865"/>
    <w:rsid w:val="008A31A5"/>
    <w:rsid w:val="008A32FE"/>
    <w:rsid w:val="008A6859"/>
    <w:rsid w:val="008B4F31"/>
    <w:rsid w:val="008E3945"/>
    <w:rsid w:val="008F3863"/>
    <w:rsid w:val="008F7CA7"/>
    <w:rsid w:val="009108C4"/>
    <w:rsid w:val="009513FD"/>
    <w:rsid w:val="00951984"/>
    <w:rsid w:val="00955B1B"/>
    <w:rsid w:val="009675A2"/>
    <w:rsid w:val="00971DFA"/>
    <w:rsid w:val="00997DF0"/>
    <w:rsid w:val="009A5DED"/>
    <w:rsid w:val="009A721A"/>
    <w:rsid w:val="009B7234"/>
    <w:rsid w:val="009C59C9"/>
    <w:rsid w:val="009C7EAD"/>
    <w:rsid w:val="009D0054"/>
    <w:rsid w:val="009D7DCD"/>
    <w:rsid w:val="009E4205"/>
    <w:rsid w:val="009E54FC"/>
    <w:rsid w:val="009E6D40"/>
    <w:rsid w:val="00A03AF5"/>
    <w:rsid w:val="00A17E57"/>
    <w:rsid w:val="00A206DA"/>
    <w:rsid w:val="00A361B1"/>
    <w:rsid w:val="00A468ED"/>
    <w:rsid w:val="00A57C15"/>
    <w:rsid w:val="00A66FCA"/>
    <w:rsid w:val="00A80E8D"/>
    <w:rsid w:val="00A870AC"/>
    <w:rsid w:val="00A92D13"/>
    <w:rsid w:val="00A971BA"/>
    <w:rsid w:val="00AA2943"/>
    <w:rsid w:val="00AA79C6"/>
    <w:rsid w:val="00AC7EF9"/>
    <w:rsid w:val="00AD6E4D"/>
    <w:rsid w:val="00AF1137"/>
    <w:rsid w:val="00B04461"/>
    <w:rsid w:val="00B23B32"/>
    <w:rsid w:val="00B356B1"/>
    <w:rsid w:val="00B41B46"/>
    <w:rsid w:val="00B51076"/>
    <w:rsid w:val="00B5127A"/>
    <w:rsid w:val="00B5656D"/>
    <w:rsid w:val="00B5740E"/>
    <w:rsid w:val="00B63A85"/>
    <w:rsid w:val="00B906EB"/>
    <w:rsid w:val="00BA2319"/>
    <w:rsid w:val="00BA52E3"/>
    <w:rsid w:val="00BB3142"/>
    <w:rsid w:val="00BB603F"/>
    <w:rsid w:val="00BD589F"/>
    <w:rsid w:val="00BE13B4"/>
    <w:rsid w:val="00BE4944"/>
    <w:rsid w:val="00C0081D"/>
    <w:rsid w:val="00C06BD6"/>
    <w:rsid w:val="00C24F32"/>
    <w:rsid w:val="00C31FED"/>
    <w:rsid w:val="00C67A2B"/>
    <w:rsid w:val="00C749C1"/>
    <w:rsid w:val="00C74ADB"/>
    <w:rsid w:val="00CA27CA"/>
    <w:rsid w:val="00CC2DCC"/>
    <w:rsid w:val="00CC488F"/>
    <w:rsid w:val="00CC53D4"/>
    <w:rsid w:val="00CC7A32"/>
    <w:rsid w:val="00CE176D"/>
    <w:rsid w:val="00CE29B6"/>
    <w:rsid w:val="00CF0D19"/>
    <w:rsid w:val="00CF702F"/>
    <w:rsid w:val="00D01C7F"/>
    <w:rsid w:val="00D13D8B"/>
    <w:rsid w:val="00D26C7C"/>
    <w:rsid w:val="00D366DD"/>
    <w:rsid w:val="00D64233"/>
    <w:rsid w:val="00D65745"/>
    <w:rsid w:val="00D72A9F"/>
    <w:rsid w:val="00D81956"/>
    <w:rsid w:val="00D83956"/>
    <w:rsid w:val="00D94E0A"/>
    <w:rsid w:val="00D97231"/>
    <w:rsid w:val="00DA03B1"/>
    <w:rsid w:val="00DB2477"/>
    <w:rsid w:val="00DB56DD"/>
    <w:rsid w:val="00DB7E5C"/>
    <w:rsid w:val="00DC2FE2"/>
    <w:rsid w:val="00DC417B"/>
    <w:rsid w:val="00DD4FEF"/>
    <w:rsid w:val="00E03CDC"/>
    <w:rsid w:val="00E16583"/>
    <w:rsid w:val="00E347A1"/>
    <w:rsid w:val="00E41050"/>
    <w:rsid w:val="00E44493"/>
    <w:rsid w:val="00E62C60"/>
    <w:rsid w:val="00E65508"/>
    <w:rsid w:val="00E84CEC"/>
    <w:rsid w:val="00E85371"/>
    <w:rsid w:val="00EA55B7"/>
    <w:rsid w:val="00EA62B6"/>
    <w:rsid w:val="00EB0A62"/>
    <w:rsid w:val="00EB7847"/>
    <w:rsid w:val="00EE20AD"/>
    <w:rsid w:val="00EE7908"/>
    <w:rsid w:val="00EF5E54"/>
    <w:rsid w:val="00EF62E7"/>
    <w:rsid w:val="00F231CF"/>
    <w:rsid w:val="00F255DF"/>
    <w:rsid w:val="00F2595C"/>
    <w:rsid w:val="00F334D8"/>
    <w:rsid w:val="00F3674D"/>
    <w:rsid w:val="00F6320A"/>
    <w:rsid w:val="00F90386"/>
    <w:rsid w:val="00FC3476"/>
    <w:rsid w:val="00FC3B95"/>
    <w:rsid w:val="00FD0556"/>
    <w:rsid w:val="00FE2FBC"/>
    <w:rsid w:val="00FE7E6C"/>
    <w:rsid w:val="00FF0277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Message Header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ritten Assembly Answers body"/>
    <w:qFormat/>
    <w:rsid w:val="00CC53D4"/>
    <w:rPr>
      <w:rFonts w:ascii="Arial" w:eastAsia="Times New Roman" w:hAnsi="Arial" w:cs="Arial"/>
      <w:color w:val="262626" w:themeColor="text1" w:themeTint="D9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A06"/>
    <w:pPr>
      <w:keepNext/>
      <w:keepLines/>
      <w:spacing w:before="200"/>
      <w:outlineLvl w:val="1"/>
    </w:pPr>
    <w:rPr>
      <w:rFonts w:eastAsiaTheme="majorEastAsia" w:cstheme="majorBidi"/>
      <w:b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C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C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42A06"/>
    <w:rPr>
      <w:rFonts w:ascii="Arial" w:eastAsiaTheme="majorEastAsia" w:hAnsi="Arial" w:cstheme="majorBidi"/>
      <w:b/>
      <w:bCs/>
      <w:color w:val="00B0F0"/>
      <w:sz w:val="28"/>
      <w:szCs w:val="26"/>
      <w:lang w:val="en-GB"/>
    </w:rPr>
  </w:style>
  <w:style w:type="paragraph" w:styleId="NoSpacing">
    <w:name w:val="No Spacing"/>
    <w:aliases w:val="Written Answers Heading"/>
    <w:next w:val="Heading2"/>
    <w:uiPriority w:val="1"/>
    <w:qFormat/>
    <w:rsid w:val="00CC53D4"/>
    <w:rPr>
      <w:rFonts w:ascii="Arial" w:eastAsia="Times New Roman" w:hAnsi="Arial" w:cs="Arial"/>
      <w:b/>
      <w:color w:val="008ACA"/>
      <w:lang w:val="en-GB"/>
    </w:rPr>
  </w:style>
  <w:style w:type="character" w:styleId="Hyperlink">
    <w:name w:val="Hyperlink"/>
    <w:basedOn w:val="DefaultParagraphFont"/>
    <w:uiPriority w:val="99"/>
    <w:rsid w:val="00245F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FC8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5127A"/>
  </w:style>
  <w:style w:type="paragraph" w:styleId="ListParagraph">
    <w:name w:val="List Paragraph"/>
    <w:basedOn w:val="Normal"/>
    <w:uiPriority w:val="34"/>
    <w:rsid w:val="007B61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54D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NICCYBodyText">
    <w:name w:val="NICCY Body Text"/>
    <w:basedOn w:val="BasicParagraph"/>
    <w:link w:val="NICCYBodyTextChar"/>
    <w:qFormat/>
    <w:rsid w:val="00BE13B4"/>
    <w:rPr>
      <w:rFonts w:ascii="Arial" w:hAnsi="Arial" w:cs="Arial"/>
      <w:color w:val="414042"/>
    </w:rPr>
  </w:style>
  <w:style w:type="character" w:customStyle="1" w:styleId="NICCYBodyTextChar">
    <w:name w:val="NICCY Body Text Char"/>
    <w:basedOn w:val="DefaultParagraphFont"/>
    <w:link w:val="NICCYBodyText"/>
    <w:rsid w:val="00BE13B4"/>
    <w:rPr>
      <w:rFonts w:ascii="Arial" w:hAnsi="Arial" w:cs="Arial"/>
      <w:color w:val="41404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F1CD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F1CDD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3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7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9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5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50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0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04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8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8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70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5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8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0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90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84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5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6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92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08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0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98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4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84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23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12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07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08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71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6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121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75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77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62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50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06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52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27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83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89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097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61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01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290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25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541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993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87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809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482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94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37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7969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01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347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2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3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3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9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0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67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83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4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36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42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33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2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46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2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26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31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81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43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06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33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49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49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4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60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3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82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66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2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0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22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07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9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50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9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05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07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93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44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64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08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68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29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05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04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7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6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98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0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57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52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08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54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0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6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43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05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1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165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6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45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416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82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284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2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3110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58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132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682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7310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60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7580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19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817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712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5891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363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410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630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231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531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3873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980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289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510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19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447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952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051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145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2170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6623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124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7314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39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859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0669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7265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431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492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116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84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5697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8583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35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9806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1874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9468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4140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4607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7741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8800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067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9710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0810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0499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03898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541189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2759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029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79238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0609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7402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55397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7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3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0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77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76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4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4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06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8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75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83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78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4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45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04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04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6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16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bf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373A5-3C5B-402C-A4D0-943AF3F6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Scott</dc:creator>
  <cp:lastModifiedBy>Joanne.Allen</cp:lastModifiedBy>
  <cp:revision>2</cp:revision>
  <cp:lastPrinted>2013-09-30T10:53:00Z</cp:lastPrinted>
  <dcterms:created xsi:type="dcterms:W3CDTF">2014-02-24T12:12:00Z</dcterms:created>
  <dcterms:modified xsi:type="dcterms:W3CDTF">2014-02-24T12:12:00Z</dcterms:modified>
</cp:coreProperties>
</file>