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DD" w:rsidRPr="00955B1B" w:rsidRDefault="00CC53D4" w:rsidP="00955B1B">
      <w:pPr>
        <w:pStyle w:val="NoSpacing"/>
        <w:jc w:val="center"/>
        <w:rPr>
          <w:rFonts w:ascii="Arial Bold" w:hAnsi="Arial Bold"/>
          <w:color w:val="23A4DE"/>
          <w:sz w:val="28"/>
          <w:szCs w:val="28"/>
        </w:rPr>
      </w:pPr>
      <w:bookmarkStart w:id="0" w:name="_top"/>
      <w:bookmarkStart w:id="1" w:name="_Toc362946577"/>
      <w:bookmarkStart w:id="2" w:name="_Toc367694005"/>
      <w:bookmarkEnd w:id="0"/>
      <w:r w:rsidRPr="00FC3476">
        <w:rPr>
          <w:rFonts w:ascii="Arial Bold" w:hAnsi="Arial Bold"/>
          <w:color w:val="23A4DE"/>
          <w:sz w:val="28"/>
          <w:szCs w:val="28"/>
        </w:rPr>
        <w:t xml:space="preserve">NICCY Summary: NI Assembly Written Answers for Week Ending </w:t>
      </w:r>
      <w:bookmarkStart w:id="3" w:name="_Section_75_of"/>
      <w:bookmarkEnd w:id="1"/>
      <w:bookmarkEnd w:id="2"/>
      <w:bookmarkEnd w:id="3"/>
      <w:r w:rsidR="006E6E52">
        <w:rPr>
          <w:rFonts w:ascii="Arial Bold" w:hAnsi="Arial Bold"/>
          <w:color w:val="23A4DE"/>
          <w:sz w:val="28"/>
          <w:szCs w:val="28"/>
        </w:rPr>
        <w:t>2</w:t>
      </w:r>
      <w:r w:rsidR="00974E5A">
        <w:rPr>
          <w:rFonts w:ascii="Arial Bold" w:hAnsi="Arial Bold"/>
          <w:color w:val="23A4DE"/>
          <w:sz w:val="28"/>
          <w:szCs w:val="28"/>
        </w:rPr>
        <w:t>8th</w:t>
      </w:r>
      <w:r w:rsidR="006E6E52">
        <w:rPr>
          <w:rFonts w:ascii="Arial Bold" w:hAnsi="Arial Bold"/>
          <w:color w:val="23A4DE"/>
          <w:sz w:val="28"/>
          <w:szCs w:val="28"/>
        </w:rPr>
        <w:t xml:space="preserve"> </w:t>
      </w:r>
      <w:r w:rsidR="00E62C60">
        <w:rPr>
          <w:rFonts w:ascii="Arial Bold" w:hAnsi="Arial Bold"/>
          <w:color w:val="23A4DE"/>
          <w:sz w:val="28"/>
          <w:szCs w:val="28"/>
        </w:rPr>
        <w:t xml:space="preserve">February </w:t>
      </w:r>
      <w:r w:rsidR="00115282">
        <w:rPr>
          <w:rFonts w:ascii="Arial Bold" w:hAnsi="Arial Bold"/>
          <w:color w:val="23A4DE"/>
          <w:sz w:val="28"/>
          <w:szCs w:val="28"/>
        </w:rPr>
        <w:t>2014</w:t>
      </w:r>
    </w:p>
    <w:p w:rsidR="006E6E52" w:rsidRDefault="006E6E52" w:rsidP="00883F0E">
      <w:pPr>
        <w:autoSpaceDE w:val="0"/>
        <w:autoSpaceDN w:val="0"/>
        <w:adjustRightInd w:val="0"/>
        <w:spacing w:line="288" w:lineRule="auto"/>
      </w:pPr>
    </w:p>
    <w:p w:rsidR="006E6E52" w:rsidRDefault="006E6E52" w:rsidP="00883F0E">
      <w:pPr>
        <w:autoSpaceDE w:val="0"/>
        <w:autoSpaceDN w:val="0"/>
        <w:adjustRightInd w:val="0"/>
        <w:spacing w:line="288" w:lineRule="auto"/>
      </w:pPr>
    </w:p>
    <w:p w:rsidR="009E4733" w:rsidRDefault="009E4733" w:rsidP="009E4733">
      <w:pPr>
        <w:pStyle w:val="Heading2"/>
        <w:numPr>
          <w:ilvl w:val="0"/>
          <w:numId w:val="16"/>
        </w:numPr>
        <w:rPr>
          <w:rFonts w:ascii="Arial Bold" w:eastAsia="Times New Roman" w:hAnsi="Arial Bold" w:cs="Arial"/>
          <w:bCs w:val="0"/>
          <w:color w:val="23A4DE"/>
          <w:szCs w:val="28"/>
        </w:rPr>
      </w:pPr>
      <w:hyperlink w:anchor="_Social_Mobility" w:history="1">
        <w:r w:rsidRPr="009E4733">
          <w:rPr>
            <w:rFonts w:ascii="Arial Bold" w:eastAsia="Times New Roman" w:hAnsi="Arial Bold" w:cs="Arial"/>
            <w:bCs w:val="0"/>
            <w:color w:val="23A4DE"/>
            <w:szCs w:val="28"/>
          </w:rPr>
          <w:t>Social Mo</w:t>
        </w:r>
        <w:r w:rsidRPr="009E4733">
          <w:rPr>
            <w:rFonts w:ascii="Arial Bold" w:eastAsia="Times New Roman" w:hAnsi="Arial Bold" w:cs="Arial"/>
            <w:bCs w:val="0"/>
            <w:color w:val="23A4DE"/>
            <w:szCs w:val="28"/>
          </w:rPr>
          <w:t>b</w:t>
        </w:r>
        <w:r w:rsidRPr="009E4733">
          <w:rPr>
            <w:rFonts w:ascii="Arial Bold" w:eastAsia="Times New Roman" w:hAnsi="Arial Bold" w:cs="Arial"/>
            <w:bCs w:val="0"/>
            <w:color w:val="23A4DE"/>
            <w:szCs w:val="28"/>
          </w:rPr>
          <w:t>i</w:t>
        </w:r>
        <w:r w:rsidRPr="009E4733">
          <w:rPr>
            <w:rFonts w:ascii="Arial Bold" w:eastAsia="Times New Roman" w:hAnsi="Arial Bold" w:cs="Arial"/>
            <w:bCs w:val="0"/>
            <w:color w:val="23A4DE"/>
            <w:szCs w:val="28"/>
          </w:rPr>
          <w:t>lity</w:t>
        </w:r>
      </w:hyperlink>
    </w:p>
    <w:p w:rsidR="009E4733" w:rsidRDefault="009E4733" w:rsidP="009E4733">
      <w:pPr>
        <w:rPr>
          <w:rFonts w:eastAsiaTheme="minorEastAsia"/>
        </w:rPr>
      </w:pPr>
    </w:p>
    <w:p w:rsidR="009E4733" w:rsidRDefault="009E4733" w:rsidP="009E4733">
      <w:pPr>
        <w:pStyle w:val="Heading2"/>
        <w:numPr>
          <w:ilvl w:val="0"/>
          <w:numId w:val="16"/>
        </w:numPr>
        <w:rPr>
          <w:rFonts w:ascii="Arial Bold" w:eastAsia="Times New Roman" w:hAnsi="Arial Bold" w:cs="Arial"/>
          <w:bCs w:val="0"/>
          <w:color w:val="23A4DE"/>
          <w:szCs w:val="28"/>
        </w:rPr>
      </w:pPr>
      <w:hyperlink w:anchor="_Attendance_Rates_of" w:history="1">
        <w:r w:rsidRPr="009E4733">
          <w:rPr>
            <w:rFonts w:ascii="Arial Bold" w:eastAsia="Times New Roman" w:hAnsi="Arial Bold" w:cs="Arial"/>
            <w:bCs w:val="0"/>
            <w:color w:val="23A4DE"/>
            <w:szCs w:val="28"/>
          </w:rPr>
          <w:t>Attendan</w:t>
        </w:r>
        <w:r w:rsidRPr="009E4733">
          <w:rPr>
            <w:rFonts w:ascii="Arial Bold" w:eastAsia="Times New Roman" w:hAnsi="Arial Bold" w:cs="Arial"/>
            <w:bCs w:val="0"/>
            <w:color w:val="23A4DE"/>
            <w:szCs w:val="28"/>
          </w:rPr>
          <w:t>c</w:t>
        </w:r>
        <w:r w:rsidRPr="009E4733">
          <w:rPr>
            <w:rFonts w:ascii="Arial Bold" w:eastAsia="Times New Roman" w:hAnsi="Arial Bold" w:cs="Arial"/>
            <w:bCs w:val="0"/>
            <w:color w:val="23A4DE"/>
            <w:szCs w:val="28"/>
          </w:rPr>
          <w:t>e Rat</w:t>
        </w:r>
        <w:r w:rsidRPr="009E4733">
          <w:rPr>
            <w:rFonts w:ascii="Arial Bold" w:eastAsia="Times New Roman" w:hAnsi="Arial Bold" w:cs="Arial"/>
            <w:bCs w:val="0"/>
            <w:color w:val="23A4DE"/>
            <w:szCs w:val="28"/>
          </w:rPr>
          <w:t>e</w:t>
        </w:r>
        <w:r w:rsidRPr="009E4733">
          <w:rPr>
            <w:rFonts w:ascii="Arial Bold" w:eastAsia="Times New Roman" w:hAnsi="Arial Bold" w:cs="Arial"/>
            <w:bCs w:val="0"/>
            <w:color w:val="23A4DE"/>
            <w:szCs w:val="28"/>
          </w:rPr>
          <w:t>s of Looked After Children</w:t>
        </w:r>
      </w:hyperlink>
    </w:p>
    <w:p w:rsidR="008D5DE4" w:rsidRDefault="008D5DE4" w:rsidP="008D5DE4"/>
    <w:p w:rsidR="008D5DE4" w:rsidRDefault="008D5DE4" w:rsidP="008D5DE4">
      <w:pPr>
        <w:pStyle w:val="Heading2"/>
        <w:numPr>
          <w:ilvl w:val="0"/>
          <w:numId w:val="16"/>
        </w:numPr>
        <w:rPr>
          <w:rFonts w:ascii="Arial Bold" w:eastAsia="Times New Roman" w:hAnsi="Arial Bold" w:cs="Arial"/>
          <w:bCs w:val="0"/>
          <w:color w:val="23A4DE"/>
          <w:szCs w:val="28"/>
        </w:rPr>
      </w:pPr>
      <w:hyperlink w:anchor="_Future_Provision_of" w:history="1">
        <w:r w:rsidRPr="008D5DE4">
          <w:rPr>
            <w:rFonts w:ascii="Arial Bold" w:eastAsia="Times New Roman" w:hAnsi="Arial Bold" w:cs="Arial"/>
            <w:bCs w:val="0"/>
            <w:color w:val="23A4DE"/>
            <w:szCs w:val="28"/>
          </w:rPr>
          <w:t>Future Provision of Post-</w:t>
        </w:r>
        <w:r w:rsidRPr="008D5DE4">
          <w:rPr>
            <w:rFonts w:ascii="Arial Bold" w:eastAsia="Times New Roman" w:hAnsi="Arial Bold" w:cs="Arial"/>
            <w:bCs w:val="0"/>
            <w:color w:val="23A4DE"/>
            <w:szCs w:val="28"/>
          </w:rPr>
          <w:t>P</w:t>
        </w:r>
        <w:r w:rsidRPr="008D5DE4">
          <w:rPr>
            <w:rFonts w:ascii="Arial Bold" w:eastAsia="Times New Roman" w:hAnsi="Arial Bold" w:cs="Arial"/>
            <w:bCs w:val="0"/>
            <w:color w:val="23A4DE"/>
            <w:szCs w:val="28"/>
          </w:rPr>
          <w:t>rimary E</w:t>
        </w:r>
        <w:r w:rsidRPr="008D5DE4">
          <w:rPr>
            <w:rFonts w:ascii="Arial Bold" w:eastAsia="Times New Roman" w:hAnsi="Arial Bold" w:cs="Arial"/>
            <w:bCs w:val="0"/>
            <w:color w:val="23A4DE"/>
            <w:szCs w:val="28"/>
          </w:rPr>
          <w:t>d</w:t>
        </w:r>
        <w:r w:rsidRPr="008D5DE4">
          <w:rPr>
            <w:rFonts w:ascii="Arial Bold" w:eastAsia="Times New Roman" w:hAnsi="Arial Bold" w:cs="Arial"/>
            <w:bCs w:val="0"/>
            <w:color w:val="23A4DE"/>
            <w:szCs w:val="28"/>
          </w:rPr>
          <w:t>ucation</w:t>
        </w:r>
      </w:hyperlink>
    </w:p>
    <w:p w:rsidR="008D5DE4" w:rsidRDefault="008D5DE4" w:rsidP="008D5DE4">
      <w:pPr>
        <w:rPr>
          <w:rFonts w:eastAsiaTheme="minorEastAsia"/>
        </w:rPr>
      </w:pPr>
    </w:p>
    <w:p w:rsidR="008D5DE4" w:rsidRDefault="008D5DE4" w:rsidP="008D5DE4">
      <w:pPr>
        <w:pStyle w:val="Heading2"/>
        <w:numPr>
          <w:ilvl w:val="0"/>
          <w:numId w:val="16"/>
        </w:numPr>
        <w:rPr>
          <w:rFonts w:ascii="Arial Bold" w:eastAsia="Times New Roman" w:hAnsi="Arial Bold" w:cs="Arial"/>
          <w:bCs w:val="0"/>
          <w:color w:val="23A4DE"/>
          <w:szCs w:val="28"/>
        </w:rPr>
      </w:pPr>
      <w:hyperlink w:anchor="_Coach_Operators_and" w:history="1">
        <w:r w:rsidRPr="008D5DE4">
          <w:rPr>
            <w:rFonts w:ascii="Arial Bold" w:eastAsia="Times New Roman" w:hAnsi="Arial Bold" w:cs="Arial"/>
            <w:bCs w:val="0"/>
            <w:color w:val="23A4DE"/>
            <w:szCs w:val="28"/>
          </w:rPr>
          <w:t>Coach Op</w:t>
        </w:r>
        <w:r w:rsidRPr="008D5DE4">
          <w:rPr>
            <w:rFonts w:ascii="Arial Bold" w:eastAsia="Times New Roman" w:hAnsi="Arial Bold" w:cs="Arial"/>
            <w:bCs w:val="0"/>
            <w:color w:val="23A4DE"/>
            <w:szCs w:val="28"/>
          </w:rPr>
          <w:t>e</w:t>
        </w:r>
        <w:r w:rsidRPr="008D5DE4">
          <w:rPr>
            <w:rFonts w:ascii="Arial Bold" w:eastAsia="Times New Roman" w:hAnsi="Arial Bold" w:cs="Arial"/>
            <w:bCs w:val="0"/>
            <w:color w:val="23A4DE"/>
            <w:szCs w:val="28"/>
          </w:rPr>
          <w:t>ra</w:t>
        </w:r>
        <w:r w:rsidRPr="008D5DE4">
          <w:rPr>
            <w:rFonts w:ascii="Arial Bold" w:eastAsia="Times New Roman" w:hAnsi="Arial Bold" w:cs="Arial"/>
            <w:bCs w:val="0"/>
            <w:color w:val="23A4DE"/>
            <w:szCs w:val="28"/>
          </w:rPr>
          <w:t>t</w:t>
        </w:r>
        <w:r w:rsidRPr="008D5DE4">
          <w:rPr>
            <w:rFonts w:ascii="Arial Bold" w:eastAsia="Times New Roman" w:hAnsi="Arial Bold" w:cs="Arial"/>
            <w:bCs w:val="0"/>
            <w:color w:val="23A4DE"/>
            <w:szCs w:val="28"/>
          </w:rPr>
          <w:t>ors and Private Tour Organisers: Safeguarding of Young People</w:t>
        </w:r>
      </w:hyperlink>
    </w:p>
    <w:p w:rsidR="008D5DE4" w:rsidRDefault="008D5DE4" w:rsidP="008D5DE4">
      <w:pPr>
        <w:rPr>
          <w:rFonts w:eastAsiaTheme="minorEastAsia"/>
        </w:rPr>
      </w:pPr>
    </w:p>
    <w:p w:rsidR="008D5DE4" w:rsidRDefault="008D5DE4" w:rsidP="008D5DE4">
      <w:pPr>
        <w:pStyle w:val="Heading2"/>
        <w:numPr>
          <w:ilvl w:val="0"/>
          <w:numId w:val="16"/>
        </w:numPr>
        <w:rPr>
          <w:rFonts w:ascii="Arial Bold" w:eastAsia="Times New Roman" w:hAnsi="Arial Bold" w:cs="Arial"/>
          <w:bCs w:val="0"/>
          <w:color w:val="23A4DE"/>
          <w:szCs w:val="28"/>
        </w:rPr>
      </w:pPr>
      <w:hyperlink w:anchor="_Welfare_Reform:_Implementation" w:history="1">
        <w:r w:rsidRPr="008D5DE4">
          <w:rPr>
            <w:rFonts w:ascii="Arial Bold" w:eastAsia="Times New Roman" w:hAnsi="Arial Bold" w:cs="Arial"/>
            <w:bCs w:val="0"/>
            <w:color w:val="23A4DE"/>
            <w:szCs w:val="28"/>
          </w:rPr>
          <w:t>Welfare Reform:</w:t>
        </w:r>
        <w:r w:rsidRPr="008D5DE4">
          <w:rPr>
            <w:rFonts w:ascii="Arial Bold" w:eastAsia="Times New Roman" w:hAnsi="Arial Bold" w:cs="Arial"/>
            <w:bCs w:val="0"/>
            <w:color w:val="23A4DE"/>
            <w:szCs w:val="28"/>
          </w:rPr>
          <w:t xml:space="preserve"> </w:t>
        </w:r>
        <w:r w:rsidRPr="008D5DE4">
          <w:rPr>
            <w:rFonts w:ascii="Arial Bold" w:eastAsia="Times New Roman" w:hAnsi="Arial Bold" w:cs="Arial"/>
            <w:bCs w:val="0"/>
            <w:color w:val="23A4DE"/>
            <w:szCs w:val="28"/>
          </w:rPr>
          <w:t>Implemen</w:t>
        </w:r>
        <w:r w:rsidRPr="008D5DE4">
          <w:rPr>
            <w:rFonts w:ascii="Arial Bold" w:eastAsia="Times New Roman" w:hAnsi="Arial Bold" w:cs="Arial"/>
            <w:bCs w:val="0"/>
            <w:color w:val="23A4DE"/>
            <w:szCs w:val="28"/>
          </w:rPr>
          <w:t>t</w:t>
        </w:r>
        <w:r w:rsidRPr="008D5DE4">
          <w:rPr>
            <w:rFonts w:ascii="Arial Bold" w:eastAsia="Times New Roman" w:hAnsi="Arial Bold" w:cs="Arial"/>
            <w:bCs w:val="0"/>
            <w:color w:val="23A4DE"/>
            <w:szCs w:val="28"/>
          </w:rPr>
          <w:t>ation</w:t>
        </w:r>
      </w:hyperlink>
    </w:p>
    <w:p w:rsidR="008D5DE4" w:rsidRDefault="008D5DE4" w:rsidP="008D5DE4">
      <w:pPr>
        <w:rPr>
          <w:rFonts w:eastAsiaTheme="minorEastAsia"/>
        </w:rPr>
      </w:pPr>
    </w:p>
    <w:p w:rsidR="008D5DE4" w:rsidRDefault="008D5DE4" w:rsidP="008D5DE4">
      <w:pPr>
        <w:pStyle w:val="Heading2"/>
        <w:numPr>
          <w:ilvl w:val="0"/>
          <w:numId w:val="16"/>
        </w:numPr>
        <w:rPr>
          <w:rFonts w:ascii="Arial Bold" w:eastAsia="Times New Roman" w:hAnsi="Arial Bold" w:cs="Arial"/>
          <w:bCs w:val="0"/>
          <w:color w:val="23A4DE"/>
          <w:szCs w:val="28"/>
        </w:rPr>
      </w:pPr>
      <w:hyperlink w:anchor="_Specialist_Local_Counselling" w:history="1">
        <w:r w:rsidRPr="008D5DE4">
          <w:rPr>
            <w:rFonts w:ascii="Arial Bold" w:eastAsia="Times New Roman" w:hAnsi="Arial Bold" w:cs="Arial"/>
            <w:bCs w:val="0"/>
            <w:color w:val="23A4DE"/>
            <w:szCs w:val="28"/>
          </w:rPr>
          <w:t>Specialist L</w:t>
        </w:r>
        <w:r w:rsidRPr="008D5DE4">
          <w:rPr>
            <w:rFonts w:ascii="Arial Bold" w:eastAsia="Times New Roman" w:hAnsi="Arial Bold" w:cs="Arial"/>
            <w:bCs w:val="0"/>
            <w:color w:val="23A4DE"/>
            <w:szCs w:val="28"/>
          </w:rPr>
          <w:t>o</w:t>
        </w:r>
        <w:r w:rsidRPr="008D5DE4">
          <w:rPr>
            <w:rFonts w:ascii="Arial Bold" w:eastAsia="Times New Roman" w:hAnsi="Arial Bold" w:cs="Arial"/>
            <w:bCs w:val="0"/>
            <w:color w:val="23A4DE"/>
            <w:szCs w:val="28"/>
          </w:rPr>
          <w:t xml:space="preserve">cal </w:t>
        </w:r>
        <w:r w:rsidRPr="008D5DE4">
          <w:rPr>
            <w:rFonts w:ascii="Arial Bold" w:eastAsia="Times New Roman" w:hAnsi="Arial Bold" w:cs="Arial"/>
            <w:bCs w:val="0"/>
            <w:color w:val="23A4DE"/>
            <w:szCs w:val="28"/>
          </w:rPr>
          <w:t>C</w:t>
        </w:r>
        <w:r w:rsidRPr="008D5DE4">
          <w:rPr>
            <w:rFonts w:ascii="Arial Bold" w:eastAsia="Times New Roman" w:hAnsi="Arial Bold" w:cs="Arial"/>
            <w:bCs w:val="0"/>
            <w:color w:val="23A4DE"/>
            <w:szCs w:val="28"/>
          </w:rPr>
          <w:t>ounselling Services</w:t>
        </w:r>
      </w:hyperlink>
    </w:p>
    <w:p w:rsidR="003B2D9B" w:rsidRDefault="003B2D9B" w:rsidP="003B2D9B">
      <w:pPr>
        <w:rPr>
          <w:rFonts w:eastAsiaTheme="minorEastAsia"/>
        </w:rPr>
      </w:pPr>
    </w:p>
    <w:p w:rsidR="003B2D9B" w:rsidRDefault="003B2D9B" w:rsidP="003B2D9B">
      <w:pPr>
        <w:pStyle w:val="Heading2"/>
        <w:numPr>
          <w:ilvl w:val="0"/>
          <w:numId w:val="16"/>
        </w:numPr>
        <w:rPr>
          <w:rFonts w:ascii="Arial Bold" w:eastAsia="Times New Roman" w:hAnsi="Arial Bold" w:cs="Arial"/>
          <w:bCs w:val="0"/>
          <w:color w:val="23A4DE"/>
          <w:szCs w:val="28"/>
        </w:rPr>
      </w:pPr>
      <w:hyperlink w:anchor="_Family_Funds:_Local" w:history="1">
        <w:r w:rsidRPr="003B2D9B">
          <w:rPr>
            <w:rFonts w:ascii="Arial Bold" w:eastAsia="Times New Roman" w:hAnsi="Arial Bold" w:cs="Arial"/>
            <w:bCs w:val="0"/>
            <w:color w:val="23A4DE"/>
            <w:szCs w:val="28"/>
          </w:rPr>
          <w:t>Family Funds: L</w:t>
        </w:r>
        <w:r w:rsidRPr="003B2D9B">
          <w:rPr>
            <w:rFonts w:ascii="Arial Bold" w:eastAsia="Times New Roman" w:hAnsi="Arial Bold" w:cs="Arial"/>
            <w:bCs w:val="0"/>
            <w:color w:val="23A4DE"/>
            <w:szCs w:val="28"/>
          </w:rPr>
          <w:t>o</w:t>
        </w:r>
        <w:r w:rsidRPr="003B2D9B">
          <w:rPr>
            <w:rFonts w:ascii="Arial Bold" w:eastAsia="Times New Roman" w:hAnsi="Arial Bold" w:cs="Arial"/>
            <w:bCs w:val="0"/>
            <w:color w:val="23A4DE"/>
            <w:szCs w:val="28"/>
          </w:rPr>
          <w:t>c</w:t>
        </w:r>
        <w:r w:rsidRPr="003B2D9B">
          <w:rPr>
            <w:rFonts w:ascii="Arial Bold" w:eastAsia="Times New Roman" w:hAnsi="Arial Bold" w:cs="Arial"/>
            <w:bCs w:val="0"/>
            <w:color w:val="23A4DE"/>
            <w:szCs w:val="28"/>
          </w:rPr>
          <w:t>al Families</w:t>
        </w:r>
      </w:hyperlink>
    </w:p>
    <w:p w:rsidR="003B2D9B" w:rsidRDefault="003B2D9B" w:rsidP="003B2D9B">
      <w:pPr>
        <w:rPr>
          <w:rFonts w:eastAsiaTheme="minorEastAsia"/>
        </w:rPr>
      </w:pPr>
    </w:p>
    <w:p w:rsidR="003B2D9B" w:rsidRPr="003B2D9B" w:rsidRDefault="003B2D9B" w:rsidP="003B2D9B">
      <w:pPr>
        <w:pStyle w:val="Heading2"/>
        <w:numPr>
          <w:ilvl w:val="0"/>
          <w:numId w:val="16"/>
        </w:numPr>
        <w:rPr>
          <w:rFonts w:ascii="Arial Bold" w:eastAsia="Times New Roman" w:hAnsi="Arial Bold" w:cs="Arial"/>
          <w:bCs w:val="0"/>
          <w:color w:val="23A4DE"/>
          <w:szCs w:val="28"/>
        </w:rPr>
      </w:pPr>
      <w:hyperlink w:anchor="_Welfare_Reform:_Flexibilities" w:history="1">
        <w:r w:rsidRPr="003B2D9B">
          <w:rPr>
            <w:rFonts w:ascii="Arial Bold" w:eastAsia="Times New Roman" w:hAnsi="Arial Bold" w:cs="Arial"/>
            <w:bCs w:val="0"/>
            <w:color w:val="23A4DE"/>
            <w:szCs w:val="28"/>
          </w:rPr>
          <w:t>Welfare Reform: F</w:t>
        </w:r>
        <w:r w:rsidRPr="003B2D9B">
          <w:rPr>
            <w:rFonts w:ascii="Arial Bold" w:eastAsia="Times New Roman" w:hAnsi="Arial Bold" w:cs="Arial"/>
            <w:bCs w:val="0"/>
            <w:color w:val="23A4DE"/>
            <w:szCs w:val="28"/>
          </w:rPr>
          <w:t>l</w:t>
        </w:r>
        <w:r w:rsidRPr="003B2D9B">
          <w:rPr>
            <w:rFonts w:ascii="Arial Bold" w:eastAsia="Times New Roman" w:hAnsi="Arial Bold" w:cs="Arial"/>
            <w:bCs w:val="0"/>
            <w:color w:val="23A4DE"/>
            <w:szCs w:val="28"/>
          </w:rPr>
          <w:t>exibilities</w:t>
        </w:r>
      </w:hyperlink>
    </w:p>
    <w:p w:rsidR="003B2D9B" w:rsidRPr="003B2D9B" w:rsidRDefault="003B2D9B" w:rsidP="003B2D9B">
      <w:pPr>
        <w:rPr>
          <w:rFonts w:eastAsiaTheme="minorEastAsia"/>
        </w:rPr>
      </w:pPr>
    </w:p>
    <w:p w:rsidR="003B2D9B" w:rsidRPr="003B2D9B" w:rsidRDefault="003B2D9B" w:rsidP="003B2D9B">
      <w:pPr>
        <w:rPr>
          <w:rFonts w:eastAsiaTheme="minorEastAsia"/>
        </w:rPr>
      </w:pPr>
    </w:p>
    <w:p w:rsidR="008D5DE4" w:rsidRPr="008D5DE4" w:rsidRDefault="008D5DE4" w:rsidP="008D5DE4">
      <w:pPr>
        <w:rPr>
          <w:rFonts w:eastAsiaTheme="minorEastAsia"/>
        </w:rPr>
      </w:pPr>
    </w:p>
    <w:p w:rsidR="008D5DE4" w:rsidRPr="008D5DE4" w:rsidRDefault="008D5DE4" w:rsidP="008D5DE4">
      <w:pPr>
        <w:rPr>
          <w:rFonts w:eastAsiaTheme="minorEastAsia"/>
        </w:rPr>
      </w:pPr>
    </w:p>
    <w:p w:rsidR="008D5DE4" w:rsidRPr="008D5DE4" w:rsidRDefault="008D5DE4" w:rsidP="008D5DE4">
      <w:pPr>
        <w:rPr>
          <w:rFonts w:eastAsiaTheme="minorEastAsia"/>
        </w:rPr>
      </w:pPr>
    </w:p>
    <w:p w:rsidR="008D5DE4" w:rsidRPr="008D5DE4" w:rsidRDefault="008D5DE4" w:rsidP="008D5DE4"/>
    <w:p w:rsidR="009E4733" w:rsidRPr="009E4733" w:rsidRDefault="009E4733" w:rsidP="009E4733">
      <w:pPr>
        <w:rPr>
          <w:rFonts w:eastAsiaTheme="minorEastAsia"/>
        </w:rPr>
      </w:pPr>
    </w:p>
    <w:p w:rsidR="006E6E52" w:rsidRDefault="006E6E52" w:rsidP="00883F0E">
      <w:pPr>
        <w:autoSpaceDE w:val="0"/>
        <w:autoSpaceDN w:val="0"/>
        <w:adjustRightInd w:val="0"/>
        <w:spacing w:line="288" w:lineRule="auto"/>
      </w:pPr>
    </w:p>
    <w:p w:rsidR="006E6E52" w:rsidRDefault="006E6E52" w:rsidP="00883F0E">
      <w:pPr>
        <w:autoSpaceDE w:val="0"/>
        <w:autoSpaceDN w:val="0"/>
        <w:adjustRightInd w:val="0"/>
        <w:spacing w:line="288" w:lineRule="auto"/>
      </w:pPr>
    </w:p>
    <w:p w:rsidR="00974E5A" w:rsidRDefault="00974E5A" w:rsidP="00883F0E">
      <w:pPr>
        <w:autoSpaceDE w:val="0"/>
        <w:autoSpaceDN w:val="0"/>
        <w:adjustRightInd w:val="0"/>
        <w:spacing w:line="288" w:lineRule="auto"/>
      </w:pPr>
    </w:p>
    <w:p w:rsidR="00974E5A" w:rsidRDefault="00974E5A" w:rsidP="00883F0E">
      <w:pPr>
        <w:autoSpaceDE w:val="0"/>
        <w:autoSpaceDN w:val="0"/>
        <w:adjustRightInd w:val="0"/>
        <w:spacing w:line="288" w:lineRule="auto"/>
      </w:pPr>
    </w:p>
    <w:p w:rsidR="00974E5A" w:rsidRDefault="00974E5A" w:rsidP="00883F0E">
      <w:pPr>
        <w:autoSpaceDE w:val="0"/>
        <w:autoSpaceDN w:val="0"/>
        <w:adjustRightInd w:val="0"/>
        <w:spacing w:line="288" w:lineRule="auto"/>
      </w:pPr>
    </w:p>
    <w:p w:rsidR="00122DAF" w:rsidRDefault="00122DAF" w:rsidP="009E4733">
      <w:pPr>
        <w:pStyle w:val="Heading2"/>
        <w:rPr>
          <w:rFonts w:eastAsiaTheme="minorEastAsia"/>
          <w:lang w:val="en-US"/>
        </w:rPr>
      </w:pPr>
      <w:bookmarkStart w:id="4" w:name="_Social_Mobility"/>
      <w:bookmarkEnd w:id="4"/>
      <w:r>
        <w:rPr>
          <w:rFonts w:eastAsiaTheme="minorEastAsia"/>
          <w:lang w:val="en-US"/>
        </w:rPr>
        <w:lastRenderedPageBreak/>
        <w:t>Social Mobility</w:t>
      </w:r>
    </w:p>
    <w:p w:rsidR="00122DAF" w:rsidRDefault="00122DAF" w:rsidP="009E4733">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Agnew </w:t>
      </w:r>
      <w:r>
        <w:rPr>
          <w:lang w:val="en-US"/>
        </w:rPr>
        <w:t>asked the First Minister and deputy First Minister to detail how their Department measures</w:t>
      </w:r>
      <w:r w:rsidR="009E4733">
        <w:rPr>
          <w:lang w:val="en-US"/>
        </w:rPr>
        <w:t xml:space="preserve"> </w:t>
      </w:r>
      <w:r>
        <w:rPr>
          <w:lang w:val="en-US"/>
        </w:rPr>
        <w:t>social mobility and to provide the indicators of social mobility, for each of the last five years.</w:t>
      </w:r>
    </w:p>
    <w:p w:rsidR="00122DAF" w:rsidRDefault="00122DAF" w:rsidP="009E4733">
      <w:pPr>
        <w:pStyle w:val="NICCYBodyText"/>
        <w:rPr>
          <w:rFonts w:ascii="ITCFranklinGothicDemi" w:hAnsi="ITCFranklinGothicDemi" w:cs="ITCFranklinGothicDemi"/>
          <w:lang w:val="en-US"/>
        </w:rPr>
      </w:pPr>
      <w:r>
        <w:rPr>
          <w:rFonts w:ascii="ITCFranklinGothicDemi" w:hAnsi="ITCFranklinGothicDemi" w:cs="ITCFranklinGothicDemi"/>
          <w:lang w:val="en-US"/>
        </w:rPr>
        <w:t>(AQW 29504/11-15)</w:t>
      </w:r>
    </w:p>
    <w:p w:rsidR="00122DAF" w:rsidRDefault="00122DAF" w:rsidP="009E4733">
      <w:pPr>
        <w:pStyle w:val="NICCYBodyText"/>
        <w:rPr>
          <w:rFonts w:ascii="ITCFranklinGothicDemi" w:hAnsi="ITCFranklinGothicDemi" w:cs="ITCFranklinGothicDemi"/>
          <w:lang w:val="en-US"/>
        </w:rPr>
      </w:pPr>
    </w:p>
    <w:p w:rsidR="00122DAF" w:rsidRDefault="00122DAF" w:rsidP="009E4733">
      <w:pPr>
        <w:pStyle w:val="NICCYBodyText"/>
        <w:rPr>
          <w:lang w:val="en-US"/>
        </w:rPr>
      </w:pPr>
      <w:proofErr w:type="spellStart"/>
      <w:r w:rsidRPr="009E4733">
        <w:rPr>
          <w:rFonts w:ascii="ITCFranklinGothicDemi" w:hAnsi="ITCFranklinGothicDemi" w:cs="ITCFranklinGothicDemi"/>
          <w:b/>
          <w:lang w:val="en-US"/>
        </w:rPr>
        <w:t>Mr</w:t>
      </w:r>
      <w:proofErr w:type="spellEnd"/>
      <w:r w:rsidRPr="009E4733">
        <w:rPr>
          <w:rFonts w:ascii="ITCFranklinGothicDemi" w:hAnsi="ITCFranklinGothicDemi" w:cs="ITCFranklinGothicDemi"/>
          <w:b/>
          <w:lang w:val="en-US"/>
        </w:rPr>
        <w:t xml:space="preserve"> P Robinson and </w:t>
      </w:r>
      <w:proofErr w:type="spellStart"/>
      <w:r w:rsidRPr="009E4733">
        <w:rPr>
          <w:rFonts w:ascii="ITCFranklinGothicDemi" w:hAnsi="ITCFranklinGothicDemi" w:cs="ITCFranklinGothicDemi"/>
          <w:b/>
          <w:lang w:val="en-US"/>
        </w:rPr>
        <w:t>Mr</w:t>
      </w:r>
      <w:proofErr w:type="spellEnd"/>
      <w:r w:rsidRPr="009E4733">
        <w:rPr>
          <w:rFonts w:ascii="ITCFranklinGothicDemi" w:hAnsi="ITCFranklinGothicDemi" w:cs="ITCFranklinGothicDemi"/>
          <w:b/>
          <w:lang w:val="en-US"/>
        </w:rPr>
        <w:t xml:space="preserve"> M </w:t>
      </w:r>
      <w:proofErr w:type="spellStart"/>
      <w:r w:rsidRPr="009E4733">
        <w:rPr>
          <w:rFonts w:ascii="ITCFranklinGothicDemi" w:hAnsi="ITCFranklinGothicDemi" w:cs="ITCFranklinGothicDemi"/>
          <w:b/>
          <w:lang w:val="en-US"/>
        </w:rPr>
        <w:t>McGuinness</w:t>
      </w:r>
      <w:proofErr w:type="spellEnd"/>
      <w:r w:rsidRPr="009E4733">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Executive’s anti-poverty and social inclusion strategy,</w:t>
      </w:r>
      <w:r w:rsidR="009E4733">
        <w:rPr>
          <w:lang w:val="en-US"/>
        </w:rPr>
        <w:t xml:space="preserve"> </w:t>
      </w:r>
      <w:r>
        <w:rPr>
          <w:lang w:val="en-US"/>
        </w:rPr>
        <w:t>Lifetime Opportunities, adopted a ‘lifecycle’ approach to tackling poverty and social exclusion, recognising that in order to prevent a cycle of deprivation persisting through generations, issues affecting early years, children and young people are crucial.</w:t>
      </w:r>
    </w:p>
    <w:p w:rsidR="00122DAF" w:rsidRDefault="00122DAF" w:rsidP="009E4733">
      <w:pPr>
        <w:pStyle w:val="NICCYBodyText"/>
        <w:rPr>
          <w:lang w:val="en-US"/>
        </w:rPr>
      </w:pPr>
    </w:p>
    <w:p w:rsidR="00122DAF" w:rsidRDefault="00122DAF" w:rsidP="009E4733">
      <w:pPr>
        <w:pStyle w:val="NICCYBodyText"/>
        <w:rPr>
          <w:lang w:val="en-US"/>
        </w:rPr>
      </w:pPr>
      <w:r>
        <w:rPr>
          <w:lang w:val="en-US"/>
        </w:rPr>
        <w:t>The Lifetime Opportunities Monitoring Framework Update Report 1998/99 - 2010-11, published by</w:t>
      </w:r>
      <w:r w:rsidR="009E4733">
        <w:rPr>
          <w:lang w:val="en-US"/>
        </w:rPr>
        <w:t xml:space="preserve"> </w:t>
      </w:r>
      <w:r>
        <w:rPr>
          <w:lang w:val="en-US"/>
        </w:rPr>
        <w:t>our department in August 2013, presents a range of statistical targets and indicators endorsed by the Northern Ireland Executive Sub-Committee on Poverty and Social Inclusion in sup</w:t>
      </w:r>
      <w:r w:rsidR="009E4733">
        <w:rPr>
          <w:lang w:val="en-US"/>
        </w:rPr>
        <w:t xml:space="preserve">port of Lifetime Opportunities.  </w:t>
      </w:r>
      <w:r>
        <w:rPr>
          <w:lang w:val="en-US"/>
        </w:rPr>
        <w:t>The report reflects many of the commonly agreed EU and UK indicators, but also includes a number of additional indicators specific to here. A further update is anticipated in 2014.</w:t>
      </w:r>
    </w:p>
    <w:p w:rsidR="00122DAF" w:rsidRDefault="00122DAF" w:rsidP="009E4733">
      <w:pPr>
        <w:pStyle w:val="NICCYBodyText"/>
        <w:rPr>
          <w:lang w:val="en-US"/>
        </w:rPr>
      </w:pPr>
    </w:p>
    <w:p w:rsidR="006E6E52" w:rsidRPr="009E4733" w:rsidRDefault="00122DAF" w:rsidP="009E4733">
      <w:pPr>
        <w:pStyle w:val="NICCYBodyText"/>
        <w:rPr>
          <w:lang w:val="en-US"/>
        </w:rPr>
      </w:pPr>
      <w:r>
        <w:rPr>
          <w:lang w:val="en-US"/>
        </w:rPr>
        <w:t>Delivering Social Change has adopted and extended the lifecycle approach to tackling poverty and</w:t>
      </w:r>
      <w:r w:rsidR="009E4733">
        <w:rPr>
          <w:lang w:val="en-US"/>
        </w:rPr>
        <w:t xml:space="preserve"> </w:t>
      </w:r>
      <w:r>
        <w:rPr>
          <w:lang w:val="en-US"/>
        </w:rPr>
        <w:t>social exclusion, aiming to break the cycle of multi-generational problems by improving children and young people’s health, well-being and life opportunities and reducing poverty and ass</w:t>
      </w:r>
      <w:r w:rsidR="009E4733">
        <w:rPr>
          <w:lang w:val="en-US"/>
        </w:rPr>
        <w:t xml:space="preserve">ociated issues across all ages.  </w:t>
      </w:r>
      <w:r>
        <w:rPr>
          <w:lang w:val="en-US"/>
        </w:rPr>
        <w:t>However, we do not specifically measure social mobility.</w:t>
      </w:r>
    </w:p>
    <w:p w:rsidR="006E6E52" w:rsidRDefault="006E6E52" w:rsidP="009E4733">
      <w:pPr>
        <w:pStyle w:val="NICCYBodyText"/>
      </w:pPr>
    </w:p>
    <w:p w:rsidR="009E4733" w:rsidRDefault="009E4733" w:rsidP="00883F0E">
      <w:pPr>
        <w:autoSpaceDE w:val="0"/>
        <w:autoSpaceDN w:val="0"/>
        <w:adjustRightInd w:val="0"/>
        <w:spacing w:line="288" w:lineRule="auto"/>
      </w:pPr>
      <w:hyperlink w:anchor="_top" w:history="1">
        <w:r w:rsidRPr="00A92D13">
          <w:rPr>
            <w:rStyle w:val="Hyperlink"/>
          </w:rPr>
          <w:t>Back t</w:t>
        </w:r>
        <w:r w:rsidRPr="00A92D13">
          <w:rPr>
            <w:rStyle w:val="Hyperlink"/>
          </w:rPr>
          <w:t>o</w:t>
        </w:r>
        <w:r w:rsidRPr="00A92D13">
          <w:rPr>
            <w:rStyle w:val="Hyperlink"/>
          </w:rPr>
          <w:t xml:space="preserve"> Top</w:t>
        </w:r>
      </w:hyperlink>
      <w:r>
        <w:br/>
      </w:r>
    </w:p>
    <w:p w:rsidR="003B2D9B" w:rsidRDefault="003B2D9B" w:rsidP="00883F0E">
      <w:pPr>
        <w:autoSpaceDE w:val="0"/>
        <w:autoSpaceDN w:val="0"/>
        <w:adjustRightInd w:val="0"/>
        <w:spacing w:line="288" w:lineRule="auto"/>
      </w:pPr>
    </w:p>
    <w:p w:rsidR="003B2D9B" w:rsidRDefault="003B2D9B" w:rsidP="00883F0E">
      <w:pPr>
        <w:autoSpaceDE w:val="0"/>
        <w:autoSpaceDN w:val="0"/>
        <w:adjustRightInd w:val="0"/>
        <w:spacing w:line="288" w:lineRule="auto"/>
      </w:pPr>
    </w:p>
    <w:p w:rsidR="003B2D9B" w:rsidRDefault="003B2D9B" w:rsidP="00883F0E">
      <w:pPr>
        <w:autoSpaceDE w:val="0"/>
        <w:autoSpaceDN w:val="0"/>
        <w:adjustRightInd w:val="0"/>
        <w:spacing w:line="288" w:lineRule="auto"/>
      </w:pPr>
    </w:p>
    <w:p w:rsidR="003B2D9B" w:rsidRDefault="003B2D9B" w:rsidP="00883F0E">
      <w:pPr>
        <w:autoSpaceDE w:val="0"/>
        <w:autoSpaceDN w:val="0"/>
        <w:adjustRightInd w:val="0"/>
        <w:spacing w:line="288" w:lineRule="auto"/>
      </w:pPr>
    </w:p>
    <w:p w:rsidR="003B2D9B" w:rsidRDefault="003B2D9B" w:rsidP="00883F0E">
      <w:pPr>
        <w:autoSpaceDE w:val="0"/>
        <w:autoSpaceDN w:val="0"/>
        <w:adjustRightInd w:val="0"/>
        <w:spacing w:line="288" w:lineRule="auto"/>
      </w:pPr>
    </w:p>
    <w:p w:rsidR="003B2D9B" w:rsidRDefault="003B2D9B" w:rsidP="00883F0E">
      <w:pPr>
        <w:autoSpaceDE w:val="0"/>
        <w:autoSpaceDN w:val="0"/>
        <w:adjustRightInd w:val="0"/>
        <w:spacing w:line="288" w:lineRule="auto"/>
      </w:pPr>
    </w:p>
    <w:p w:rsidR="003B2D9B" w:rsidRDefault="003B2D9B" w:rsidP="00883F0E">
      <w:pPr>
        <w:autoSpaceDE w:val="0"/>
        <w:autoSpaceDN w:val="0"/>
        <w:adjustRightInd w:val="0"/>
        <w:spacing w:line="288" w:lineRule="auto"/>
      </w:pPr>
    </w:p>
    <w:p w:rsidR="003B2D9B" w:rsidRDefault="003B2D9B" w:rsidP="00883F0E">
      <w:pPr>
        <w:autoSpaceDE w:val="0"/>
        <w:autoSpaceDN w:val="0"/>
        <w:adjustRightInd w:val="0"/>
        <w:spacing w:line="288" w:lineRule="auto"/>
      </w:pPr>
    </w:p>
    <w:p w:rsidR="003E0D0A" w:rsidRDefault="003E0D0A" w:rsidP="009E4733">
      <w:pPr>
        <w:pStyle w:val="Heading2"/>
        <w:rPr>
          <w:rFonts w:eastAsiaTheme="minorEastAsia"/>
          <w:lang w:val="en-US"/>
        </w:rPr>
      </w:pPr>
      <w:bookmarkStart w:id="5" w:name="_Attendance_Rates_of"/>
      <w:bookmarkEnd w:id="5"/>
      <w:r>
        <w:rPr>
          <w:rFonts w:eastAsiaTheme="minorEastAsia"/>
          <w:lang w:val="en-US"/>
        </w:rPr>
        <w:lastRenderedPageBreak/>
        <w:t>Attendance Rates of Looked After Children</w:t>
      </w:r>
    </w:p>
    <w:p w:rsidR="003B2D9B" w:rsidRDefault="003E0D0A" w:rsidP="009E4733">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Storey </w:t>
      </w:r>
      <w:r>
        <w:rPr>
          <w:lang w:val="en-US"/>
        </w:rPr>
        <w:t xml:space="preserve">asked the Minister of Education, pursuant to AQW 30290/11-15, to explain the reasons for the differences between the attendance rates of looked after children and other pupils between the primary and post-primary sectors; and what action his Department is undertaking to address this issue. </w:t>
      </w:r>
    </w:p>
    <w:p w:rsidR="003E0D0A" w:rsidRDefault="003E0D0A" w:rsidP="009E4733">
      <w:pPr>
        <w:pStyle w:val="NICCYBodyText"/>
        <w:rPr>
          <w:rFonts w:ascii="ITCFranklinGothicDemi" w:hAnsi="ITCFranklinGothicDemi" w:cs="ITCFranklinGothicDemi"/>
          <w:lang w:val="en-US"/>
        </w:rPr>
      </w:pPr>
      <w:r>
        <w:rPr>
          <w:rFonts w:ascii="ITCFranklinGothicDemi" w:hAnsi="ITCFranklinGothicDemi" w:cs="ITCFranklinGothicDemi"/>
          <w:lang w:val="en-US"/>
        </w:rPr>
        <w:t>(AQW 31002/11-15)</w:t>
      </w:r>
    </w:p>
    <w:p w:rsidR="003E0D0A" w:rsidRDefault="003E0D0A" w:rsidP="009E4733">
      <w:pPr>
        <w:pStyle w:val="NICCYBodyText"/>
        <w:rPr>
          <w:rFonts w:ascii="ITCFranklinGothicDemi" w:hAnsi="ITCFranklinGothicDemi" w:cs="ITCFranklinGothicDemi"/>
          <w:lang w:val="en-US"/>
        </w:rPr>
      </w:pPr>
    </w:p>
    <w:p w:rsidR="003E0D0A" w:rsidRDefault="003E0D0A" w:rsidP="009E4733">
      <w:pPr>
        <w:pStyle w:val="NICCYBodyText"/>
        <w:rPr>
          <w:lang w:val="en-US"/>
        </w:rPr>
      </w:pPr>
      <w:proofErr w:type="spellStart"/>
      <w:r w:rsidRPr="009E4733">
        <w:rPr>
          <w:rFonts w:ascii="ITCFranklinGothicDemi" w:hAnsi="ITCFranklinGothicDemi" w:cs="ITCFranklinGothicDemi"/>
          <w:b/>
          <w:lang w:val="en-US"/>
        </w:rPr>
        <w:t>Mr</w:t>
      </w:r>
      <w:proofErr w:type="spellEnd"/>
      <w:r w:rsidRPr="009E4733">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There is no single or definitive reason as to why there are differences between the</w:t>
      </w:r>
      <w:r w:rsidR="009E4733">
        <w:rPr>
          <w:lang w:val="en-US"/>
        </w:rPr>
        <w:t xml:space="preserve"> </w:t>
      </w:r>
      <w:r>
        <w:rPr>
          <w:lang w:val="en-US"/>
        </w:rPr>
        <w:t>attendance rates of looked after children and other pupils between the primary and post-primary</w:t>
      </w:r>
      <w:r w:rsidR="009E4733">
        <w:rPr>
          <w:lang w:val="en-US"/>
        </w:rPr>
        <w:t xml:space="preserve"> sectors.  </w:t>
      </w:r>
      <w:r>
        <w:rPr>
          <w:lang w:val="en-US"/>
        </w:rPr>
        <w:t>In 2011 my Department commissioned a Study into how the education system can</w:t>
      </w:r>
      <w:r w:rsidR="009E4733">
        <w:rPr>
          <w:lang w:val="en-US"/>
        </w:rPr>
        <w:t xml:space="preserve"> </w:t>
      </w:r>
      <w:r>
        <w:rPr>
          <w:lang w:val="en-US"/>
        </w:rPr>
        <w:t>improve the attendance of looked after c</w:t>
      </w:r>
      <w:r w:rsidR="009E4733">
        <w:rPr>
          <w:lang w:val="en-US"/>
        </w:rPr>
        <w:t xml:space="preserve">hildren at post-primary school.  </w:t>
      </w:r>
      <w:r>
        <w:rPr>
          <w:lang w:val="en-US"/>
        </w:rPr>
        <w:t>The study, conducted by</w:t>
      </w:r>
      <w:r w:rsidR="009E4733">
        <w:rPr>
          <w:lang w:val="en-US"/>
        </w:rPr>
        <w:t xml:space="preserve"> </w:t>
      </w:r>
      <w:r>
        <w:rPr>
          <w:lang w:val="en-US"/>
        </w:rPr>
        <w:t>PricewaterhouseCoopers, identified a number of underlying causes and influences that impact on the non-attendance of looked after children, including:</w:t>
      </w:r>
    </w:p>
    <w:p w:rsidR="003E0D0A" w:rsidRDefault="003E0D0A" w:rsidP="009E4733">
      <w:pPr>
        <w:pStyle w:val="NICCYBodyText"/>
        <w:numPr>
          <w:ilvl w:val="0"/>
          <w:numId w:val="16"/>
        </w:numPr>
        <w:rPr>
          <w:lang w:val="en-US"/>
        </w:rPr>
      </w:pPr>
      <w:r>
        <w:rPr>
          <w:lang w:val="en-US"/>
        </w:rPr>
        <w:t>Peer pressure;</w:t>
      </w:r>
    </w:p>
    <w:p w:rsidR="003E0D0A" w:rsidRDefault="003E0D0A" w:rsidP="009E4733">
      <w:pPr>
        <w:pStyle w:val="NICCYBodyText"/>
        <w:numPr>
          <w:ilvl w:val="0"/>
          <w:numId w:val="16"/>
        </w:numPr>
        <w:rPr>
          <w:lang w:val="en-US"/>
        </w:rPr>
      </w:pPr>
      <w:proofErr w:type="spellStart"/>
      <w:r>
        <w:rPr>
          <w:lang w:val="en-US"/>
        </w:rPr>
        <w:t>Behavioural</w:t>
      </w:r>
      <w:proofErr w:type="spellEnd"/>
      <w:r>
        <w:rPr>
          <w:lang w:val="en-US"/>
        </w:rPr>
        <w:t xml:space="preserve"> issues;</w:t>
      </w:r>
    </w:p>
    <w:p w:rsidR="003E0D0A" w:rsidRDefault="003E0D0A" w:rsidP="009E4733">
      <w:pPr>
        <w:pStyle w:val="NICCYBodyText"/>
        <w:numPr>
          <w:ilvl w:val="0"/>
          <w:numId w:val="16"/>
        </w:numPr>
        <w:rPr>
          <w:lang w:val="en-US"/>
        </w:rPr>
      </w:pPr>
      <w:r>
        <w:rPr>
          <w:lang w:val="en-US"/>
        </w:rPr>
        <w:t>Underlying social and personal issues;</w:t>
      </w:r>
    </w:p>
    <w:p w:rsidR="003E0D0A" w:rsidRDefault="003E0D0A" w:rsidP="009E4733">
      <w:pPr>
        <w:pStyle w:val="NICCYBodyText"/>
        <w:numPr>
          <w:ilvl w:val="0"/>
          <w:numId w:val="16"/>
        </w:numPr>
        <w:rPr>
          <w:lang w:val="en-US"/>
        </w:rPr>
      </w:pPr>
      <w:r>
        <w:rPr>
          <w:lang w:val="en-US"/>
        </w:rPr>
        <w:t>Personal factors;</w:t>
      </w:r>
    </w:p>
    <w:p w:rsidR="003E0D0A" w:rsidRDefault="003E0D0A" w:rsidP="009E4733">
      <w:pPr>
        <w:pStyle w:val="NICCYBodyText"/>
        <w:numPr>
          <w:ilvl w:val="0"/>
          <w:numId w:val="16"/>
        </w:numPr>
        <w:rPr>
          <w:lang w:val="en-US"/>
        </w:rPr>
      </w:pPr>
      <w:r>
        <w:rPr>
          <w:lang w:val="en-US"/>
        </w:rPr>
        <w:t>Contact with birth parents;</w:t>
      </w:r>
    </w:p>
    <w:p w:rsidR="003E0D0A" w:rsidRDefault="003E0D0A" w:rsidP="009E4733">
      <w:pPr>
        <w:pStyle w:val="NICCYBodyText"/>
        <w:numPr>
          <w:ilvl w:val="0"/>
          <w:numId w:val="16"/>
        </w:numPr>
        <w:rPr>
          <w:lang w:val="en-US"/>
        </w:rPr>
      </w:pPr>
      <w:r>
        <w:rPr>
          <w:lang w:val="en-US"/>
        </w:rPr>
        <w:t>Socio-economic circumstances;</w:t>
      </w:r>
    </w:p>
    <w:p w:rsidR="003E0D0A" w:rsidRDefault="003E0D0A" w:rsidP="009E4733">
      <w:pPr>
        <w:pStyle w:val="NICCYBodyText"/>
        <w:numPr>
          <w:ilvl w:val="0"/>
          <w:numId w:val="16"/>
        </w:numPr>
        <w:rPr>
          <w:lang w:val="en-US"/>
        </w:rPr>
      </w:pPr>
      <w:r>
        <w:rPr>
          <w:lang w:val="en-US"/>
        </w:rPr>
        <w:t>Age when a child enters the care system;</w:t>
      </w:r>
    </w:p>
    <w:p w:rsidR="003E0D0A" w:rsidRDefault="003E0D0A" w:rsidP="009E4733">
      <w:pPr>
        <w:pStyle w:val="NICCYBodyText"/>
        <w:numPr>
          <w:ilvl w:val="0"/>
          <w:numId w:val="16"/>
        </w:numPr>
        <w:rPr>
          <w:lang w:val="en-US"/>
        </w:rPr>
      </w:pPr>
      <w:r>
        <w:rPr>
          <w:lang w:val="en-US"/>
        </w:rPr>
        <w:t>Placement type and stability; and</w:t>
      </w:r>
    </w:p>
    <w:p w:rsidR="003E0D0A" w:rsidRDefault="003E0D0A" w:rsidP="009E4733">
      <w:pPr>
        <w:pStyle w:val="NICCYBodyText"/>
        <w:numPr>
          <w:ilvl w:val="0"/>
          <w:numId w:val="16"/>
        </w:numPr>
        <w:rPr>
          <w:lang w:val="en-US"/>
        </w:rPr>
      </w:pPr>
      <w:r>
        <w:rPr>
          <w:lang w:val="en-US"/>
        </w:rPr>
        <w:t>Attitudes to education in the home/care environment.</w:t>
      </w:r>
    </w:p>
    <w:p w:rsidR="003E0D0A" w:rsidRDefault="003E0D0A" w:rsidP="003E0D0A">
      <w:pPr>
        <w:autoSpaceDE w:val="0"/>
        <w:autoSpaceDN w:val="0"/>
        <w:adjustRightInd w:val="0"/>
        <w:rPr>
          <w:rFonts w:ascii="ITCFranklinGothicBook" w:eastAsiaTheme="minorEastAsia" w:hAnsi="ITCFranklinGothicBook" w:cs="ITCFranklinGothicBook"/>
          <w:color w:val="auto"/>
          <w:sz w:val="20"/>
          <w:szCs w:val="20"/>
          <w:lang w:val="en-US"/>
        </w:rPr>
      </w:pPr>
    </w:p>
    <w:p w:rsidR="00800D3F" w:rsidRDefault="00800D3F" w:rsidP="009E4733">
      <w:pPr>
        <w:pStyle w:val="NICCYBodyText"/>
        <w:rPr>
          <w:lang w:val="en-US"/>
        </w:rPr>
      </w:pPr>
      <w:r>
        <w:rPr>
          <w:lang w:val="en-US"/>
        </w:rPr>
        <w:t>Schools should refer pupils to the Education Welfare Service (EWS) for support, if appropriate, if their</w:t>
      </w:r>
      <w:r w:rsidR="009E4733">
        <w:rPr>
          <w:lang w:val="en-US"/>
        </w:rPr>
        <w:t xml:space="preserve"> </w:t>
      </w:r>
      <w:r>
        <w:rPr>
          <w:lang w:val="en-US"/>
        </w:rPr>
        <w:t>attendance falls below 85% or if there is a cause for concern.</w:t>
      </w:r>
    </w:p>
    <w:p w:rsidR="00800D3F" w:rsidRDefault="00800D3F" w:rsidP="009E4733">
      <w:pPr>
        <w:pStyle w:val="NICCYBodyText"/>
        <w:rPr>
          <w:lang w:val="en-US"/>
        </w:rPr>
      </w:pPr>
      <w:r>
        <w:rPr>
          <w:lang w:val="en-US"/>
        </w:rPr>
        <w:t>Intervention by the EWS is tailored to the individual child following the assessment of their</w:t>
      </w:r>
    </w:p>
    <w:p w:rsidR="009E4733" w:rsidRDefault="00800D3F" w:rsidP="009E4733">
      <w:pPr>
        <w:pStyle w:val="NICCYBodyText"/>
        <w:rPr>
          <w:lang w:val="en-US"/>
        </w:rPr>
      </w:pPr>
      <w:r>
        <w:rPr>
          <w:lang w:val="en-US"/>
        </w:rPr>
        <w:t>circumstances including their needs, the parents/carer’s capacity to meet those needs and the family</w:t>
      </w:r>
      <w:r w:rsidR="009E4733">
        <w:rPr>
          <w:lang w:val="en-US"/>
        </w:rPr>
        <w:t xml:space="preserve"> and environmental factors.  </w:t>
      </w:r>
      <w:r>
        <w:rPr>
          <w:lang w:val="en-US"/>
        </w:rPr>
        <w:t>Provision of advice and support, consideration of warnings or any onward</w:t>
      </w:r>
      <w:r w:rsidR="009E4733">
        <w:rPr>
          <w:lang w:val="en-US"/>
        </w:rPr>
        <w:t xml:space="preserve"> </w:t>
      </w:r>
      <w:r>
        <w:rPr>
          <w:lang w:val="en-US"/>
        </w:rPr>
        <w:t>referral is completely determined by the outcome of this assessment.</w:t>
      </w:r>
    </w:p>
    <w:p w:rsidR="003B2D9B" w:rsidRDefault="003B2D9B" w:rsidP="009E4733">
      <w:pPr>
        <w:pStyle w:val="NICCYBodyText"/>
        <w:rPr>
          <w:lang w:val="en-US"/>
        </w:rPr>
      </w:pPr>
    </w:p>
    <w:p w:rsidR="003B2D9B" w:rsidRDefault="003B2D9B" w:rsidP="009E4733">
      <w:pPr>
        <w:pStyle w:val="NICCYBodyText"/>
        <w:rPr>
          <w:lang w:val="en-US"/>
        </w:rPr>
      </w:pPr>
    </w:p>
    <w:p w:rsidR="003B2D9B" w:rsidRDefault="003B2D9B" w:rsidP="009E4733">
      <w:pPr>
        <w:pStyle w:val="NICCYBodyText"/>
        <w:rPr>
          <w:lang w:val="en-US"/>
        </w:rPr>
      </w:pPr>
    </w:p>
    <w:p w:rsidR="003B2D9B" w:rsidRDefault="003B2D9B" w:rsidP="009E4733">
      <w:pPr>
        <w:pStyle w:val="NICCYBodyText"/>
        <w:rPr>
          <w:lang w:val="en-US"/>
        </w:rPr>
      </w:pPr>
    </w:p>
    <w:p w:rsidR="009E4733" w:rsidRDefault="009E4733" w:rsidP="009E4733">
      <w:pPr>
        <w:pStyle w:val="NICCYBodyText"/>
        <w:rPr>
          <w:lang w:val="en-US"/>
        </w:rPr>
      </w:pPr>
    </w:p>
    <w:p w:rsidR="00800D3F" w:rsidRDefault="00800D3F" w:rsidP="009E4733">
      <w:pPr>
        <w:pStyle w:val="NICCYBodyText"/>
        <w:rPr>
          <w:lang w:val="en-US"/>
        </w:rPr>
      </w:pPr>
      <w:r>
        <w:rPr>
          <w:lang w:val="en-US"/>
        </w:rPr>
        <w:lastRenderedPageBreak/>
        <w:t>A number of initiatives are also aimed at improving the attendance of looked after children. For example:</w:t>
      </w:r>
    </w:p>
    <w:p w:rsidR="00800D3F" w:rsidRPr="009E4733" w:rsidRDefault="00800D3F" w:rsidP="009E4733">
      <w:pPr>
        <w:pStyle w:val="NICCYBodyText"/>
        <w:numPr>
          <w:ilvl w:val="0"/>
          <w:numId w:val="17"/>
        </w:numPr>
        <w:rPr>
          <w:lang w:val="en-US"/>
        </w:rPr>
      </w:pPr>
      <w:r>
        <w:rPr>
          <w:lang w:val="en-US"/>
        </w:rPr>
        <w:t>The North Eastern Education and Library Board, through the Residential Study Support Project</w:t>
      </w:r>
      <w:r w:rsidR="009E4733">
        <w:rPr>
          <w:lang w:val="en-US"/>
        </w:rPr>
        <w:t xml:space="preserve"> </w:t>
      </w:r>
      <w:r w:rsidRPr="009E4733">
        <w:rPr>
          <w:lang w:val="en-US"/>
        </w:rPr>
        <w:t>have been facilitating homework and study support in residential units in the Northern Health and</w:t>
      </w:r>
      <w:r w:rsidR="009E4733">
        <w:rPr>
          <w:lang w:val="en-US"/>
        </w:rPr>
        <w:t xml:space="preserve"> </w:t>
      </w:r>
      <w:r w:rsidRPr="009E4733">
        <w:rPr>
          <w:lang w:val="en-US"/>
        </w:rPr>
        <w:t xml:space="preserve">Social Care </w:t>
      </w:r>
      <w:r w:rsidR="009E4733">
        <w:rPr>
          <w:lang w:val="en-US"/>
        </w:rPr>
        <w:t xml:space="preserve">Trust area during the evenings.  </w:t>
      </w:r>
      <w:r w:rsidRPr="009E4733">
        <w:rPr>
          <w:lang w:val="en-US"/>
        </w:rPr>
        <w:t>A particular focus to this work over recent years is to</w:t>
      </w:r>
      <w:r w:rsidR="009E4733">
        <w:rPr>
          <w:lang w:val="en-US"/>
        </w:rPr>
        <w:t xml:space="preserve"> </w:t>
      </w:r>
      <w:r w:rsidRPr="009E4733">
        <w:rPr>
          <w:lang w:val="en-US"/>
        </w:rPr>
        <w:t>undertake capacity building for residential social workers in relation to their corporate parenting</w:t>
      </w:r>
      <w:r w:rsidR="009E4733">
        <w:rPr>
          <w:lang w:val="en-US"/>
        </w:rPr>
        <w:t xml:space="preserve"> </w:t>
      </w:r>
      <w:r w:rsidRPr="009E4733">
        <w:rPr>
          <w:lang w:val="en-US"/>
        </w:rPr>
        <w:t>responsibilities in respect of looked after children education.</w:t>
      </w:r>
    </w:p>
    <w:p w:rsidR="006E6E52" w:rsidRPr="009E4733" w:rsidRDefault="00800D3F" w:rsidP="009E4733">
      <w:pPr>
        <w:pStyle w:val="NICCYBodyText"/>
        <w:numPr>
          <w:ilvl w:val="0"/>
          <w:numId w:val="17"/>
        </w:numPr>
        <w:rPr>
          <w:lang w:val="en-US"/>
        </w:rPr>
      </w:pPr>
      <w:r>
        <w:rPr>
          <w:lang w:val="en-US"/>
        </w:rPr>
        <w:t>The Attachment Project (TAP) is a pilot project within the Belfast and South Eastern Education and</w:t>
      </w:r>
      <w:r w:rsidR="009E4733">
        <w:rPr>
          <w:lang w:val="en-US"/>
        </w:rPr>
        <w:t xml:space="preserve"> </w:t>
      </w:r>
      <w:r w:rsidRPr="009E4733">
        <w:rPr>
          <w:lang w:val="en-US"/>
        </w:rPr>
        <w:t>Library Boards which focuses on building capacity and awareness in schools on understanding</w:t>
      </w:r>
      <w:r w:rsidR="009E4733">
        <w:rPr>
          <w:lang w:val="en-US"/>
        </w:rPr>
        <w:t xml:space="preserve"> </w:t>
      </w:r>
      <w:r w:rsidRPr="009E4733">
        <w:rPr>
          <w:lang w:val="en-US"/>
        </w:rPr>
        <w:t>and managing attachment issues for looked after</w:t>
      </w:r>
      <w:r w:rsidR="009E4733">
        <w:rPr>
          <w:lang w:val="en-US"/>
        </w:rPr>
        <w:t xml:space="preserve"> </w:t>
      </w:r>
      <w:r w:rsidRPr="009E4733">
        <w:rPr>
          <w:lang w:val="en-US"/>
        </w:rPr>
        <w:t>children. This project will be evaluated through</w:t>
      </w:r>
      <w:r w:rsidR="009E4733">
        <w:rPr>
          <w:lang w:val="en-US"/>
        </w:rPr>
        <w:t xml:space="preserve"> </w:t>
      </w:r>
      <w:r w:rsidRPr="009E4733">
        <w:rPr>
          <w:lang w:val="en-US"/>
        </w:rPr>
        <w:t>Queen’s University of Belfast in the coming months and it is hoped to extend its reach in the</w:t>
      </w:r>
      <w:r w:rsidR="009E4733" w:rsidRPr="009E4733">
        <w:rPr>
          <w:lang w:val="en-US"/>
        </w:rPr>
        <w:t xml:space="preserve"> </w:t>
      </w:r>
      <w:r w:rsidRPr="009E4733">
        <w:rPr>
          <w:lang w:val="en-US"/>
        </w:rPr>
        <w:t xml:space="preserve">coming academic year. This project also has the benefit of enabling teachers to </w:t>
      </w:r>
      <w:r w:rsidR="009E4733">
        <w:rPr>
          <w:lang w:val="en-US"/>
        </w:rPr>
        <w:t>utilize.</w:t>
      </w:r>
    </w:p>
    <w:p w:rsidR="006E6E52" w:rsidRDefault="006E6E52" w:rsidP="009E4733">
      <w:pPr>
        <w:pStyle w:val="NICCYBodyText"/>
      </w:pPr>
    </w:p>
    <w:p w:rsidR="009E4733" w:rsidRPr="006F3A42" w:rsidRDefault="009E4733" w:rsidP="009E4733">
      <w:pPr>
        <w:autoSpaceDE w:val="0"/>
        <w:autoSpaceDN w:val="0"/>
        <w:adjustRightInd w:val="0"/>
        <w:spacing w:line="288" w:lineRule="auto"/>
      </w:pPr>
      <w:hyperlink w:anchor="_top" w:history="1">
        <w:r w:rsidRPr="00A92D13">
          <w:rPr>
            <w:rStyle w:val="Hyperlink"/>
          </w:rPr>
          <w:t>Back to</w:t>
        </w:r>
        <w:r w:rsidRPr="00A92D13">
          <w:rPr>
            <w:rStyle w:val="Hyperlink"/>
          </w:rPr>
          <w:t xml:space="preserve"> </w:t>
        </w:r>
        <w:r w:rsidRPr="00A92D13">
          <w:rPr>
            <w:rStyle w:val="Hyperlink"/>
          </w:rPr>
          <w:t>Top</w:t>
        </w:r>
      </w:hyperlink>
    </w:p>
    <w:p w:rsidR="00045BD8" w:rsidRDefault="00045BD8" w:rsidP="009E4733">
      <w:pPr>
        <w:pStyle w:val="Heading2"/>
        <w:rPr>
          <w:rFonts w:eastAsiaTheme="minorEastAsia"/>
          <w:lang w:val="en-US"/>
        </w:rPr>
      </w:pPr>
      <w:bookmarkStart w:id="6" w:name="_Future_Provision_of"/>
      <w:bookmarkEnd w:id="6"/>
      <w:r>
        <w:rPr>
          <w:rFonts w:eastAsiaTheme="minorEastAsia"/>
          <w:lang w:val="en-US"/>
        </w:rPr>
        <w:t>Future Provision of Post-Primary Education</w:t>
      </w:r>
    </w:p>
    <w:p w:rsidR="00045BD8" w:rsidRDefault="00045BD8" w:rsidP="009E4733">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Allister</w:t>
      </w:r>
      <w:proofErr w:type="spellEnd"/>
      <w:r>
        <w:rPr>
          <w:rFonts w:ascii="ITCFranklinGothicDemi" w:hAnsi="ITCFranklinGothicDemi" w:cs="ITCFranklinGothicDemi"/>
          <w:lang w:val="en-US"/>
        </w:rPr>
        <w:t xml:space="preserve"> </w:t>
      </w:r>
      <w:r>
        <w:rPr>
          <w:lang w:val="en-US"/>
        </w:rPr>
        <w:t>asked the Minister of Education how he will adjust his policy approach to take into account</w:t>
      </w:r>
      <w:r w:rsidR="009E4733">
        <w:rPr>
          <w:lang w:val="en-US"/>
        </w:rPr>
        <w:t xml:space="preserve"> </w:t>
      </w:r>
      <w:r>
        <w:rPr>
          <w:lang w:val="en-US"/>
        </w:rPr>
        <w:t>the decision of the Southern Education and Library Board to abandon the consideration of Option A on</w:t>
      </w:r>
      <w:r w:rsidR="009E4733">
        <w:rPr>
          <w:lang w:val="en-US"/>
        </w:rPr>
        <w:t xml:space="preserve"> </w:t>
      </w:r>
      <w:r>
        <w:rPr>
          <w:lang w:val="en-US"/>
        </w:rPr>
        <w:t>the future provision of post-primary education.</w:t>
      </w:r>
    </w:p>
    <w:p w:rsidR="00045BD8" w:rsidRDefault="00045BD8" w:rsidP="009E4733">
      <w:pPr>
        <w:pStyle w:val="NICCYBodyText"/>
        <w:rPr>
          <w:rFonts w:ascii="ITCFranklinGothicDemi" w:hAnsi="ITCFranklinGothicDemi" w:cs="ITCFranklinGothicDemi"/>
          <w:lang w:val="en-US"/>
        </w:rPr>
      </w:pPr>
      <w:r>
        <w:rPr>
          <w:rFonts w:ascii="ITCFranklinGothicDemi" w:hAnsi="ITCFranklinGothicDemi" w:cs="ITCFranklinGothicDemi"/>
          <w:lang w:val="en-US"/>
        </w:rPr>
        <w:t>(AQW 31055/11-15)</w:t>
      </w:r>
    </w:p>
    <w:p w:rsidR="009E4733" w:rsidRDefault="009E4733" w:rsidP="009E4733">
      <w:pPr>
        <w:pStyle w:val="NICCYBodyText"/>
        <w:rPr>
          <w:rFonts w:ascii="ITCFranklinGothicDemi" w:hAnsi="ITCFranklinGothicDemi" w:cs="ITCFranklinGothicDemi"/>
          <w:lang w:val="en-US"/>
        </w:rPr>
      </w:pPr>
    </w:p>
    <w:p w:rsidR="006E6E52" w:rsidRDefault="00045BD8" w:rsidP="009E4733">
      <w:pPr>
        <w:pStyle w:val="NICCYBodyText"/>
        <w:rPr>
          <w:lang w:val="en-US"/>
        </w:rPr>
      </w:pPr>
      <w:proofErr w:type="spellStart"/>
      <w:r w:rsidRPr="009E4733">
        <w:rPr>
          <w:rFonts w:ascii="ITCFranklinGothicDemi" w:hAnsi="ITCFranklinGothicDemi" w:cs="ITCFranklinGothicDemi"/>
          <w:b/>
          <w:lang w:val="en-US"/>
        </w:rPr>
        <w:t>Mr</w:t>
      </w:r>
      <w:proofErr w:type="spellEnd"/>
      <w:r w:rsidRPr="009E4733">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I am aware that the Southern Education and Library Board (SELB), at its meeting on 12</w:t>
      </w:r>
      <w:r w:rsidR="009E4733">
        <w:rPr>
          <w:lang w:val="en-US"/>
        </w:rPr>
        <w:t xml:space="preserve"> </w:t>
      </w:r>
      <w:r>
        <w:rPr>
          <w:lang w:val="en-US"/>
        </w:rPr>
        <w:t>February 2014, decided to stop the consultation on the Board’s preferred option in respect of ‘Updating</w:t>
      </w:r>
      <w:r w:rsidR="009E4733">
        <w:rPr>
          <w:lang w:val="en-US"/>
        </w:rPr>
        <w:t xml:space="preserve"> </w:t>
      </w:r>
      <w:r>
        <w:rPr>
          <w:lang w:val="en-US"/>
        </w:rPr>
        <w:t>the Dickson Plan: the SELB proposals’, and to move forward with a more wide ranging consultation</w:t>
      </w:r>
      <w:r w:rsidR="009E4733">
        <w:rPr>
          <w:lang w:val="en-US"/>
        </w:rPr>
        <w:t xml:space="preserve"> </w:t>
      </w:r>
      <w:r>
        <w:rPr>
          <w:lang w:val="en-US"/>
        </w:rPr>
        <w:t>process.</w:t>
      </w:r>
      <w:r w:rsidR="008D5DE4">
        <w:rPr>
          <w:lang w:val="en-US"/>
        </w:rPr>
        <w:t xml:space="preserve">  </w:t>
      </w:r>
      <w:r>
        <w:rPr>
          <w:lang w:val="en-US"/>
        </w:rPr>
        <w:t>I am concerned that despite recognition for several years that all pupils in the controlled sector in</w:t>
      </w:r>
      <w:r w:rsidR="009E4733">
        <w:rPr>
          <w:lang w:val="en-US"/>
        </w:rPr>
        <w:t xml:space="preserve"> </w:t>
      </w:r>
      <w:r>
        <w:rPr>
          <w:lang w:val="en-US"/>
        </w:rPr>
        <w:t>the Craigavon area do not have access to equitable educational provision and despite the SELB</w:t>
      </w:r>
      <w:r w:rsidR="009E4733">
        <w:rPr>
          <w:lang w:val="en-US"/>
        </w:rPr>
        <w:t xml:space="preserve"> </w:t>
      </w:r>
      <w:r>
        <w:rPr>
          <w:lang w:val="en-US"/>
        </w:rPr>
        <w:t>pronouncement in June 2013 that retaining the status quo is not an option, the Board has failed to</w:t>
      </w:r>
      <w:r w:rsidR="009E4733">
        <w:rPr>
          <w:lang w:val="en-US"/>
        </w:rPr>
        <w:t xml:space="preserve"> </w:t>
      </w:r>
      <w:r>
        <w:rPr>
          <w:lang w:val="en-US"/>
        </w:rPr>
        <w:t>come forward with a strategic plan to address the fundamental inequali</w:t>
      </w:r>
      <w:r w:rsidR="008D5DE4">
        <w:rPr>
          <w:lang w:val="en-US"/>
        </w:rPr>
        <w:t xml:space="preserve">ty at the heart of this matter.  </w:t>
      </w:r>
      <w:r>
        <w:rPr>
          <w:lang w:val="en-US"/>
        </w:rPr>
        <w:t>I</w:t>
      </w:r>
      <w:r w:rsidR="008D5DE4">
        <w:rPr>
          <w:lang w:val="en-US"/>
        </w:rPr>
        <w:t xml:space="preserve"> </w:t>
      </w:r>
      <w:r>
        <w:rPr>
          <w:lang w:val="en-US"/>
        </w:rPr>
        <w:t>will be seeking robust assurances aligned to a timeframe as to how they intend to eradicate education</w:t>
      </w:r>
      <w:r w:rsidR="008D5DE4">
        <w:rPr>
          <w:lang w:val="en-US"/>
        </w:rPr>
        <w:t xml:space="preserve"> </w:t>
      </w:r>
      <w:r>
        <w:rPr>
          <w:lang w:val="en-US"/>
        </w:rPr>
        <w:t>inequality for the controlled sector in the Dickson plan area.</w:t>
      </w:r>
      <w:r w:rsidR="008D5DE4">
        <w:rPr>
          <w:lang w:val="en-US"/>
        </w:rPr>
        <w:t xml:space="preserve">  </w:t>
      </w:r>
      <w:r>
        <w:rPr>
          <w:lang w:val="en-US"/>
        </w:rPr>
        <w:t>The issues present in Craigavon, and in fact in many areas, highlight the need for area planning. The</w:t>
      </w:r>
      <w:r w:rsidR="008D5DE4">
        <w:rPr>
          <w:lang w:val="en-US"/>
        </w:rPr>
        <w:t xml:space="preserve"> </w:t>
      </w:r>
      <w:r>
        <w:rPr>
          <w:lang w:val="en-US"/>
        </w:rPr>
        <w:t>decision of the SELB does not give me cause to adjust the strategic approach being undertaken.</w:t>
      </w:r>
    </w:p>
    <w:p w:rsidR="008D5DE4" w:rsidRPr="003B2D9B" w:rsidRDefault="008D5DE4" w:rsidP="00045BD8">
      <w:pPr>
        <w:autoSpaceDE w:val="0"/>
        <w:autoSpaceDN w:val="0"/>
        <w:adjustRightInd w:val="0"/>
        <w:spacing w:line="288" w:lineRule="auto"/>
      </w:pPr>
      <w:hyperlink w:anchor="_top" w:history="1">
        <w:r w:rsidRPr="00A92D13">
          <w:rPr>
            <w:rStyle w:val="Hyperlink"/>
          </w:rPr>
          <w:t>Back t</w:t>
        </w:r>
        <w:r w:rsidRPr="00A92D13">
          <w:rPr>
            <w:rStyle w:val="Hyperlink"/>
          </w:rPr>
          <w:t>o</w:t>
        </w:r>
        <w:r w:rsidRPr="00A92D13">
          <w:rPr>
            <w:rStyle w:val="Hyperlink"/>
          </w:rPr>
          <w:t xml:space="preserve"> Top</w:t>
        </w:r>
      </w:hyperlink>
    </w:p>
    <w:p w:rsidR="001D710B" w:rsidRDefault="001D710B" w:rsidP="008D5DE4">
      <w:pPr>
        <w:pStyle w:val="Heading2"/>
        <w:rPr>
          <w:rFonts w:eastAsiaTheme="minorEastAsia"/>
          <w:lang w:val="en-US"/>
        </w:rPr>
      </w:pPr>
      <w:bookmarkStart w:id="7" w:name="_Coach_Operators_and"/>
      <w:bookmarkEnd w:id="7"/>
      <w:r>
        <w:rPr>
          <w:rFonts w:eastAsiaTheme="minorEastAsia"/>
          <w:lang w:val="en-US"/>
        </w:rPr>
        <w:lastRenderedPageBreak/>
        <w:t>Coach Operators and Private Tour Organisers: Safeguarding of Young People</w:t>
      </w:r>
    </w:p>
    <w:p w:rsidR="001D710B" w:rsidRDefault="001D710B" w:rsidP="008D5DE4">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Craig </w:t>
      </w:r>
      <w:r>
        <w:rPr>
          <w:lang w:val="en-US"/>
        </w:rPr>
        <w:t>asked the Minister of the Environment to detail how coach operators and private tour</w:t>
      </w:r>
      <w:r w:rsidR="008D5DE4">
        <w:rPr>
          <w:lang w:val="en-US"/>
        </w:rPr>
        <w:t xml:space="preserve"> </w:t>
      </w:r>
      <w:r>
        <w:rPr>
          <w:lang w:val="en-US"/>
        </w:rPr>
        <w:t>organisers are governed with regard to the safeguarding of young people of post-primary school age in</w:t>
      </w:r>
      <w:r w:rsidR="008D5DE4">
        <w:rPr>
          <w:lang w:val="en-US"/>
        </w:rPr>
        <w:t xml:space="preserve"> </w:t>
      </w:r>
      <w:r>
        <w:rPr>
          <w:lang w:val="en-US"/>
        </w:rPr>
        <w:t>their care.</w:t>
      </w:r>
    </w:p>
    <w:p w:rsidR="001D710B" w:rsidRDefault="001D710B" w:rsidP="008D5DE4">
      <w:pPr>
        <w:pStyle w:val="NICCYBodyText"/>
        <w:rPr>
          <w:rFonts w:ascii="ITCFranklinGothicDemi" w:hAnsi="ITCFranklinGothicDemi" w:cs="ITCFranklinGothicDemi"/>
          <w:lang w:val="en-US"/>
        </w:rPr>
      </w:pPr>
      <w:r>
        <w:rPr>
          <w:rFonts w:ascii="ITCFranklinGothicDemi" w:hAnsi="ITCFranklinGothicDemi" w:cs="ITCFranklinGothicDemi"/>
          <w:lang w:val="en-US"/>
        </w:rPr>
        <w:t>(AQW 31165/11-15)</w:t>
      </w:r>
    </w:p>
    <w:p w:rsidR="008D5DE4" w:rsidRDefault="008D5DE4" w:rsidP="008D5DE4">
      <w:pPr>
        <w:pStyle w:val="NICCYBodyText"/>
        <w:rPr>
          <w:rFonts w:ascii="ITCFranklinGothicDemi" w:hAnsi="ITCFranklinGothicDemi" w:cs="ITCFranklinGothicDemi"/>
          <w:lang w:val="en-US"/>
        </w:rPr>
      </w:pPr>
    </w:p>
    <w:p w:rsidR="001D710B" w:rsidRDefault="001D710B" w:rsidP="008D5DE4">
      <w:pPr>
        <w:pStyle w:val="NICCYBodyText"/>
        <w:rPr>
          <w:lang w:val="en-US"/>
        </w:rPr>
      </w:pPr>
      <w:proofErr w:type="spellStart"/>
      <w:r w:rsidRPr="008D5DE4">
        <w:rPr>
          <w:rFonts w:ascii="ITCFranklinGothicDemi" w:hAnsi="ITCFranklinGothicDemi" w:cs="ITCFranklinGothicDemi"/>
          <w:b/>
          <w:lang w:val="en-US"/>
        </w:rPr>
        <w:t>Mr</w:t>
      </w:r>
      <w:proofErr w:type="spellEnd"/>
      <w:r w:rsidRPr="008D5DE4">
        <w:rPr>
          <w:rFonts w:ascii="ITCFranklinGothicDemi" w:hAnsi="ITCFranklinGothicDemi" w:cs="ITCFranklinGothicDemi"/>
          <w:b/>
          <w:lang w:val="en-US"/>
        </w:rPr>
        <w:t xml:space="preserve"> </w:t>
      </w:r>
      <w:proofErr w:type="spellStart"/>
      <w:r w:rsidRPr="008D5DE4">
        <w:rPr>
          <w:rFonts w:ascii="ITCFranklinGothicDemi" w:hAnsi="ITCFranklinGothicDemi" w:cs="ITCFranklinGothicDemi"/>
          <w:b/>
          <w:lang w:val="en-US"/>
        </w:rPr>
        <w:t>Durkan</w:t>
      </w:r>
      <w:proofErr w:type="spellEnd"/>
      <w:r w:rsidRPr="008D5DE4">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There are a number of measures in place to govern the safeguarding of young people in</w:t>
      </w:r>
      <w:r w:rsidR="008D5DE4">
        <w:rPr>
          <w:lang w:val="en-US"/>
        </w:rPr>
        <w:t xml:space="preserve"> </w:t>
      </w:r>
      <w:r>
        <w:rPr>
          <w:lang w:val="en-US"/>
        </w:rPr>
        <w:t>respect of licensing conditions.</w:t>
      </w:r>
      <w:r w:rsidR="008D5DE4">
        <w:rPr>
          <w:lang w:val="en-US"/>
        </w:rPr>
        <w:t xml:space="preserve">  </w:t>
      </w:r>
      <w:r>
        <w:rPr>
          <w:lang w:val="en-US"/>
        </w:rPr>
        <w:t xml:space="preserve">Holders of bus operator </w:t>
      </w:r>
      <w:r w:rsidR="008D5DE4">
        <w:rPr>
          <w:lang w:val="en-US"/>
        </w:rPr>
        <w:t>licenses</w:t>
      </w:r>
      <w:r>
        <w:rPr>
          <w:lang w:val="en-US"/>
        </w:rPr>
        <w:t xml:space="preserve"> are required to be of good repute and, as part of the process of</w:t>
      </w:r>
      <w:r w:rsidR="008D5DE4">
        <w:rPr>
          <w:lang w:val="en-US"/>
        </w:rPr>
        <w:t xml:space="preserve"> </w:t>
      </w:r>
      <w:r>
        <w:rPr>
          <w:lang w:val="en-US"/>
        </w:rPr>
        <w:t>determining if an applicant meets this requirement, a basic disclosure certificate for every person</w:t>
      </w:r>
      <w:r w:rsidR="008D5DE4">
        <w:rPr>
          <w:lang w:val="en-US"/>
        </w:rPr>
        <w:t xml:space="preserve"> </w:t>
      </w:r>
      <w:r>
        <w:rPr>
          <w:lang w:val="en-US"/>
        </w:rPr>
        <w:t>named on the application (such as owners, partners, directors and transport managers) must be</w:t>
      </w:r>
    </w:p>
    <w:p w:rsidR="006E6E52" w:rsidRDefault="001D710B" w:rsidP="008D5DE4">
      <w:pPr>
        <w:pStyle w:val="NICCYBodyText"/>
        <w:rPr>
          <w:lang w:val="en-US"/>
        </w:rPr>
      </w:pPr>
      <w:r>
        <w:rPr>
          <w:lang w:val="en-US"/>
        </w:rPr>
        <w:t xml:space="preserve">submitted in support of applications for </w:t>
      </w:r>
      <w:r w:rsidR="008D5DE4">
        <w:rPr>
          <w:lang w:val="en-US"/>
        </w:rPr>
        <w:t xml:space="preserve">licenses.  </w:t>
      </w:r>
      <w:r>
        <w:rPr>
          <w:lang w:val="en-US"/>
        </w:rPr>
        <w:t>Basic disclosure certificates, issued by AccessNI,</w:t>
      </w:r>
      <w:r w:rsidR="008D5DE4">
        <w:rPr>
          <w:lang w:val="en-US"/>
        </w:rPr>
        <w:t xml:space="preserve"> show all unspent convictions.  </w:t>
      </w:r>
      <w:r>
        <w:rPr>
          <w:lang w:val="en-US"/>
        </w:rPr>
        <w:t>This information is taken into consideration when assessing an</w:t>
      </w:r>
      <w:r w:rsidR="008D5DE4">
        <w:rPr>
          <w:lang w:val="en-US"/>
        </w:rPr>
        <w:t xml:space="preserve"> </w:t>
      </w:r>
      <w:r>
        <w:rPr>
          <w:lang w:val="en-US"/>
        </w:rPr>
        <w:t xml:space="preserve">application for a </w:t>
      </w:r>
      <w:proofErr w:type="spellStart"/>
      <w:r>
        <w:rPr>
          <w:lang w:val="en-US"/>
        </w:rPr>
        <w:t>licence</w:t>
      </w:r>
      <w:proofErr w:type="spellEnd"/>
      <w:r>
        <w:rPr>
          <w:lang w:val="en-US"/>
        </w:rPr>
        <w:t>.</w:t>
      </w:r>
      <w:r w:rsidR="008D5DE4">
        <w:rPr>
          <w:lang w:val="en-US"/>
        </w:rPr>
        <w:t xml:space="preserve">  </w:t>
      </w:r>
      <w:r>
        <w:rPr>
          <w:lang w:val="en-US"/>
        </w:rPr>
        <w:t>In addition, bus drivers, who, unlike bus operators, will be in contact with passengers, must also be</w:t>
      </w:r>
      <w:r w:rsidR="008D5DE4">
        <w:rPr>
          <w:lang w:val="en-US"/>
        </w:rPr>
        <w:t xml:space="preserve"> </w:t>
      </w:r>
      <w:r>
        <w:rPr>
          <w:lang w:val="en-US"/>
        </w:rPr>
        <w:t>judged to be fit persons to hold a licence to drive a bus and they too must submit a basic disclosure</w:t>
      </w:r>
      <w:r w:rsidR="008D5DE4">
        <w:rPr>
          <w:lang w:val="en-US"/>
        </w:rPr>
        <w:t xml:space="preserve"> </w:t>
      </w:r>
      <w:r>
        <w:rPr>
          <w:lang w:val="en-US"/>
        </w:rPr>
        <w:t>certificate that will reveal any unspent con</w:t>
      </w:r>
      <w:r w:rsidR="008D5DE4">
        <w:rPr>
          <w:lang w:val="en-US"/>
        </w:rPr>
        <w:t xml:space="preserve">victions recorded against them.  </w:t>
      </w:r>
      <w:r>
        <w:rPr>
          <w:lang w:val="en-US"/>
        </w:rPr>
        <w:t>Again, this information is</w:t>
      </w:r>
      <w:r w:rsidR="008D5DE4">
        <w:rPr>
          <w:lang w:val="en-US"/>
        </w:rPr>
        <w:t xml:space="preserve"> </w:t>
      </w:r>
      <w:r>
        <w:rPr>
          <w:lang w:val="en-US"/>
        </w:rPr>
        <w:t>considered as part of the application process.</w:t>
      </w:r>
      <w:r w:rsidR="008D5DE4">
        <w:rPr>
          <w:lang w:val="en-US"/>
        </w:rPr>
        <w:t xml:space="preserve">  </w:t>
      </w:r>
      <w:r>
        <w:rPr>
          <w:lang w:val="en-US"/>
        </w:rPr>
        <w:t xml:space="preserve">Where an applicant for an operator’s or a driver’s </w:t>
      </w:r>
      <w:proofErr w:type="spellStart"/>
      <w:r>
        <w:rPr>
          <w:lang w:val="en-US"/>
        </w:rPr>
        <w:t>licence</w:t>
      </w:r>
      <w:proofErr w:type="spellEnd"/>
      <w:r>
        <w:rPr>
          <w:lang w:val="en-US"/>
        </w:rPr>
        <w:t xml:space="preserve"> has been convicted of an offence, and the</w:t>
      </w:r>
      <w:r w:rsidR="008D5DE4">
        <w:rPr>
          <w:lang w:val="en-US"/>
        </w:rPr>
        <w:t xml:space="preserve"> </w:t>
      </w:r>
      <w:r>
        <w:rPr>
          <w:lang w:val="en-US"/>
        </w:rPr>
        <w:t>conviction remains unspent, the Department will assess the nature and severity of the offence before</w:t>
      </w:r>
      <w:r w:rsidR="008D5DE4">
        <w:rPr>
          <w:lang w:val="en-US"/>
        </w:rPr>
        <w:t xml:space="preserve"> </w:t>
      </w:r>
      <w:r>
        <w:rPr>
          <w:lang w:val="en-US"/>
        </w:rPr>
        <w:t xml:space="preserve">deciding whether the </w:t>
      </w:r>
      <w:proofErr w:type="spellStart"/>
      <w:r>
        <w:rPr>
          <w:lang w:val="en-US"/>
        </w:rPr>
        <w:t>licence</w:t>
      </w:r>
      <w:proofErr w:type="spellEnd"/>
      <w:r>
        <w:rPr>
          <w:lang w:val="en-US"/>
        </w:rPr>
        <w:t xml:space="preserve"> shoul</w:t>
      </w:r>
      <w:r w:rsidR="008D5DE4">
        <w:rPr>
          <w:lang w:val="en-US"/>
        </w:rPr>
        <w:t xml:space="preserve">d be granted.  </w:t>
      </w:r>
      <w:r>
        <w:rPr>
          <w:lang w:val="en-US"/>
        </w:rPr>
        <w:t>Offences that might suggest any danger to children or</w:t>
      </w:r>
      <w:r w:rsidR="008D5DE4">
        <w:rPr>
          <w:lang w:val="en-US"/>
        </w:rPr>
        <w:t xml:space="preserve"> </w:t>
      </w:r>
      <w:r>
        <w:rPr>
          <w:lang w:val="en-US"/>
        </w:rPr>
        <w:t>any vulnerable person will be given a great deal of weight in this judgment.</w:t>
      </w:r>
    </w:p>
    <w:p w:rsidR="001D710B" w:rsidRDefault="001D710B" w:rsidP="001D710B">
      <w:pPr>
        <w:autoSpaceDE w:val="0"/>
        <w:autoSpaceDN w:val="0"/>
        <w:adjustRightInd w:val="0"/>
        <w:spacing w:line="288" w:lineRule="auto"/>
        <w:rPr>
          <w:rFonts w:ascii="ITCFranklinGothicBook" w:eastAsiaTheme="minorEastAsia" w:hAnsi="ITCFranklinGothicBook" w:cs="ITCFranklinGothicBook"/>
          <w:color w:val="auto"/>
          <w:sz w:val="20"/>
          <w:szCs w:val="20"/>
          <w:lang w:val="en-US"/>
        </w:rPr>
      </w:pPr>
    </w:p>
    <w:p w:rsidR="001D710B" w:rsidRDefault="008D5DE4" w:rsidP="001D710B">
      <w:pPr>
        <w:autoSpaceDE w:val="0"/>
        <w:autoSpaceDN w:val="0"/>
        <w:adjustRightInd w:val="0"/>
        <w:spacing w:line="288" w:lineRule="auto"/>
      </w:pPr>
      <w:hyperlink w:anchor="_top" w:history="1">
        <w:r w:rsidRPr="00A92D13">
          <w:rPr>
            <w:rStyle w:val="Hyperlink"/>
          </w:rPr>
          <w:t xml:space="preserve">Back to </w:t>
        </w:r>
        <w:r w:rsidRPr="00A92D13">
          <w:rPr>
            <w:rStyle w:val="Hyperlink"/>
          </w:rPr>
          <w:t>T</w:t>
        </w:r>
        <w:r w:rsidRPr="00A92D13">
          <w:rPr>
            <w:rStyle w:val="Hyperlink"/>
          </w:rPr>
          <w:t>op</w:t>
        </w:r>
      </w:hyperlink>
    </w:p>
    <w:p w:rsidR="008D5DE4" w:rsidRDefault="008D5DE4" w:rsidP="001D710B">
      <w:pPr>
        <w:autoSpaceDE w:val="0"/>
        <w:autoSpaceDN w:val="0"/>
        <w:adjustRightInd w:val="0"/>
        <w:spacing w:line="288" w:lineRule="auto"/>
      </w:pPr>
    </w:p>
    <w:p w:rsidR="008D5DE4" w:rsidRDefault="008D5DE4" w:rsidP="001D710B">
      <w:pPr>
        <w:autoSpaceDE w:val="0"/>
        <w:autoSpaceDN w:val="0"/>
        <w:adjustRightInd w:val="0"/>
        <w:spacing w:line="288" w:lineRule="auto"/>
      </w:pPr>
    </w:p>
    <w:p w:rsidR="008D5DE4" w:rsidRDefault="008D5DE4" w:rsidP="001D710B">
      <w:pPr>
        <w:autoSpaceDE w:val="0"/>
        <w:autoSpaceDN w:val="0"/>
        <w:adjustRightInd w:val="0"/>
        <w:spacing w:line="288" w:lineRule="auto"/>
      </w:pPr>
    </w:p>
    <w:p w:rsidR="008D5DE4" w:rsidRDefault="008D5DE4" w:rsidP="001D710B">
      <w:pPr>
        <w:autoSpaceDE w:val="0"/>
        <w:autoSpaceDN w:val="0"/>
        <w:adjustRightInd w:val="0"/>
        <w:spacing w:line="288" w:lineRule="auto"/>
      </w:pPr>
    </w:p>
    <w:p w:rsidR="008D5DE4" w:rsidRDefault="008D5DE4" w:rsidP="001D710B">
      <w:pPr>
        <w:autoSpaceDE w:val="0"/>
        <w:autoSpaceDN w:val="0"/>
        <w:adjustRightInd w:val="0"/>
        <w:spacing w:line="288" w:lineRule="auto"/>
      </w:pPr>
    </w:p>
    <w:p w:rsidR="003B2D9B" w:rsidRDefault="003B2D9B" w:rsidP="001D710B">
      <w:pPr>
        <w:autoSpaceDE w:val="0"/>
        <w:autoSpaceDN w:val="0"/>
        <w:adjustRightInd w:val="0"/>
        <w:spacing w:line="288" w:lineRule="auto"/>
      </w:pPr>
    </w:p>
    <w:p w:rsidR="003B2D9B" w:rsidRDefault="003B2D9B" w:rsidP="001D710B">
      <w:pPr>
        <w:autoSpaceDE w:val="0"/>
        <w:autoSpaceDN w:val="0"/>
        <w:adjustRightInd w:val="0"/>
        <w:spacing w:line="288" w:lineRule="auto"/>
      </w:pPr>
    </w:p>
    <w:p w:rsidR="003B2D9B" w:rsidRDefault="003B2D9B" w:rsidP="001D710B">
      <w:pPr>
        <w:autoSpaceDE w:val="0"/>
        <w:autoSpaceDN w:val="0"/>
        <w:adjustRightInd w:val="0"/>
        <w:spacing w:line="288" w:lineRule="auto"/>
      </w:pPr>
    </w:p>
    <w:p w:rsidR="008D5DE4" w:rsidRDefault="008D5DE4" w:rsidP="001D710B">
      <w:pPr>
        <w:autoSpaceDE w:val="0"/>
        <w:autoSpaceDN w:val="0"/>
        <w:adjustRightInd w:val="0"/>
        <w:spacing w:line="288" w:lineRule="auto"/>
      </w:pPr>
    </w:p>
    <w:p w:rsidR="0091265E" w:rsidRDefault="0091265E" w:rsidP="008D5DE4">
      <w:pPr>
        <w:pStyle w:val="Heading2"/>
        <w:rPr>
          <w:rFonts w:eastAsiaTheme="minorEastAsia"/>
          <w:lang w:val="en-US"/>
        </w:rPr>
      </w:pPr>
      <w:bookmarkStart w:id="8" w:name="_Welfare_Reform:_Implementation"/>
      <w:bookmarkEnd w:id="8"/>
      <w:r>
        <w:rPr>
          <w:rFonts w:eastAsiaTheme="minorEastAsia"/>
          <w:lang w:val="en-US"/>
        </w:rPr>
        <w:lastRenderedPageBreak/>
        <w:t>Welfare Reform: Implementation</w:t>
      </w:r>
    </w:p>
    <w:p w:rsidR="0091265E" w:rsidRDefault="0091265E" w:rsidP="008D5DE4">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Wilson </w:t>
      </w:r>
      <w:r>
        <w:rPr>
          <w:lang w:val="en-US"/>
        </w:rPr>
        <w:t>asked the Minister of Finance and Personnel to outline any communication between</w:t>
      </w:r>
      <w:r w:rsidR="008D5DE4">
        <w:rPr>
          <w:lang w:val="en-US"/>
        </w:rPr>
        <w:t xml:space="preserve"> </w:t>
      </w:r>
      <w:r>
        <w:rPr>
          <w:lang w:val="en-US"/>
        </w:rPr>
        <w:t>HM Government and the Executive on the question of sanctions, should Welfare Reform not be</w:t>
      </w:r>
      <w:r w:rsidR="008D5DE4">
        <w:rPr>
          <w:lang w:val="en-US"/>
        </w:rPr>
        <w:t xml:space="preserve"> </w:t>
      </w:r>
      <w:r>
        <w:rPr>
          <w:lang w:val="en-US"/>
        </w:rPr>
        <w:t>implemented.</w:t>
      </w:r>
    </w:p>
    <w:p w:rsidR="0091265E" w:rsidRDefault="0091265E" w:rsidP="008D5DE4">
      <w:pPr>
        <w:pStyle w:val="NICCYBodyText"/>
        <w:rPr>
          <w:rFonts w:ascii="ITCFranklinGothicDemi" w:hAnsi="ITCFranklinGothicDemi" w:cs="ITCFranklinGothicDemi"/>
          <w:lang w:val="en-US"/>
        </w:rPr>
      </w:pPr>
      <w:r>
        <w:rPr>
          <w:rFonts w:ascii="ITCFranklinGothicDemi" w:hAnsi="ITCFranklinGothicDemi" w:cs="ITCFranklinGothicDemi"/>
          <w:lang w:val="en-US"/>
        </w:rPr>
        <w:t>(AQO 5604/11-15)</w:t>
      </w:r>
    </w:p>
    <w:p w:rsidR="008D5DE4" w:rsidRDefault="008D5DE4" w:rsidP="008D5DE4">
      <w:pPr>
        <w:pStyle w:val="NICCYBodyText"/>
        <w:rPr>
          <w:rFonts w:ascii="ITCFranklinGothicDemi" w:hAnsi="ITCFranklinGothicDemi" w:cs="ITCFranklinGothicDemi"/>
          <w:lang w:val="en-US"/>
        </w:rPr>
      </w:pPr>
    </w:p>
    <w:p w:rsidR="00AB1E8E" w:rsidRDefault="0091265E" w:rsidP="008D5DE4">
      <w:pPr>
        <w:pStyle w:val="NICCYBodyText"/>
        <w:rPr>
          <w:lang w:val="en-US"/>
        </w:rPr>
      </w:pPr>
      <w:proofErr w:type="spellStart"/>
      <w:r w:rsidRPr="008D5DE4">
        <w:rPr>
          <w:rFonts w:ascii="ITCFranklinGothicDemi" w:hAnsi="ITCFranklinGothicDemi" w:cs="ITCFranklinGothicDemi"/>
          <w:b/>
          <w:lang w:val="en-US"/>
        </w:rPr>
        <w:t>Mr</w:t>
      </w:r>
      <w:proofErr w:type="spellEnd"/>
      <w:r w:rsidRPr="008D5DE4">
        <w:rPr>
          <w:rFonts w:ascii="ITCFranklinGothicDemi" w:hAnsi="ITCFranklinGothicDemi" w:cs="ITCFranklinGothicDemi"/>
          <w:b/>
          <w:lang w:val="en-US"/>
        </w:rPr>
        <w:t xml:space="preserve"> Hamilton:</w:t>
      </w:r>
      <w:r>
        <w:rPr>
          <w:rFonts w:ascii="ITCFranklinGothicDemi" w:hAnsi="ITCFranklinGothicDemi" w:cs="ITCFranklinGothicDemi"/>
          <w:lang w:val="en-US"/>
        </w:rPr>
        <w:t xml:space="preserve"> </w:t>
      </w:r>
      <w:r>
        <w:rPr>
          <w:lang w:val="en-US"/>
        </w:rPr>
        <w:t>The Chief Secretary to the Treasury, Danny Alexander MP, wrote in June 2013 on the</w:t>
      </w:r>
      <w:r w:rsidR="008D5DE4">
        <w:rPr>
          <w:lang w:val="en-US"/>
        </w:rPr>
        <w:t xml:space="preserve"> </w:t>
      </w:r>
      <w:r>
        <w:rPr>
          <w:lang w:val="en-US"/>
        </w:rPr>
        <w:t>penalties to be applied to the Executive’s DEL budget allocation, should welfare reform not be</w:t>
      </w:r>
      <w:r w:rsidR="008D5DE4">
        <w:rPr>
          <w:lang w:val="en-US"/>
        </w:rPr>
        <w:t xml:space="preserve"> progressed by January 2014.  </w:t>
      </w:r>
      <w:proofErr w:type="spellStart"/>
      <w:r>
        <w:rPr>
          <w:lang w:val="en-US"/>
        </w:rPr>
        <w:t>Mr</w:t>
      </w:r>
      <w:proofErr w:type="spellEnd"/>
      <w:r>
        <w:rPr>
          <w:lang w:val="en-US"/>
        </w:rPr>
        <w:t xml:space="preserve"> Alexander estimated the penalties at an initial £5 million per month</w:t>
      </w:r>
      <w:r w:rsidR="008D5DE4">
        <w:rPr>
          <w:lang w:val="en-US"/>
        </w:rPr>
        <w:t xml:space="preserve"> </w:t>
      </w:r>
      <w:r>
        <w:rPr>
          <w:lang w:val="en-US"/>
        </w:rPr>
        <w:t xml:space="preserve">but indicated that these would quickly rise as welfare reforms are rolled out in Great </w:t>
      </w:r>
      <w:r w:rsidR="008D5DE4">
        <w:rPr>
          <w:lang w:val="en-US"/>
        </w:rPr>
        <w:t xml:space="preserve">Britain.  </w:t>
      </w:r>
      <w:r>
        <w:rPr>
          <w:lang w:val="en-US"/>
        </w:rPr>
        <w:t>Of course,</w:t>
      </w:r>
      <w:r w:rsidR="008D5DE4">
        <w:rPr>
          <w:lang w:val="en-US"/>
        </w:rPr>
        <w:t xml:space="preserve"> </w:t>
      </w:r>
      <w:r>
        <w:rPr>
          <w:lang w:val="en-US"/>
        </w:rPr>
        <w:t>the latest estimate suggests that by 2017-18 the costs will exceed £270 million.</w:t>
      </w:r>
      <w:r w:rsidR="008D5DE4">
        <w:rPr>
          <w:lang w:val="en-US"/>
        </w:rPr>
        <w:t xml:space="preserve">  </w:t>
      </w:r>
      <w:r w:rsidR="00AB1E8E">
        <w:rPr>
          <w:lang w:val="en-US"/>
        </w:rPr>
        <w:t>I also discussed the issue of welfare reform with the Chief Secretary to the Treasury at the Finance</w:t>
      </w:r>
      <w:r w:rsidR="008D5DE4">
        <w:rPr>
          <w:lang w:val="en-US"/>
        </w:rPr>
        <w:t xml:space="preserve"> </w:t>
      </w:r>
      <w:r w:rsidR="00AB1E8E">
        <w:rPr>
          <w:lang w:val="en-US"/>
        </w:rPr>
        <w:t>Minister’s quadrilateral meeting held in November 2013</w:t>
      </w:r>
      <w:r w:rsidR="008D5DE4">
        <w:rPr>
          <w:lang w:val="en-US"/>
        </w:rPr>
        <w:t xml:space="preserve">.  </w:t>
      </w:r>
      <w:r w:rsidR="00AB1E8E">
        <w:rPr>
          <w:lang w:val="en-US"/>
        </w:rPr>
        <w:t>At this meeting the Chief Secretary reinforced</w:t>
      </w:r>
      <w:r w:rsidR="008D5DE4">
        <w:rPr>
          <w:lang w:val="en-US"/>
        </w:rPr>
        <w:t xml:space="preserve"> the UK </w:t>
      </w:r>
      <w:r w:rsidR="00AB1E8E">
        <w:rPr>
          <w:lang w:val="en-US"/>
        </w:rPr>
        <w:t>Government’s intention to apply penalties from January 2014.</w:t>
      </w:r>
      <w:r w:rsidR="008D5DE4">
        <w:rPr>
          <w:lang w:val="en-US"/>
        </w:rPr>
        <w:t xml:space="preserve">  </w:t>
      </w:r>
      <w:r w:rsidR="00AB1E8E">
        <w:rPr>
          <w:lang w:val="en-US"/>
        </w:rPr>
        <w:t>My officials also met with their HM Treasury counterparts on 14 February 2014 to discuss welfare</w:t>
      </w:r>
      <w:r w:rsidR="008D5DE4">
        <w:rPr>
          <w:lang w:val="en-US"/>
        </w:rPr>
        <w:t xml:space="preserve"> reform.  </w:t>
      </w:r>
      <w:r w:rsidR="00AB1E8E">
        <w:rPr>
          <w:lang w:val="en-US"/>
        </w:rPr>
        <w:t>At this meeting HM Treasury officials outlined the mechanics of adjusting the Northern Ireland</w:t>
      </w:r>
    </w:p>
    <w:p w:rsidR="0091265E" w:rsidRDefault="00AB1E8E" w:rsidP="008D5DE4">
      <w:pPr>
        <w:pStyle w:val="NICCYBodyText"/>
        <w:rPr>
          <w:lang w:val="en-US"/>
        </w:rPr>
      </w:pPr>
      <w:r>
        <w:rPr>
          <w:lang w:val="en-US"/>
        </w:rPr>
        <w:t>Block Grant.</w:t>
      </w:r>
    </w:p>
    <w:p w:rsidR="00AB1E8E" w:rsidRDefault="00AB1E8E" w:rsidP="00AB1E8E">
      <w:pPr>
        <w:autoSpaceDE w:val="0"/>
        <w:autoSpaceDN w:val="0"/>
        <w:adjustRightInd w:val="0"/>
        <w:spacing w:line="288" w:lineRule="auto"/>
        <w:rPr>
          <w:rFonts w:ascii="ITCFranklinGothicBook" w:eastAsiaTheme="minorEastAsia" w:hAnsi="ITCFranklinGothicBook" w:cs="ITCFranklinGothicBook"/>
          <w:color w:val="auto"/>
          <w:sz w:val="20"/>
          <w:szCs w:val="20"/>
          <w:lang w:val="en-US"/>
        </w:rPr>
      </w:pPr>
    </w:p>
    <w:p w:rsidR="008D5DE4" w:rsidRDefault="008D5DE4" w:rsidP="00AB1E8E">
      <w:pPr>
        <w:autoSpaceDE w:val="0"/>
        <w:autoSpaceDN w:val="0"/>
        <w:adjustRightInd w:val="0"/>
        <w:spacing w:line="288" w:lineRule="auto"/>
      </w:pPr>
      <w:hyperlink w:anchor="_top" w:history="1">
        <w:r w:rsidRPr="00A92D13">
          <w:rPr>
            <w:rStyle w:val="Hyperlink"/>
          </w:rPr>
          <w:t>Back to</w:t>
        </w:r>
        <w:r w:rsidRPr="00A92D13">
          <w:rPr>
            <w:rStyle w:val="Hyperlink"/>
          </w:rPr>
          <w:t xml:space="preserve"> </w:t>
        </w:r>
        <w:r w:rsidRPr="00A92D13">
          <w:rPr>
            <w:rStyle w:val="Hyperlink"/>
          </w:rPr>
          <w:t>Top</w:t>
        </w:r>
      </w:hyperlink>
    </w:p>
    <w:p w:rsidR="008D5DE4" w:rsidRDefault="008D5DE4" w:rsidP="00AB1E8E">
      <w:pPr>
        <w:autoSpaceDE w:val="0"/>
        <w:autoSpaceDN w:val="0"/>
        <w:adjustRightInd w:val="0"/>
        <w:spacing w:line="288" w:lineRule="auto"/>
      </w:pPr>
    </w:p>
    <w:p w:rsidR="003B2D9B" w:rsidRDefault="003B2D9B" w:rsidP="00AB1E8E">
      <w:pPr>
        <w:autoSpaceDE w:val="0"/>
        <w:autoSpaceDN w:val="0"/>
        <w:adjustRightInd w:val="0"/>
        <w:spacing w:line="288" w:lineRule="auto"/>
      </w:pPr>
    </w:p>
    <w:p w:rsidR="003B2D9B" w:rsidRDefault="003B2D9B" w:rsidP="00AB1E8E">
      <w:pPr>
        <w:autoSpaceDE w:val="0"/>
        <w:autoSpaceDN w:val="0"/>
        <w:adjustRightInd w:val="0"/>
        <w:spacing w:line="288" w:lineRule="auto"/>
      </w:pPr>
    </w:p>
    <w:p w:rsidR="003B2D9B" w:rsidRDefault="003B2D9B" w:rsidP="00AB1E8E">
      <w:pPr>
        <w:autoSpaceDE w:val="0"/>
        <w:autoSpaceDN w:val="0"/>
        <w:adjustRightInd w:val="0"/>
        <w:spacing w:line="288" w:lineRule="auto"/>
      </w:pPr>
    </w:p>
    <w:p w:rsidR="003B2D9B" w:rsidRDefault="003B2D9B" w:rsidP="00AB1E8E">
      <w:pPr>
        <w:autoSpaceDE w:val="0"/>
        <w:autoSpaceDN w:val="0"/>
        <w:adjustRightInd w:val="0"/>
        <w:spacing w:line="288" w:lineRule="auto"/>
      </w:pPr>
    </w:p>
    <w:p w:rsidR="003B2D9B" w:rsidRDefault="003B2D9B" w:rsidP="00AB1E8E">
      <w:pPr>
        <w:autoSpaceDE w:val="0"/>
        <w:autoSpaceDN w:val="0"/>
        <w:adjustRightInd w:val="0"/>
        <w:spacing w:line="288" w:lineRule="auto"/>
      </w:pPr>
    </w:p>
    <w:p w:rsidR="003B2D9B" w:rsidRDefault="003B2D9B" w:rsidP="00AB1E8E">
      <w:pPr>
        <w:autoSpaceDE w:val="0"/>
        <w:autoSpaceDN w:val="0"/>
        <w:adjustRightInd w:val="0"/>
        <w:spacing w:line="288" w:lineRule="auto"/>
      </w:pPr>
    </w:p>
    <w:p w:rsidR="003B2D9B" w:rsidRDefault="003B2D9B" w:rsidP="00AB1E8E">
      <w:pPr>
        <w:autoSpaceDE w:val="0"/>
        <w:autoSpaceDN w:val="0"/>
        <w:adjustRightInd w:val="0"/>
        <w:spacing w:line="288" w:lineRule="auto"/>
      </w:pPr>
    </w:p>
    <w:p w:rsidR="003B2D9B" w:rsidRDefault="003B2D9B" w:rsidP="00AB1E8E">
      <w:pPr>
        <w:autoSpaceDE w:val="0"/>
        <w:autoSpaceDN w:val="0"/>
        <w:adjustRightInd w:val="0"/>
        <w:spacing w:line="288" w:lineRule="auto"/>
      </w:pPr>
    </w:p>
    <w:p w:rsidR="003B2D9B" w:rsidRDefault="003B2D9B" w:rsidP="00AB1E8E">
      <w:pPr>
        <w:autoSpaceDE w:val="0"/>
        <w:autoSpaceDN w:val="0"/>
        <w:adjustRightInd w:val="0"/>
        <w:spacing w:line="288" w:lineRule="auto"/>
      </w:pPr>
    </w:p>
    <w:p w:rsidR="003B2D9B" w:rsidRDefault="003B2D9B" w:rsidP="00AB1E8E">
      <w:pPr>
        <w:autoSpaceDE w:val="0"/>
        <w:autoSpaceDN w:val="0"/>
        <w:adjustRightInd w:val="0"/>
        <w:spacing w:line="288" w:lineRule="auto"/>
      </w:pPr>
    </w:p>
    <w:p w:rsidR="003B2D9B" w:rsidRDefault="003B2D9B" w:rsidP="00AB1E8E">
      <w:pPr>
        <w:autoSpaceDE w:val="0"/>
        <w:autoSpaceDN w:val="0"/>
        <w:adjustRightInd w:val="0"/>
        <w:spacing w:line="288" w:lineRule="auto"/>
      </w:pPr>
    </w:p>
    <w:p w:rsidR="003B2D9B" w:rsidRDefault="003B2D9B" w:rsidP="00AB1E8E">
      <w:pPr>
        <w:autoSpaceDE w:val="0"/>
        <w:autoSpaceDN w:val="0"/>
        <w:adjustRightInd w:val="0"/>
        <w:spacing w:line="288" w:lineRule="auto"/>
      </w:pPr>
    </w:p>
    <w:p w:rsidR="003B2D9B" w:rsidRDefault="003B2D9B" w:rsidP="00AB1E8E">
      <w:pPr>
        <w:autoSpaceDE w:val="0"/>
        <w:autoSpaceDN w:val="0"/>
        <w:adjustRightInd w:val="0"/>
        <w:spacing w:line="288" w:lineRule="auto"/>
      </w:pPr>
    </w:p>
    <w:p w:rsidR="00E5734F" w:rsidRDefault="00E5734F" w:rsidP="008D5DE4">
      <w:pPr>
        <w:pStyle w:val="Heading2"/>
        <w:rPr>
          <w:rFonts w:eastAsiaTheme="minorEastAsia"/>
          <w:lang w:val="en-US"/>
        </w:rPr>
      </w:pPr>
      <w:bookmarkStart w:id="9" w:name="_Specialist_Local_Counselling"/>
      <w:bookmarkEnd w:id="9"/>
      <w:r>
        <w:rPr>
          <w:rFonts w:eastAsiaTheme="minorEastAsia"/>
          <w:lang w:val="en-US"/>
        </w:rPr>
        <w:lastRenderedPageBreak/>
        <w:t xml:space="preserve">Specialist Local </w:t>
      </w:r>
      <w:proofErr w:type="spellStart"/>
      <w:r>
        <w:rPr>
          <w:rFonts w:eastAsiaTheme="minorEastAsia"/>
          <w:lang w:val="en-US"/>
        </w:rPr>
        <w:t>Counselling</w:t>
      </w:r>
      <w:proofErr w:type="spellEnd"/>
      <w:r>
        <w:rPr>
          <w:rFonts w:eastAsiaTheme="minorEastAsia"/>
          <w:lang w:val="en-US"/>
        </w:rPr>
        <w:t xml:space="preserve"> Services</w:t>
      </w:r>
    </w:p>
    <w:p w:rsidR="00E5734F" w:rsidRDefault="00E5734F" w:rsidP="008D5DE4">
      <w:pPr>
        <w:pStyle w:val="NICCYBodyText"/>
        <w:rPr>
          <w:lang w:val="en-US"/>
        </w:rPr>
      </w:pPr>
      <w:proofErr w:type="spellStart"/>
      <w:r>
        <w:rPr>
          <w:rFonts w:ascii="ITCFranklinGothicDemi" w:hAnsi="ITCFranklinGothicDemi" w:cs="ITCFranklinGothicDemi"/>
          <w:lang w:val="en-US"/>
        </w:rPr>
        <w:t>Mrs</w:t>
      </w:r>
      <w:proofErr w:type="spellEnd"/>
      <w:r>
        <w:rPr>
          <w:rFonts w:ascii="ITCFranklinGothicDemi" w:hAnsi="ITCFranklinGothicDemi" w:cs="ITCFranklinGothicDemi"/>
          <w:lang w:val="en-US"/>
        </w:rPr>
        <w:t xml:space="preserve"> Dobson </w:t>
      </w:r>
      <w:r>
        <w:rPr>
          <w:lang w:val="en-US"/>
        </w:rPr>
        <w:t>asked the Minister of Health, Social Services and Public Safety what resources his</w:t>
      </w:r>
      <w:r w:rsidR="008D5DE4">
        <w:rPr>
          <w:lang w:val="en-US"/>
        </w:rPr>
        <w:t xml:space="preserve"> </w:t>
      </w:r>
      <w:r>
        <w:rPr>
          <w:lang w:val="en-US"/>
        </w:rPr>
        <w:t>Department provides to specialist local counselling services to provide early intervention services to</w:t>
      </w:r>
      <w:r w:rsidR="008D5DE4">
        <w:rPr>
          <w:lang w:val="en-US"/>
        </w:rPr>
        <w:t xml:space="preserve"> </w:t>
      </w:r>
      <w:r>
        <w:rPr>
          <w:lang w:val="en-US"/>
        </w:rPr>
        <w:t>primary school age children who need specialist care.</w:t>
      </w:r>
    </w:p>
    <w:p w:rsidR="00E5734F" w:rsidRDefault="00E5734F" w:rsidP="008D5DE4">
      <w:pPr>
        <w:pStyle w:val="NICCYBodyText"/>
        <w:rPr>
          <w:rFonts w:ascii="ITCFranklinGothicDemi" w:hAnsi="ITCFranklinGothicDemi" w:cs="ITCFranklinGothicDemi"/>
          <w:lang w:val="en-US"/>
        </w:rPr>
      </w:pPr>
      <w:r>
        <w:rPr>
          <w:rFonts w:ascii="ITCFranklinGothicDemi" w:hAnsi="ITCFranklinGothicDemi" w:cs="ITCFranklinGothicDemi"/>
          <w:lang w:val="en-US"/>
        </w:rPr>
        <w:t>(AQW 31008/11-15)</w:t>
      </w:r>
    </w:p>
    <w:p w:rsidR="008D5DE4" w:rsidRDefault="008D5DE4" w:rsidP="008D5DE4">
      <w:pPr>
        <w:pStyle w:val="NICCYBodyText"/>
        <w:rPr>
          <w:rFonts w:ascii="ITCFranklinGothicDemi" w:hAnsi="ITCFranklinGothicDemi" w:cs="ITCFranklinGothicDemi"/>
          <w:lang w:val="en-US"/>
        </w:rPr>
      </w:pPr>
    </w:p>
    <w:p w:rsidR="00E5734F" w:rsidRDefault="00E5734F" w:rsidP="008D5DE4">
      <w:pPr>
        <w:pStyle w:val="NICCYBodyText"/>
        <w:rPr>
          <w:lang w:val="en-US"/>
        </w:rPr>
      </w:pPr>
      <w:proofErr w:type="spellStart"/>
      <w:r w:rsidRPr="008D5DE4">
        <w:rPr>
          <w:rFonts w:ascii="ITCFranklinGothicDemi" w:hAnsi="ITCFranklinGothicDemi" w:cs="ITCFranklinGothicDemi"/>
          <w:b/>
          <w:lang w:val="en-US"/>
        </w:rPr>
        <w:t>Mr</w:t>
      </w:r>
      <w:proofErr w:type="spellEnd"/>
      <w:r w:rsidRPr="008D5DE4">
        <w:rPr>
          <w:rFonts w:ascii="ITCFranklinGothicDemi" w:hAnsi="ITCFranklinGothicDemi" w:cs="ITCFranklinGothicDemi"/>
          <w:b/>
          <w:lang w:val="en-US"/>
        </w:rPr>
        <w:t xml:space="preserve"> </w:t>
      </w:r>
      <w:proofErr w:type="spellStart"/>
      <w:r w:rsidRPr="008D5DE4">
        <w:rPr>
          <w:rFonts w:ascii="ITCFranklinGothicDemi" w:hAnsi="ITCFranklinGothicDemi" w:cs="ITCFranklinGothicDemi"/>
          <w:b/>
          <w:lang w:val="en-US"/>
        </w:rPr>
        <w:t>Poots</w:t>
      </w:r>
      <w:proofErr w:type="spellEnd"/>
      <w:r w:rsidRPr="008D5DE4">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informat</w:t>
      </w:r>
      <w:r w:rsidR="008D5DE4">
        <w:rPr>
          <w:lang w:val="en-US"/>
        </w:rPr>
        <w:t xml:space="preserve">ion requested is not available.  </w:t>
      </w:r>
      <w:r>
        <w:rPr>
          <w:lang w:val="en-US"/>
        </w:rPr>
        <w:t>Specialist care for children covers a wide</w:t>
      </w:r>
      <w:r w:rsidR="008D5DE4">
        <w:rPr>
          <w:lang w:val="en-US"/>
        </w:rPr>
        <w:t xml:space="preserve"> </w:t>
      </w:r>
      <w:r>
        <w:rPr>
          <w:lang w:val="en-US"/>
        </w:rPr>
        <w:t>spectrum of services including child protection, exposure to domestic abuse, child mental health,</w:t>
      </w:r>
      <w:r w:rsidR="008D5DE4">
        <w:rPr>
          <w:lang w:val="en-US"/>
        </w:rPr>
        <w:t xml:space="preserve"> </w:t>
      </w:r>
      <w:r>
        <w:rPr>
          <w:lang w:val="en-US"/>
        </w:rPr>
        <w:t>disability and life limiting conditions.</w:t>
      </w:r>
      <w:r w:rsidR="008D5DE4">
        <w:rPr>
          <w:lang w:val="en-US"/>
        </w:rPr>
        <w:t xml:space="preserve">  </w:t>
      </w:r>
      <w:r>
        <w:rPr>
          <w:lang w:val="en-US"/>
        </w:rPr>
        <w:t>Children’s needs are assessed using the Understanding the Needs of Children in Northern Ireland</w:t>
      </w:r>
      <w:r w:rsidR="008D5DE4">
        <w:rPr>
          <w:lang w:val="en-US"/>
        </w:rPr>
        <w:t xml:space="preserve"> (UNOCINI) Framework.  </w:t>
      </w:r>
      <w:r>
        <w:rPr>
          <w:lang w:val="en-US"/>
        </w:rPr>
        <w:t>In accordance with assessed need, a range of early intervention support</w:t>
      </w:r>
      <w:r w:rsidR="008D5DE4">
        <w:rPr>
          <w:lang w:val="en-US"/>
        </w:rPr>
        <w:t xml:space="preserve"> </w:t>
      </w:r>
      <w:r>
        <w:rPr>
          <w:lang w:val="en-US"/>
        </w:rPr>
        <w:t>services are provided, some in conjunction with colleagues in Education.</w:t>
      </w:r>
    </w:p>
    <w:p w:rsidR="006E6E52" w:rsidRDefault="00E5734F" w:rsidP="008D5DE4">
      <w:pPr>
        <w:pStyle w:val="NICCYBodyText"/>
        <w:rPr>
          <w:lang w:val="en-US"/>
        </w:rPr>
      </w:pPr>
      <w:r>
        <w:rPr>
          <w:lang w:val="en-US"/>
        </w:rPr>
        <w:t>Core children’s services such as Child Health, Child and Adolescent Mental Health (CAMHS),</w:t>
      </w:r>
      <w:r w:rsidR="008D5DE4">
        <w:rPr>
          <w:lang w:val="en-US"/>
        </w:rPr>
        <w:t xml:space="preserve"> </w:t>
      </w:r>
      <w:r>
        <w:rPr>
          <w:lang w:val="en-US"/>
        </w:rPr>
        <w:t xml:space="preserve">Community </w:t>
      </w:r>
      <w:proofErr w:type="spellStart"/>
      <w:r>
        <w:rPr>
          <w:lang w:val="en-US"/>
        </w:rPr>
        <w:t>Paediatrics</w:t>
      </w:r>
      <w:proofErr w:type="spellEnd"/>
      <w:r>
        <w:rPr>
          <w:lang w:val="en-US"/>
        </w:rPr>
        <w:t xml:space="preserve"> and Children with a Disability are provided across the continuum of childhood.</w:t>
      </w:r>
      <w:r w:rsidR="008D5DE4">
        <w:rPr>
          <w:lang w:val="en-US"/>
        </w:rPr>
        <w:t xml:space="preserve">  </w:t>
      </w:r>
      <w:r>
        <w:rPr>
          <w:lang w:val="en-US"/>
        </w:rPr>
        <w:t xml:space="preserve">These services include </w:t>
      </w:r>
      <w:proofErr w:type="spellStart"/>
      <w:r>
        <w:rPr>
          <w:lang w:val="en-US"/>
        </w:rPr>
        <w:t>counselling</w:t>
      </w:r>
      <w:proofErr w:type="spellEnd"/>
      <w:r>
        <w:rPr>
          <w:lang w:val="en-US"/>
        </w:rPr>
        <w:t xml:space="preserve">, and also include areas such as </w:t>
      </w:r>
      <w:proofErr w:type="spellStart"/>
      <w:r>
        <w:rPr>
          <w:lang w:val="en-US"/>
        </w:rPr>
        <w:t>behaviour</w:t>
      </w:r>
      <w:proofErr w:type="spellEnd"/>
      <w:r>
        <w:rPr>
          <w:lang w:val="en-US"/>
        </w:rPr>
        <w:t xml:space="preserve"> management,</w:t>
      </w:r>
      <w:r w:rsidR="008D5DE4">
        <w:rPr>
          <w:lang w:val="en-US"/>
        </w:rPr>
        <w:t xml:space="preserve"> </w:t>
      </w:r>
      <w:r>
        <w:rPr>
          <w:lang w:val="en-US"/>
        </w:rPr>
        <w:t xml:space="preserve">bereavement </w:t>
      </w:r>
      <w:proofErr w:type="spellStart"/>
      <w:r>
        <w:rPr>
          <w:lang w:val="en-US"/>
        </w:rPr>
        <w:t>counselling</w:t>
      </w:r>
      <w:proofErr w:type="spellEnd"/>
      <w:r>
        <w:rPr>
          <w:lang w:val="en-US"/>
        </w:rPr>
        <w:t>, and more specialist/ clinical interventions to assist children and their</w:t>
      </w:r>
      <w:r w:rsidR="008D5DE4">
        <w:rPr>
          <w:lang w:val="en-US"/>
        </w:rPr>
        <w:t xml:space="preserve"> </w:t>
      </w:r>
      <w:r>
        <w:rPr>
          <w:lang w:val="en-US"/>
        </w:rPr>
        <w:t>families to manage or understand specific conditions.</w:t>
      </w:r>
    </w:p>
    <w:p w:rsidR="008D5DE4" w:rsidRDefault="008D5DE4" w:rsidP="008D5DE4">
      <w:pPr>
        <w:pStyle w:val="NICCYBodyText"/>
        <w:rPr>
          <w:lang w:val="en-US"/>
        </w:rPr>
      </w:pPr>
    </w:p>
    <w:p w:rsidR="008D5DE4" w:rsidRDefault="008D5DE4" w:rsidP="008D5DE4">
      <w:pPr>
        <w:autoSpaceDE w:val="0"/>
        <w:autoSpaceDN w:val="0"/>
        <w:adjustRightInd w:val="0"/>
        <w:spacing w:line="288" w:lineRule="auto"/>
      </w:pPr>
      <w:hyperlink w:anchor="_top" w:history="1">
        <w:r w:rsidRPr="00A92D13">
          <w:rPr>
            <w:rStyle w:val="Hyperlink"/>
          </w:rPr>
          <w:t>Back to</w:t>
        </w:r>
        <w:r w:rsidRPr="00A92D13">
          <w:rPr>
            <w:rStyle w:val="Hyperlink"/>
          </w:rPr>
          <w:t xml:space="preserve"> </w:t>
        </w:r>
        <w:r w:rsidRPr="00A92D13">
          <w:rPr>
            <w:rStyle w:val="Hyperlink"/>
          </w:rPr>
          <w:t>Top</w:t>
        </w:r>
      </w:hyperlink>
    </w:p>
    <w:p w:rsidR="008D5DE4" w:rsidRDefault="008D5DE4" w:rsidP="008D5DE4">
      <w:pPr>
        <w:pStyle w:val="NICCYBodyText"/>
        <w:rPr>
          <w:lang w:val="en-US"/>
        </w:rPr>
      </w:pPr>
    </w:p>
    <w:p w:rsidR="003B2D9B" w:rsidRDefault="003B2D9B" w:rsidP="008D5DE4">
      <w:pPr>
        <w:pStyle w:val="NICCYBodyText"/>
        <w:rPr>
          <w:lang w:val="en-US"/>
        </w:rPr>
      </w:pPr>
    </w:p>
    <w:p w:rsidR="003B2D9B" w:rsidRDefault="003B2D9B" w:rsidP="008D5DE4">
      <w:pPr>
        <w:pStyle w:val="NICCYBodyText"/>
        <w:rPr>
          <w:lang w:val="en-US"/>
        </w:rPr>
      </w:pPr>
    </w:p>
    <w:p w:rsidR="003B2D9B" w:rsidRDefault="003B2D9B" w:rsidP="008D5DE4">
      <w:pPr>
        <w:pStyle w:val="NICCYBodyText"/>
        <w:rPr>
          <w:lang w:val="en-US"/>
        </w:rPr>
      </w:pPr>
    </w:p>
    <w:p w:rsidR="003B2D9B" w:rsidRDefault="003B2D9B" w:rsidP="008D5DE4">
      <w:pPr>
        <w:pStyle w:val="NICCYBodyText"/>
        <w:rPr>
          <w:lang w:val="en-US"/>
        </w:rPr>
      </w:pPr>
    </w:p>
    <w:p w:rsidR="003B2D9B" w:rsidRDefault="003B2D9B" w:rsidP="008D5DE4">
      <w:pPr>
        <w:pStyle w:val="NICCYBodyText"/>
        <w:rPr>
          <w:lang w:val="en-US"/>
        </w:rPr>
      </w:pPr>
    </w:p>
    <w:p w:rsidR="003B2D9B" w:rsidRDefault="003B2D9B" w:rsidP="008D5DE4">
      <w:pPr>
        <w:pStyle w:val="NICCYBodyText"/>
        <w:rPr>
          <w:lang w:val="en-US"/>
        </w:rPr>
      </w:pPr>
    </w:p>
    <w:p w:rsidR="003B2D9B" w:rsidRDefault="003B2D9B" w:rsidP="008D5DE4">
      <w:pPr>
        <w:pStyle w:val="NICCYBodyText"/>
        <w:rPr>
          <w:lang w:val="en-US"/>
        </w:rPr>
      </w:pPr>
    </w:p>
    <w:p w:rsidR="003B2D9B" w:rsidRDefault="003B2D9B" w:rsidP="008D5DE4">
      <w:pPr>
        <w:pStyle w:val="NICCYBodyText"/>
        <w:rPr>
          <w:lang w:val="en-US"/>
        </w:rPr>
      </w:pPr>
    </w:p>
    <w:p w:rsidR="003B2D9B" w:rsidRDefault="003B2D9B" w:rsidP="008D5DE4">
      <w:pPr>
        <w:pStyle w:val="NICCYBodyText"/>
        <w:rPr>
          <w:lang w:val="en-US"/>
        </w:rPr>
      </w:pPr>
    </w:p>
    <w:p w:rsidR="003B2D9B" w:rsidRDefault="003B2D9B" w:rsidP="008D5DE4">
      <w:pPr>
        <w:pStyle w:val="NICCYBodyText"/>
        <w:rPr>
          <w:lang w:val="en-US"/>
        </w:rPr>
      </w:pPr>
    </w:p>
    <w:p w:rsidR="003B2D9B" w:rsidRDefault="003B2D9B" w:rsidP="008D5DE4">
      <w:pPr>
        <w:pStyle w:val="NICCYBodyText"/>
        <w:rPr>
          <w:lang w:val="en-US"/>
        </w:rPr>
      </w:pPr>
    </w:p>
    <w:p w:rsidR="003B2D9B" w:rsidRDefault="003B2D9B" w:rsidP="008D5DE4">
      <w:pPr>
        <w:pStyle w:val="NICCYBodyText"/>
        <w:rPr>
          <w:lang w:val="en-US"/>
        </w:rPr>
      </w:pPr>
    </w:p>
    <w:p w:rsidR="003B2D9B" w:rsidRDefault="003B2D9B" w:rsidP="008D5DE4">
      <w:pPr>
        <w:pStyle w:val="NICCYBodyText"/>
        <w:rPr>
          <w:lang w:val="en-US"/>
        </w:rPr>
      </w:pPr>
    </w:p>
    <w:p w:rsidR="004F54DD" w:rsidRDefault="004F54DD" w:rsidP="008D5DE4">
      <w:pPr>
        <w:pStyle w:val="Heading2"/>
        <w:rPr>
          <w:rFonts w:eastAsiaTheme="minorEastAsia"/>
          <w:lang w:val="en-US"/>
        </w:rPr>
      </w:pPr>
      <w:bookmarkStart w:id="10" w:name="_Family_Funds:_Local"/>
      <w:bookmarkEnd w:id="10"/>
      <w:r>
        <w:rPr>
          <w:rFonts w:eastAsiaTheme="minorEastAsia"/>
          <w:lang w:val="en-US"/>
        </w:rPr>
        <w:lastRenderedPageBreak/>
        <w:t>Family Funds: Local Families</w:t>
      </w:r>
    </w:p>
    <w:p w:rsidR="004F54DD" w:rsidRDefault="004F54DD" w:rsidP="008D5DE4">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Allister</w:t>
      </w:r>
      <w:proofErr w:type="spellEnd"/>
      <w:r>
        <w:rPr>
          <w:rFonts w:ascii="ITCFranklinGothicDemi" w:hAnsi="ITCFranklinGothicDemi" w:cs="ITCFranklinGothicDemi"/>
          <w:lang w:val="en-US"/>
        </w:rPr>
        <w:t xml:space="preserve"> </w:t>
      </w:r>
      <w:r>
        <w:rPr>
          <w:lang w:val="en-US"/>
        </w:rPr>
        <w:t>asked the Minister of Health, Social Services and Public Safety to outline any disparity</w:t>
      </w:r>
      <w:r w:rsidR="008D5DE4">
        <w:rPr>
          <w:lang w:val="en-US"/>
        </w:rPr>
        <w:t xml:space="preserve"> </w:t>
      </w:r>
      <w:r>
        <w:rPr>
          <w:lang w:val="en-US"/>
        </w:rPr>
        <w:t>between Northern Ireland the rest of the UK in relation to applying successfully to the respective Family</w:t>
      </w:r>
      <w:r w:rsidR="008D5DE4">
        <w:rPr>
          <w:lang w:val="en-US"/>
        </w:rPr>
        <w:t xml:space="preserve"> </w:t>
      </w:r>
      <w:r>
        <w:rPr>
          <w:lang w:val="en-US"/>
        </w:rPr>
        <w:t>Funds; and whether local families are at a disadvantage due to lack of funding.</w:t>
      </w:r>
    </w:p>
    <w:p w:rsidR="004F54DD" w:rsidRDefault="004F54DD" w:rsidP="008D5DE4">
      <w:pPr>
        <w:pStyle w:val="NICCYBodyText"/>
        <w:rPr>
          <w:rFonts w:ascii="ITCFranklinGothicDemi" w:hAnsi="ITCFranklinGothicDemi" w:cs="ITCFranklinGothicDemi"/>
          <w:lang w:val="en-US"/>
        </w:rPr>
      </w:pPr>
      <w:r>
        <w:rPr>
          <w:rFonts w:ascii="ITCFranklinGothicDemi" w:hAnsi="ITCFranklinGothicDemi" w:cs="ITCFranklinGothicDemi"/>
          <w:lang w:val="en-US"/>
        </w:rPr>
        <w:t>(AQW 31107/11-15)</w:t>
      </w:r>
    </w:p>
    <w:p w:rsidR="008D5DE4" w:rsidRDefault="008D5DE4" w:rsidP="008D5DE4">
      <w:pPr>
        <w:pStyle w:val="NICCYBodyText"/>
        <w:rPr>
          <w:rFonts w:ascii="ITCFranklinGothicDemi" w:hAnsi="ITCFranklinGothicDemi" w:cs="ITCFranklinGothicDemi"/>
          <w:lang w:val="en-US"/>
        </w:rPr>
      </w:pPr>
    </w:p>
    <w:p w:rsidR="004F54DD" w:rsidRDefault="004F54DD" w:rsidP="008D5DE4">
      <w:pPr>
        <w:pStyle w:val="NICCYBodyText"/>
        <w:rPr>
          <w:lang w:val="en-US"/>
        </w:rPr>
      </w:pPr>
      <w:proofErr w:type="spellStart"/>
      <w:r w:rsidRPr="008D5DE4">
        <w:rPr>
          <w:rFonts w:ascii="ITCFranklinGothicDemi" w:hAnsi="ITCFranklinGothicDemi" w:cs="ITCFranklinGothicDemi"/>
          <w:b/>
          <w:lang w:val="en-US"/>
        </w:rPr>
        <w:t>Mr</w:t>
      </w:r>
      <w:proofErr w:type="spellEnd"/>
      <w:r w:rsidRPr="008D5DE4">
        <w:rPr>
          <w:rFonts w:ascii="ITCFranklinGothicDemi" w:hAnsi="ITCFranklinGothicDemi" w:cs="ITCFranklinGothicDemi"/>
          <w:b/>
          <w:lang w:val="en-US"/>
        </w:rPr>
        <w:t xml:space="preserve"> </w:t>
      </w:r>
      <w:proofErr w:type="spellStart"/>
      <w:r w:rsidRPr="008D5DE4">
        <w:rPr>
          <w:rFonts w:ascii="ITCFranklinGothicDemi" w:hAnsi="ITCFranklinGothicDemi" w:cs="ITCFranklinGothicDemi"/>
          <w:b/>
          <w:lang w:val="en-US"/>
        </w:rPr>
        <w:t>Poots</w:t>
      </w:r>
      <w:proofErr w:type="spellEnd"/>
      <w:r w:rsidRPr="008D5DE4">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criteria for applying to the Family Fund for support are the same across the U</w:t>
      </w:r>
      <w:r w:rsidR="003B2D9B">
        <w:rPr>
          <w:lang w:val="en-US"/>
        </w:rPr>
        <w:t xml:space="preserve">K.  </w:t>
      </w:r>
      <w:r>
        <w:rPr>
          <w:lang w:val="en-US"/>
        </w:rPr>
        <w:t>In that</w:t>
      </w:r>
      <w:r w:rsidR="003B2D9B">
        <w:rPr>
          <w:lang w:val="en-US"/>
        </w:rPr>
        <w:t xml:space="preserve"> </w:t>
      </w:r>
      <w:r>
        <w:rPr>
          <w:lang w:val="en-US"/>
        </w:rPr>
        <w:t>respect families in Northern</w:t>
      </w:r>
      <w:r w:rsidR="003B2D9B">
        <w:rPr>
          <w:lang w:val="en-US"/>
        </w:rPr>
        <w:t xml:space="preserve"> Ireland are not disadvantaged.  </w:t>
      </w:r>
      <w:r>
        <w:rPr>
          <w:lang w:val="en-US"/>
        </w:rPr>
        <w:t>However, due to an increase in demand for</w:t>
      </w:r>
      <w:r w:rsidR="003B2D9B">
        <w:rPr>
          <w:lang w:val="en-US"/>
        </w:rPr>
        <w:t xml:space="preserve"> </w:t>
      </w:r>
      <w:r>
        <w:rPr>
          <w:lang w:val="en-US"/>
        </w:rPr>
        <w:t>support, I understand the Family Fund has allocated all funding provided by my Department for the</w:t>
      </w:r>
      <w:r w:rsidR="003B2D9B">
        <w:rPr>
          <w:lang w:val="en-US"/>
        </w:rPr>
        <w:t xml:space="preserve"> </w:t>
      </w:r>
      <w:r>
        <w:rPr>
          <w:lang w:val="en-US"/>
        </w:rPr>
        <w:t>current financial year and is unable to process any further applications from families in Northern Ireland.</w:t>
      </w:r>
      <w:r w:rsidR="003B2D9B">
        <w:rPr>
          <w:lang w:val="en-US"/>
        </w:rPr>
        <w:t xml:space="preserve">  </w:t>
      </w:r>
      <w:r>
        <w:rPr>
          <w:lang w:val="en-US"/>
        </w:rPr>
        <w:t>Officials met with representatives from the Family Fund recently to discuss the current funding situation.</w:t>
      </w:r>
      <w:r w:rsidR="003B2D9B">
        <w:rPr>
          <w:lang w:val="en-US"/>
        </w:rPr>
        <w:t xml:space="preserve">  </w:t>
      </w:r>
      <w:r>
        <w:rPr>
          <w:lang w:val="en-US"/>
        </w:rPr>
        <w:t>Despite the challenging financial circumstances, I am hopeful of being able to maintain my</w:t>
      </w:r>
    </w:p>
    <w:p w:rsidR="00E5734F" w:rsidRDefault="004F54DD" w:rsidP="008D5DE4">
      <w:pPr>
        <w:pStyle w:val="NICCYBodyText"/>
        <w:rPr>
          <w:lang w:val="en-US"/>
        </w:rPr>
      </w:pPr>
      <w:proofErr w:type="gramStart"/>
      <w:r>
        <w:rPr>
          <w:lang w:val="en-US"/>
        </w:rPr>
        <w:t>Departments</w:t>
      </w:r>
      <w:proofErr w:type="gramEnd"/>
      <w:r>
        <w:rPr>
          <w:lang w:val="en-US"/>
        </w:rPr>
        <w:t xml:space="preserve"> contribution to the Family Fund again next year.</w:t>
      </w:r>
    </w:p>
    <w:p w:rsidR="003B2D9B" w:rsidRDefault="003B2D9B" w:rsidP="008D5DE4">
      <w:pPr>
        <w:pStyle w:val="NICCYBodyText"/>
        <w:rPr>
          <w:lang w:val="en-US"/>
        </w:rPr>
      </w:pPr>
    </w:p>
    <w:p w:rsidR="003B2D9B" w:rsidRDefault="003B2D9B" w:rsidP="003B2D9B">
      <w:pPr>
        <w:autoSpaceDE w:val="0"/>
        <w:autoSpaceDN w:val="0"/>
        <w:adjustRightInd w:val="0"/>
        <w:spacing w:line="288" w:lineRule="auto"/>
      </w:pPr>
      <w:hyperlink w:anchor="_top" w:history="1">
        <w:r w:rsidRPr="00A92D13">
          <w:rPr>
            <w:rStyle w:val="Hyperlink"/>
          </w:rPr>
          <w:t>Back to</w:t>
        </w:r>
        <w:r w:rsidRPr="00A92D13">
          <w:rPr>
            <w:rStyle w:val="Hyperlink"/>
          </w:rPr>
          <w:t xml:space="preserve"> </w:t>
        </w:r>
        <w:r w:rsidRPr="00A92D13">
          <w:rPr>
            <w:rStyle w:val="Hyperlink"/>
          </w:rPr>
          <w:t>Top</w:t>
        </w:r>
      </w:hyperlink>
    </w:p>
    <w:p w:rsidR="003B2D9B" w:rsidRDefault="003B2D9B" w:rsidP="008D5DE4">
      <w:pPr>
        <w:pStyle w:val="NICCYBodyText"/>
        <w:rPr>
          <w:lang w:val="en-US"/>
        </w:rPr>
      </w:pPr>
    </w:p>
    <w:p w:rsidR="00431AA0" w:rsidRDefault="00431AA0" w:rsidP="003B2D9B">
      <w:pPr>
        <w:pStyle w:val="Heading2"/>
        <w:rPr>
          <w:rFonts w:eastAsiaTheme="minorEastAsia"/>
          <w:lang w:val="en-US"/>
        </w:rPr>
      </w:pPr>
      <w:bookmarkStart w:id="11" w:name="_Welfare_Reform:_Flexibilities"/>
      <w:bookmarkEnd w:id="11"/>
      <w:r>
        <w:rPr>
          <w:rFonts w:eastAsiaTheme="minorEastAsia"/>
          <w:lang w:val="en-US"/>
        </w:rPr>
        <w:t>Welfare Reform: Flexibilities</w:t>
      </w:r>
    </w:p>
    <w:p w:rsidR="003B2D9B" w:rsidRDefault="00431AA0" w:rsidP="003B2D9B">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Weir </w:t>
      </w:r>
      <w:r>
        <w:rPr>
          <w:lang w:val="en-US"/>
        </w:rPr>
        <w:t>asked the Minister for Social Development whether he has taken account of the issues</w:t>
      </w:r>
      <w:r w:rsidR="003B2D9B">
        <w:rPr>
          <w:lang w:val="en-US"/>
        </w:rPr>
        <w:t xml:space="preserve"> </w:t>
      </w:r>
      <w:r>
        <w:rPr>
          <w:lang w:val="en-US"/>
        </w:rPr>
        <w:t xml:space="preserve">identified by the voluntary sector and advice sector when drawing up his package of Welfare Reform flexibilities. </w:t>
      </w:r>
    </w:p>
    <w:p w:rsidR="00431AA0" w:rsidRPr="003B2D9B" w:rsidRDefault="00431AA0" w:rsidP="003B2D9B">
      <w:pPr>
        <w:pStyle w:val="NICCYBodyText"/>
        <w:rPr>
          <w:lang w:val="en-US"/>
        </w:rPr>
      </w:pPr>
      <w:r>
        <w:rPr>
          <w:rFonts w:ascii="ITCFranklinGothicDemi" w:hAnsi="ITCFranklinGothicDemi" w:cs="ITCFranklinGothicDemi"/>
          <w:lang w:val="en-US"/>
        </w:rPr>
        <w:t>(AQO 5617/11-15)</w:t>
      </w:r>
    </w:p>
    <w:p w:rsidR="00431AA0" w:rsidRDefault="00431AA0" w:rsidP="003B2D9B">
      <w:pPr>
        <w:pStyle w:val="NICCYBodyText"/>
        <w:rPr>
          <w:rFonts w:ascii="ITCFranklinGothicDemi" w:hAnsi="ITCFranklinGothicDemi" w:cs="ITCFranklinGothicDemi"/>
          <w:lang w:val="en-US"/>
        </w:rPr>
      </w:pPr>
    </w:p>
    <w:p w:rsidR="006E6E52" w:rsidRDefault="00431AA0" w:rsidP="003B2D9B">
      <w:pPr>
        <w:pStyle w:val="NICCYBodyText"/>
        <w:rPr>
          <w:lang w:val="en-US"/>
        </w:rPr>
      </w:pPr>
      <w:proofErr w:type="spellStart"/>
      <w:r w:rsidRPr="003B2D9B">
        <w:rPr>
          <w:rFonts w:ascii="ITCFranklinGothicDemi" w:hAnsi="ITCFranklinGothicDemi" w:cs="ITCFranklinGothicDemi"/>
          <w:b/>
          <w:lang w:val="en-US"/>
        </w:rPr>
        <w:t>Mr</w:t>
      </w:r>
      <w:proofErr w:type="spellEnd"/>
      <w:r w:rsidRPr="003B2D9B">
        <w:rPr>
          <w:rFonts w:ascii="ITCFranklinGothicDemi" w:hAnsi="ITCFranklinGothicDemi" w:cs="ITCFranklinGothicDemi"/>
          <w:b/>
          <w:lang w:val="en-US"/>
        </w:rPr>
        <w:t xml:space="preserve"> </w:t>
      </w:r>
      <w:proofErr w:type="spellStart"/>
      <w:r w:rsidRPr="003B2D9B">
        <w:rPr>
          <w:rFonts w:ascii="ITCFranklinGothicDemi" w:hAnsi="ITCFranklinGothicDemi" w:cs="ITCFranklinGothicDemi"/>
          <w:b/>
          <w:lang w:val="en-US"/>
        </w:rPr>
        <w:t>McCausland</w:t>
      </w:r>
      <w:proofErr w:type="spellEnd"/>
      <w:r w:rsidRPr="003B2D9B">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Since coming into office in May 2011, I have been listening to the concerns about</w:t>
      </w:r>
      <w:r w:rsidR="003B2D9B">
        <w:rPr>
          <w:lang w:val="en-US"/>
        </w:rPr>
        <w:t xml:space="preserve"> </w:t>
      </w:r>
      <w:r>
        <w:rPr>
          <w:lang w:val="en-US"/>
        </w:rPr>
        <w:t>welfare reform expressed not only by the voluntary and advice sector but by Executive colleagues and a large number of individuals who ha</w:t>
      </w:r>
      <w:r w:rsidR="003B2D9B">
        <w:rPr>
          <w:lang w:val="en-US"/>
        </w:rPr>
        <w:t xml:space="preserve">ve written to me on this issue.  </w:t>
      </w:r>
      <w:r>
        <w:rPr>
          <w:lang w:val="en-US"/>
        </w:rPr>
        <w:t>The outcome of this is that I have developed a package of measures which potentially deals with many of these concerns and which will not only help simplify the social security system but more importantly it will involve measures which protect the most vulnerable in our society.</w:t>
      </w:r>
      <w:r w:rsidR="003B2D9B">
        <w:rPr>
          <w:lang w:val="en-US"/>
        </w:rPr>
        <w:t xml:space="preserve">  </w:t>
      </w:r>
      <w:r w:rsidR="00CF5821">
        <w:rPr>
          <w:lang w:val="en-US"/>
        </w:rPr>
        <w:t>I hope this package will be seen as significantly addressing the key concerns around welfare reform and will enable Executive colleagues to agree that the Welfare Reform Bill move to Consideration Stage</w:t>
      </w:r>
      <w:r w:rsidR="003B2D9B">
        <w:rPr>
          <w:lang w:val="en-US"/>
        </w:rPr>
        <w:t xml:space="preserve"> </w:t>
      </w:r>
      <w:r w:rsidR="00CF5821">
        <w:rPr>
          <w:lang w:val="en-US"/>
        </w:rPr>
        <w:t>in the Assembly.</w:t>
      </w:r>
    </w:p>
    <w:p w:rsidR="00CF5821" w:rsidRDefault="00CF5821" w:rsidP="00CF5821">
      <w:pPr>
        <w:autoSpaceDE w:val="0"/>
        <w:autoSpaceDN w:val="0"/>
        <w:adjustRightInd w:val="0"/>
        <w:rPr>
          <w:rFonts w:ascii="ITCFranklinGothicBook" w:eastAsiaTheme="minorEastAsia" w:hAnsi="ITCFranklinGothicBook" w:cs="ITCFranklinGothicBook"/>
          <w:color w:val="auto"/>
          <w:sz w:val="20"/>
          <w:szCs w:val="20"/>
          <w:lang w:val="en-US"/>
        </w:rPr>
      </w:pPr>
    </w:p>
    <w:p w:rsidR="00D97231" w:rsidRPr="006F3A42" w:rsidRDefault="00902C18" w:rsidP="00883F0E">
      <w:pPr>
        <w:autoSpaceDE w:val="0"/>
        <w:autoSpaceDN w:val="0"/>
        <w:adjustRightInd w:val="0"/>
        <w:spacing w:line="288" w:lineRule="auto"/>
      </w:pPr>
      <w:hyperlink w:anchor="_top" w:history="1">
        <w:r w:rsidR="00883F0E" w:rsidRPr="00A92D13">
          <w:rPr>
            <w:rStyle w:val="Hyperlink"/>
          </w:rPr>
          <w:t>Back to</w:t>
        </w:r>
        <w:r w:rsidR="00883F0E" w:rsidRPr="00A92D13">
          <w:rPr>
            <w:rStyle w:val="Hyperlink"/>
          </w:rPr>
          <w:t xml:space="preserve"> </w:t>
        </w:r>
        <w:r w:rsidR="00883F0E" w:rsidRPr="00A92D13">
          <w:rPr>
            <w:rStyle w:val="Hyperlink"/>
          </w:rPr>
          <w:t>Top</w:t>
        </w:r>
      </w:hyperlink>
    </w:p>
    <w:sectPr w:rsidR="00D97231" w:rsidRPr="006F3A42" w:rsidSect="002B54AF">
      <w:headerReference w:type="default" r:id="rId8"/>
      <w:footerReference w:type="even" r:id="rId9"/>
      <w:footerReference w:type="default" r:id="rId10"/>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E4" w:rsidRDefault="008D5DE4" w:rsidP="00CC53D4">
      <w:r>
        <w:separator/>
      </w:r>
    </w:p>
  </w:endnote>
  <w:endnote w:type="continuationSeparator" w:id="0">
    <w:p w:rsidR="008D5DE4" w:rsidRDefault="008D5DE4"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old">
    <w:panose1 w:val="00000000000000000000"/>
    <w:charset w:val="00"/>
    <w:family w:val="roman"/>
    <w:notTrueType/>
    <w:pitch w:val="default"/>
    <w:sig w:usb0="00000000" w:usb1="00000000" w:usb2="00000000" w:usb3="00000000" w:csb0="00000000"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E4" w:rsidRDefault="008D5DE4"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D5DE4" w:rsidRDefault="008D5DE4"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E4" w:rsidRPr="00D81956" w:rsidRDefault="008D5DE4"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3B2D9B">
      <w:rPr>
        <w:rStyle w:val="PageNumber"/>
        <w:rFonts w:ascii="Arial" w:hAnsi="Arial" w:cs="Arial"/>
        <w:noProof/>
        <w:sz w:val="16"/>
        <w:szCs w:val="16"/>
      </w:rPr>
      <w:t>1</w:t>
    </w:r>
    <w:r w:rsidRPr="00D81956">
      <w:rPr>
        <w:rStyle w:val="PageNumber"/>
        <w:rFonts w:ascii="Arial" w:hAnsi="Arial" w:cs="Arial"/>
        <w:sz w:val="16"/>
        <w:szCs w:val="16"/>
      </w:rPr>
      <w:fldChar w:fldCharType="end"/>
    </w:r>
  </w:p>
  <w:p w:rsidR="008D5DE4" w:rsidRPr="00D81956" w:rsidRDefault="008D5DE4"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8D5DE4" w:rsidRDefault="008D5DE4"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8D5DE4" w:rsidRDefault="008D5DE4"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8D5DE4" w:rsidRDefault="008D5DE4"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8D5DE4" w:rsidRDefault="008D5DE4"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8D5DE4" w:rsidRDefault="008D5DE4"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E4" w:rsidRDefault="008D5DE4" w:rsidP="00CC53D4">
      <w:r>
        <w:separator/>
      </w:r>
    </w:p>
  </w:footnote>
  <w:footnote w:type="continuationSeparator" w:id="0">
    <w:p w:rsidR="008D5DE4" w:rsidRDefault="008D5DE4"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8D5DE4" w:rsidTr="000D52AB">
      <w:tc>
        <w:tcPr>
          <w:tcW w:w="5027" w:type="dxa"/>
          <w:shd w:val="clear" w:color="auto" w:fill="auto"/>
        </w:tcPr>
        <w:p w:rsidR="008D5DE4" w:rsidRDefault="008D5DE4" w:rsidP="00CC53D4">
          <w:pPr>
            <w:pStyle w:val="CompanyName"/>
          </w:pPr>
        </w:p>
      </w:tc>
      <w:tc>
        <w:tcPr>
          <w:tcW w:w="4855" w:type="dxa"/>
          <w:shd w:val="clear" w:color="auto" w:fill="auto"/>
        </w:tcPr>
        <w:p w:rsidR="008D5DE4" w:rsidRDefault="008D5DE4" w:rsidP="00CC53D4">
          <w:pPr>
            <w:pStyle w:val="CompanyName"/>
          </w:pPr>
        </w:p>
      </w:tc>
    </w:tr>
  </w:tbl>
  <w:p w:rsidR="008D5DE4" w:rsidRDefault="008D5DE4"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E53"/>
    <w:multiLevelType w:val="hybridMultilevel"/>
    <w:tmpl w:val="476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F1207"/>
    <w:multiLevelType w:val="hybridMultilevel"/>
    <w:tmpl w:val="A90497D2"/>
    <w:lvl w:ilvl="0" w:tplc="B148A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66F2B"/>
    <w:multiLevelType w:val="hybridMultilevel"/>
    <w:tmpl w:val="DB5C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16421"/>
    <w:multiLevelType w:val="hybridMultilevel"/>
    <w:tmpl w:val="3BBE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473A4"/>
    <w:multiLevelType w:val="hybridMultilevel"/>
    <w:tmpl w:val="CE38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0360D"/>
    <w:multiLevelType w:val="hybridMultilevel"/>
    <w:tmpl w:val="FBDCCEC0"/>
    <w:lvl w:ilvl="0" w:tplc="2D66F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47755"/>
    <w:multiLevelType w:val="hybridMultilevel"/>
    <w:tmpl w:val="97A4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1564B"/>
    <w:multiLevelType w:val="hybridMultilevel"/>
    <w:tmpl w:val="92AECB44"/>
    <w:lvl w:ilvl="0" w:tplc="27706CC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71D4159C"/>
    <w:multiLevelType w:val="hybridMultilevel"/>
    <w:tmpl w:val="3FCE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14"/>
  </w:num>
  <w:num w:numId="5">
    <w:abstractNumId w:val="9"/>
  </w:num>
  <w:num w:numId="6">
    <w:abstractNumId w:val="10"/>
  </w:num>
  <w:num w:numId="7">
    <w:abstractNumId w:val="6"/>
  </w:num>
  <w:num w:numId="8">
    <w:abstractNumId w:val="5"/>
  </w:num>
  <w:num w:numId="9">
    <w:abstractNumId w:val="4"/>
  </w:num>
  <w:num w:numId="10">
    <w:abstractNumId w:val="15"/>
  </w:num>
  <w:num w:numId="11">
    <w:abstractNumId w:val="7"/>
  </w:num>
  <w:num w:numId="12">
    <w:abstractNumId w:val="0"/>
  </w:num>
  <w:num w:numId="13">
    <w:abstractNumId w:val="1"/>
  </w:num>
  <w:num w:numId="14">
    <w:abstractNumId w:val="8"/>
  </w:num>
  <w:num w:numId="15">
    <w:abstractNumId w:val="11"/>
  </w:num>
  <w:num w:numId="16">
    <w:abstractNumId w:val="16"/>
  </w:num>
  <w:num w:numId="17">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234A1"/>
    <w:rsid w:val="000444A3"/>
    <w:rsid w:val="00044D88"/>
    <w:rsid w:val="00045BD8"/>
    <w:rsid w:val="00055EA0"/>
    <w:rsid w:val="00056CB0"/>
    <w:rsid w:val="000837F5"/>
    <w:rsid w:val="00093189"/>
    <w:rsid w:val="000D2AEB"/>
    <w:rsid w:val="000D52AB"/>
    <w:rsid w:val="000E3D86"/>
    <w:rsid w:val="000F1CDD"/>
    <w:rsid w:val="000F7DDE"/>
    <w:rsid w:val="00110962"/>
    <w:rsid w:val="0011386A"/>
    <w:rsid w:val="00115282"/>
    <w:rsid w:val="00122DAF"/>
    <w:rsid w:val="001324EB"/>
    <w:rsid w:val="00133E56"/>
    <w:rsid w:val="00135AEE"/>
    <w:rsid w:val="00136B0B"/>
    <w:rsid w:val="00140FB5"/>
    <w:rsid w:val="00142718"/>
    <w:rsid w:val="00155105"/>
    <w:rsid w:val="00156DAF"/>
    <w:rsid w:val="00162F1C"/>
    <w:rsid w:val="0017007C"/>
    <w:rsid w:val="00177FC5"/>
    <w:rsid w:val="00190478"/>
    <w:rsid w:val="001911A0"/>
    <w:rsid w:val="001936E2"/>
    <w:rsid w:val="001A2759"/>
    <w:rsid w:val="001D710B"/>
    <w:rsid w:val="001E0551"/>
    <w:rsid w:val="001F008E"/>
    <w:rsid w:val="00222A16"/>
    <w:rsid w:val="002411E9"/>
    <w:rsid w:val="00245FC8"/>
    <w:rsid w:val="00252BCB"/>
    <w:rsid w:val="00253DF5"/>
    <w:rsid w:val="00257738"/>
    <w:rsid w:val="00266801"/>
    <w:rsid w:val="002721BD"/>
    <w:rsid w:val="00280C3B"/>
    <w:rsid w:val="00283DC8"/>
    <w:rsid w:val="002A3F21"/>
    <w:rsid w:val="002B4C9F"/>
    <w:rsid w:val="002B54AF"/>
    <w:rsid w:val="002D63CA"/>
    <w:rsid w:val="002E1D4A"/>
    <w:rsid w:val="002F37EE"/>
    <w:rsid w:val="00311BBE"/>
    <w:rsid w:val="00327C24"/>
    <w:rsid w:val="003313EA"/>
    <w:rsid w:val="00342A06"/>
    <w:rsid w:val="003505C8"/>
    <w:rsid w:val="00360609"/>
    <w:rsid w:val="00370212"/>
    <w:rsid w:val="00382E2D"/>
    <w:rsid w:val="00394F1A"/>
    <w:rsid w:val="003B0C0B"/>
    <w:rsid w:val="003B2D9B"/>
    <w:rsid w:val="003B34CD"/>
    <w:rsid w:val="003B38FB"/>
    <w:rsid w:val="003D01E3"/>
    <w:rsid w:val="003E0D0A"/>
    <w:rsid w:val="003E6232"/>
    <w:rsid w:val="003F5501"/>
    <w:rsid w:val="00410724"/>
    <w:rsid w:val="00431AA0"/>
    <w:rsid w:val="00432B30"/>
    <w:rsid w:val="00451456"/>
    <w:rsid w:val="00483941"/>
    <w:rsid w:val="00486653"/>
    <w:rsid w:val="00494024"/>
    <w:rsid w:val="004B7D02"/>
    <w:rsid w:val="004C026E"/>
    <w:rsid w:val="004E3955"/>
    <w:rsid w:val="004F54DD"/>
    <w:rsid w:val="004F785C"/>
    <w:rsid w:val="0050043B"/>
    <w:rsid w:val="00502CBF"/>
    <w:rsid w:val="0052135F"/>
    <w:rsid w:val="00522437"/>
    <w:rsid w:val="005318DD"/>
    <w:rsid w:val="00534EB5"/>
    <w:rsid w:val="00542EC1"/>
    <w:rsid w:val="005525FB"/>
    <w:rsid w:val="00560EC9"/>
    <w:rsid w:val="00594766"/>
    <w:rsid w:val="00596D71"/>
    <w:rsid w:val="005B1107"/>
    <w:rsid w:val="005C465F"/>
    <w:rsid w:val="005C4D0D"/>
    <w:rsid w:val="005D2D33"/>
    <w:rsid w:val="005F4C21"/>
    <w:rsid w:val="006013F5"/>
    <w:rsid w:val="006127FB"/>
    <w:rsid w:val="006240F5"/>
    <w:rsid w:val="0062524B"/>
    <w:rsid w:val="006373CF"/>
    <w:rsid w:val="00655558"/>
    <w:rsid w:val="006608EA"/>
    <w:rsid w:val="006754C4"/>
    <w:rsid w:val="00676A55"/>
    <w:rsid w:val="006A5470"/>
    <w:rsid w:val="006B22BB"/>
    <w:rsid w:val="006B33DC"/>
    <w:rsid w:val="006B7F4A"/>
    <w:rsid w:val="006C3DFB"/>
    <w:rsid w:val="006D395F"/>
    <w:rsid w:val="006E5A88"/>
    <w:rsid w:val="006E6E52"/>
    <w:rsid w:val="006F3562"/>
    <w:rsid w:val="006F3A42"/>
    <w:rsid w:val="006F3F8A"/>
    <w:rsid w:val="006F5620"/>
    <w:rsid w:val="006F77CB"/>
    <w:rsid w:val="0070315A"/>
    <w:rsid w:val="007035A8"/>
    <w:rsid w:val="00705080"/>
    <w:rsid w:val="0070635F"/>
    <w:rsid w:val="0070725E"/>
    <w:rsid w:val="00712D51"/>
    <w:rsid w:val="00727D62"/>
    <w:rsid w:val="007401AD"/>
    <w:rsid w:val="00751ADC"/>
    <w:rsid w:val="0076185E"/>
    <w:rsid w:val="00764644"/>
    <w:rsid w:val="00773FE9"/>
    <w:rsid w:val="007902A6"/>
    <w:rsid w:val="007910C9"/>
    <w:rsid w:val="007915E7"/>
    <w:rsid w:val="007A5E2D"/>
    <w:rsid w:val="007B6113"/>
    <w:rsid w:val="007C339F"/>
    <w:rsid w:val="007D1642"/>
    <w:rsid w:val="00800D3F"/>
    <w:rsid w:val="008131FD"/>
    <w:rsid w:val="00815A2F"/>
    <w:rsid w:val="00831BDB"/>
    <w:rsid w:val="008654D4"/>
    <w:rsid w:val="00873EBD"/>
    <w:rsid w:val="00874602"/>
    <w:rsid w:val="008822D4"/>
    <w:rsid w:val="00883F0E"/>
    <w:rsid w:val="008860ED"/>
    <w:rsid w:val="00894865"/>
    <w:rsid w:val="008A31A5"/>
    <w:rsid w:val="008A32FE"/>
    <w:rsid w:val="008A6859"/>
    <w:rsid w:val="008B4F31"/>
    <w:rsid w:val="008D5DE4"/>
    <w:rsid w:val="008E3945"/>
    <w:rsid w:val="008F3863"/>
    <w:rsid w:val="008F7CA7"/>
    <w:rsid w:val="00902C18"/>
    <w:rsid w:val="009108C4"/>
    <w:rsid w:val="0091265E"/>
    <w:rsid w:val="009513FD"/>
    <w:rsid w:val="00951984"/>
    <w:rsid w:val="00955B1B"/>
    <w:rsid w:val="009675A2"/>
    <w:rsid w:val="00971DFA"/>
    <w:rsid w:val="00974E5A"/>
    <w:rsid w:val="00997DF0"/>
    <w:rsid w:val="009A5DED"/>
    <w:rsid w:val="009A721A"/>
    <w:rsid w:val="009B7234"/>
    <w:rsid w:val="009C59C9"/>
    <w:rsid w:val="009D0054"/>
    <w:rsid w:val="009D7DCD"/>
    <w:rsid w:val="009E4733"/>
    <w:rsid w:val="009E54FC"/>
    <w:rsid w:val="009E6D40"/>
    <w:rsid w:val="00A03AF5"/>
    <w:rsid w:val="00A17E57"/>
    <w:rsid w:val="00A206DA"/>
    <w:rsid w:val="00A361B1"/>
    <w:rsid w:val="00A468ED"/>
    <w:rsid w:val="00A57C15"/>
    <w:rsid w:val="00A66FCA"/>
    <w:rsid w:val="00A80E8D"/>
    <w:rsid w:val="00A870AC"/>
    <w:rsid w:val="00A92D13"/>
    <w:rsid w:val="00A971BA"/>
    <w:rsid w:val="00AA2943"/>
    <w:rsid w:val="00AB1E8E"/>
    <w:rsid w:val="00AC7EF9"/>
    <w:rsid w:val="00AD6E4D"/>
    <w:rsid w:val="00AF1137"/>
    <w:rsid w:val="00B04461"/>
    <w:rsid w:val="00B23B32"/>
    <w:rsid w:val="00B356B1"/>
    <w:rsid w:val="00B41B46"/>
    <w:rsid w:val="00B51076"/>
    <w:rsid w:val="00B5127A"/>
    <w:rsid w:val="00B5656D"/>
    <w:rsid w:val="00B5740E"/>
    <w:rsid w:val="00B63A85"/>
    <w:rsid w:val="00B906EB"/>
    <w:rsid w:val="00BA2319"/>
    <w:rsid w:val="00BA52E3"/>
    <w:rsid w:val="00BB3142"/>
    <w:rsid w:val="00BB603F"/>
    <w:rsid w:val="00BD589F"/>
    <w:rsid w:val="00BE13B4"/>
    <w:rsid w:val="00BE4944"/>
    <w:rsid w:val="00C0081D"/>
    <w:rsid w:val="00C06BD6"/>
    <w:rsid w:val="00C24F32"/>
    <w:rsid w:val="00C31FED"/>
    <w:rsid w:val="00C67A2B"/>
    <w:rsid w:val="00C749C1"/>
    <w:rsid w:val="00C74ADB"/>
    <w:rsid w:val="00CA27CA"/>
    <w:rsid w:val="00CB2B12"/>
    <w:rsid w:val="00CC2DCC"/>
    <w:rsid w:val="00CC488F"/>
    <w:rsid w:val="00CC53D4"/>
    <w:rsid w:val="00CC7A32"/>
    <w:rsid w:val="00CE176D"/>
    <w:rsid w:val="00CE29B6"/>
    <w:rsid w:val="00CF0D19"/>
    <w:rsid w:val="00CF5821"/>
    <w:rsid w:val="00CF702F"/>
    <w:rsid w:val="00D01C7F"/>
    <w:rsid w:val="00D13D8B"/>
    <w:rsid w:val="00D26C7C"/>
    <w:rsid w:val="00D366DD"/>
    <w:rsid w:val="00D64233"/>
    <w:rsid w:val="00D65745"/>
    <w:rsid w:val="00D72A9F"/>
    <w:rsid w:val="00D81956"/>
    <w:rsid w:val="00D83956"/>
    <w:rsid w:val="00D94E0A"/>
    <w:rsid w:val="00D97231"/>
    <w:rsid w:val="00DA03B1"/>
    <w:rsid w:val="00DB2477"/>
    <w:rsid w:val="00DB56DD"/>
    <w:rsid w:val="00DB7E5C"/>
    <w:rsid w:val="00DC2FE2"/>
    <w:rsid w:val="00DC417B"/>
    <w:rsid w:val="00DD4FEF"/>
    <w:rsid w:val="00E03CDC"/>
    <w:rsid w:val="00E16583"/>
    <w:rsid w:val="00E347A1"/>
    <w:rsid w:val="00E41050"/>
    <w:rsid w:val="00E44493"/>
    <w:rsid w:val="00E5734F"/>
    <w:rsid w:val="00E62C60"/>
    <w:rsid w:val="00E65508"/>
    <w:rsid w:val="00E84CEC"/>
    <w:rsid w:val="00E85371"/>
    <w:rsid w:val="00EA55B7"/>
    <w:rsid w:val="00EA62B6"/>
    <w:rsid w:val="00EB0A62"/>
    <w:rsid w:val="00EB7847"/>
    <w:rsid w:val="00EE20AD"/>
    <w:rsid w:val="00EE7908"/>
    <w:rsid w:val="00EF5E54"/>
    <w:rsid w:val="00EF62E7"/>
    <w:rsid w:val="00F231CF"/>
    <w:rsid w:val="00F255DF"/>
    <w:rsid w:val="00F2595C"/>
    <w:rsid w:val="00F334D8"/>
    <w:rsid w:val="00F3674D"/>
    <w:rsid w:val="00F6320A"/>
    <w:rsid w:val="00F90386"/>
    <w:rsid w:val="00FB1413"/>
    <w:rsid w:val="00FC3476"/>
    <w:rsid w:val="00FD0556"/>
    <w:rsid w:val="00FE2FBC"/>
    <w:rsid w:val="00FE7E6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D8EF-E787-4DD4-95F0-985D6FC7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2014-03-03T15:15:00Z</dcterms:created>
  <dcterms:modified xsi:type="dcterms:W3CDTF">2014-03-03T15:52:00Z</dcterms:modified>
</cp:coreProperties>
</file>