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9A" w:rsidRDefault="00F3229A" w:rsidP="00F3229A">
      <w:pPr>
        <w:pStyle w:val="NICCYHeading"/>
      </w:pPr>
      <w:r>
        <w:t xml:space="preserve">NICCY Summary: </w:t>
      </w:r>
      <w:r w:rsidRPr="005871A1">
        <w:t>Written Assembly Questions Friday</w:t>
      </w:r>
      <w:r>
        <w:t xml:space="preserve"> 11</w:t>
      </w:r>
      <w:r w:rsidRPr="00406AEE">
        <w:rPr>
          <w:vertAlign w:val="superscript"/>
        </w:rPr>
        <w:t>th</w:t>
      </w:r>
      <w:r>
        <w:t xml:space="preserve"> April 2014</w:t>
      </w:r>
    </w:p>
    <w:p w:rsidR="00F3229A" w:rsidRDefault="00F3229A" w:rsidP="00F3229A">
      <w:pPr>
        <w:pStyle w:val="NICCYHeading"/>
      </w:pPr>
    </w:p>
    <w:p w:rsidR="00F3229A" w:rsidRDefault="00F3229A" w:rsidP="00F3229A">
      <w:pPr>
        <w:pStyle w:val="Heading2"/>
        <w:numPr>
          <w:ilvl w:val="0"/>
          <w:numId w:val="14"/>
        </w:numPr>
        <w:rPr>
          <w:rFonts w:eastAsiaTheme="minorEastAsia" w:cs="Arial"/>
          <w:bCs w:val="0"/>
          <w:color w:val="23A4DE"/>
          <w:szCs w:val="28"/>
        </w:rPr>
      </w:pPr>
      <w:hyperlink w:anchor="_Goods,_Facilities_and" w:history="1">
        <w:r w:rsidRPr="00F3229A">
          <w:rPr>
            <w:rFonts w:cs="Arial"/>
            <w:bCs w:val="0"/>
            <w:color w:val="23A4DE"/>
            <w:szCs w:val="28"/>
          </w:rPr>
          <w:t>Goods, Fa</w:t>
        </w:r>
        <w:r w:rsidRPr="00F3229A">
          <w:rPr>
            <w:rFonts w:cs="Arial"/>
            <w:bCs w:val="0"/>
            <w:color w:val="23A4DE"/>
            <w:szCs w:val="28"/>
          </w:rPr>
          <w:t>c</w:t>
        </w:r>
        <w:r w:rsidRPr="00F3229A">
          <w:rPr>
            <w:rFonts w:cs="Arial"/>
            <w:bCs w:val="0"/>
            <w:color w:val="23A4DE"/>
            <w:szCs w:val="28"/>
          </w:rPr>
          <w:t>i</w:t>
        </w:r>
        <w:r w:rsidRPr="00F3229A">
          <w:rPr>
            <w:rFonts w:cs="Arial"/>
            <w:bCs w:val="0"/>
            <w:color w:val="23A4DE"/>
            <w:szCs w:val="28"/>
          </w:rPr>
          <w:t>l</w:t>
        </w:r>
        <w:r w:rsidRPr="00F3229A">
          <w:rPr>
            <w:rFonts w:cs="Arial"/>
            <w:bCs w:val="0"/>
            <w:color w:val="23A4DE"/>
            <w:szCs w:val="28"/>
          </w:rPr>
          <w:t>itie</w:t>
        </w:r>
        <w:r w:rsidRPr="00F3229A">
          <w:rPr>
            <w:rFonts w:cs="Arial"/>
            <w:bCs w:val="0"/>
            <w:color w:val="23A4DE"/>
            <w:szCs w:val="28"/>
          </w:rPr>
          <w:t>s</w:t>
        </w:r>
        <w:r w:rsidRPr="00F3229A">
          <w:rPr>
            <w:rFonts w:cs="Arial"/>
            <w:bCs w:val="0"/>
            <w:color w:val="23A4DE"/>
            <w:szCs w:val="28"/>
          </w:rPr>
          <w:t xml:space="preserve"> and Services Legislation</w:t>
        </w:r>
      </w:hyperlink>
    </w:p>
    <w:p w:rsidR="00F3229A" w:rsidRDefault="00F3229A" w:rsidP="00F3229A">
      <w:pPr>
        <w:rPr>
          <w:rFonts w:eastAsiaTheme="minorEastAsia"/>
        </w:rPr>
      </w:pPr>
    </w:p>
    <w:p w:rsidR="00F3229A" w:rsidRDefault="00F3229A" w:rsidP="00F3229A">
      <w:pPr>
        <w:pStyle w:val="Heading2"/>
        <w:numPr>
          <w:ilvl w:val="0"/>
          <w:numId w:val="14"/>
        </w:numPr>
        <w:rPr>
          <w:rFonts w:cs="Arial"/>
          <w:bCs w:val="0"/>
          <w:color w:val="23A4DE"/>
          <w:szCs w:val="28"/>
        </w:rPr>
      </w:pPr>
      <w:hyperlink w:anchor="_Temporary_or_Time-Limited" w:history="1">
        <w:r w:rsidRPr="00F3229A">
          <w:rPr>
            <w:rFonts w:cs="Arial"/>
            <w:bCs w:val="0"/>
            <w:color w:val="23A4DE"/>
            <w:szCs w:val="28"/>
          </w:rPr>
          <w:t>Temporary or Ti</w:t>
        </w:r>
        <w:r w:rsidRPr="00F3229A">
          <w:rPr>
            <w:rFonts w:cs="Arial"/>
            <w:bCs w:val="0"/>
            <w:color w:val="23A4DE"/>
            <w:szCs w:val="28"/>
          </w:rPr>
          <w:t>m</w:t>
        </w:r>
        <w:r w:rsidRPr="00F3229A">
          <w:rPr>
            <w:rFonts w:cs="Arial"/>
            <w:bCs w:val="0"/>
            <w:color w:val="23A4DE"/>
            <w:szCs w:val="28"/>
          </w:rPr>
          <w:t>e-</w:t>
        </w:r>
        <w:r w:rsidRPr="00F3229A">
          <w:rPr>
            <w:rFonts w:cs="Arial"/>
            <w:bCs w:val="0"/>
            <w:color w:val="23A4DE"/>
            <w:szCs w:val="28"/>
          </w:rPr>
          <w:t>L</w:t>
        </w:r>
        <w:r w:rsidRPr="00F3229A">
          <w:rPr>
            <w:rFonts w:cs="Arial"/>
            <w:bCs w:val="0"/>
            <w:color w:val="23A4DE"/>
            <w:szCs w:val="28"/>
          </w:rPr>
          <w:t>imited Statement of Special Educational Need</w:t>
        </w:r>
      </w:hyperlink>
    </w:p>
    <w:p w:rsidR="000B7622" w:rsidRDefault="000B7622" w:rsidP="000B7622"/>
    <w:p w:rsidR="000B7622" w:rsidRDefault="000B7622" w:rsidP="000B7622">
      <w:pPr>
        <w:pStyle w:val="Heading2"/>
        <w:numPr>
          <w:ilvl w:val="0"/>
          <w:numId w:val="14"/>
        </w:numPr>
        <w:rPr>
          <w:rFonts w:cs="Arial"/>
          <w:bCs w:val="0"/>
          <w:color w:val="23A4DE"/>
          <w:szCs w:val="28"/>
        </w:rPr>
      </w:pPr>
      <w:hyperlink w:anchor="_Pupils_with_Autism" w:history="1">
        <w:r w:rsidRPr="000B7622">
          <w:rPr>
            <w:rFonts w:cs="Arial"/>
            <w:bCs w:val="0"/>
            <w:color w:val="23A4DE"/>
            <w:szCs w:val="28"/>
          </w:rPr>
          <w:t>Pupils w</w:t>
        </w:r>
        <w:r w:rsidRPr="000B7622">
          <w:rPr>
            <w:rFonts w:cs="Arial"/>
            <w:bCs w:val="0"/>
            <w:color w:val="23A4DE"/>
            <w:szCs w:val="28"/>
          </w:rPr>
          <w:t>i</w:t>
        </w:r>
        <w:r w:rsidRPr="000B7622">
          <w:rPr>
            <w:rFonts w:cs="Arial"/>
            <w:bCs w:val="0"/>
            <w:color w:val="23A4DE"/>
            <w:szCs w:val="28"/>
          </w:rPr>
          <w:t xml:space="preserve">th </w:t>
        </w:r>
        <w:r w:rsidRPr="000B7622">
          <w:rPr>
            <w:rFonts w:cs="Arial"/>
            <w:bCs w:val="0"/>
            <w:color w:val="23A4DE"/>
            <w:szCs w:val="28"/>
          </w:rPr>
          <w:t>A</w:t>
        </w:r>
        <w:r w:rsidRPr="000B7622">
          <w:rPr>
            <w:rFonts w:cs="Arial"/>
            <w:bCs w:val="0"/>
            <w:color w:val="23A4DE"/>
            <w:szCs w:val="28"/>
          </w:rPr>
          <w:t>utism</w:t>
        </w:r>
      </w:hyperlink>
    </w:p>
    <w:p w:rsidR="000B7622" w:rsidRDefault="000B7622" w:rsidP="000B7622">
      <w:pPr>
        <w:rPr>
          <w:rFonts w:eastAsiaTheme="minorEastAsia"/>
        </w:rPr>
      </w:pPr>
    </w:p>
    <w:p w:rsidR="000B7622" w:rsidRDefault="000B7622" w:rsidP="000B7622">
      <w:pPr>
        <w:pStyle w:val="Heading2"/>
        <w:numPr>
          <w:ilvl w:val="0"/>
          <w:numId w:val="14"/>
        </w:numPr>
        <w:rPr>
          <w:rFonts w:cs="Arial"/>
          <w:bCs w:val="0"/>
          <w:color w:val="23A4DE"/>
          <w:szCs w:val="28"/>
        </w:rPr>
      </w:pPr>
      <w:hyperlink w:anchor="_Family_High_Court" w:history="1">
        <w:r w:rsidRPr="000B7622">
          <w:rPr>
            <w:rFonts w:cs="Arial"/>
            <w:bCs w:val="0"/>
            <w:color w:val="23A4DE"/>
            <w:szCs w:val="28"/>
          </w:rPr>
          <w:t>Family High Cou</w:t>
        </w:r>
        <w:r w:rsidRPr="000B7622">
          <w:rPr>
            <w:rFonts w:cs="Arial"/>
            <w:bCs w:val="0"/>
            <w:color w:val="23A4DE"/>
            <w:szCs w:val="28"/>
          </w:rPr>
          <w:t>r</w:t>
        </w:r>
        <w:r w:rsidRPr="000B7622">
          <w:rPr>
            <w:rFonts w:cs="Arial"/>
            <w:bCs w:val="0"/>
            <w:color w:val="23A4DE"/>
            <w:szCs w:val="28"/>
          </w:rPr>
          <w:t>t Ju</w:t>
        </w:r>
        <w:r w:rsidRPr="000B7622">
          <w:rPr>
            <w:rFonts w:cs="Arial"/>
            <w:bCs w:val="0"/>
            <w:color w:val="23A4DE"/>
            <w:szCs w:val="28"/>
          </w:rPr>
          <w:t>d</w:t>
        </w:r>
        <w:r w:rsidRPr="000B7622">
          <w:rPr>
            <w:rFonts w:cs="Arial"/>
            <w:bCs w:val="0"/>
            <w:color w:val="23A4DE"/>
            <w:szCs w:val="28"/>
          </w:rPr>
          <w:t>gment: Parental Alienation</w:t>
        </w:r>
      </w:hyperlink>
    </w:p>
    <w:p w:rsidR="000B7622" w:rsidRDefault="000B7622" w:rsidP="000B7622">
      <w:pPr>
        <w:rPr>
          <w:rFonts w:eastAsiaTheme="minorEastAsia"/>
        </w:rPr>
      </w:pPr>
    </w:p>
    <w:p w:rsidR="000B7622" w:rsidRDefault="000B7622" w:rsidP="000B7622">
      <w:pPr>
        <w:pStyle w:val="Heading2"/>
        <w:numPr>
          <w:ilvl w:val="0"/>
          <w:numId w:val="14"/>
        </w:numPr>
        <w:rPr>
          <w:rFonts w:cs="Arial"/>
          <w:bCs w:val="0"/>
          <w:color w:val="23A4DE"/>
          <w:szCs w:val="28"/>
        </w:rPr>
      </w:pPr>
      <w:hyperlink w:anchor="_Movement_from_Childrens" w:history="1">
        <w:r w:rsidRPr="000B7622">
          <w:rPr>
            <w:rFonts w:cs="Arial"/>
            <w:bCs w:val="0"/>
            <w:color w:val="23A4DE"/>
            <w:szCs w:val="28"/>
          </w:rPr>
          <w:t>Movement from Children’</w:t>
        </w:r>
        <w:r w:rsidRPr="000B7622">
          <w:rPr>
            <w:rFonts w:cs="Arial"/>
            <w:bCs w:val="0"/>
            <w:color w:val="23A4DE"/>
            <w:szCs w:val="28"/>
          </w:rPr>
          <w:t>s</w:t>
        </w:r>
        <w:r w:rsidRPr="000B7622">
          <w:rPr>
            <w:rFonts w:cs="Arial"/>
            <w:bCs w:val="0"/>
            <w:color w:val="23A4DE"/>
            <w:szCs w:val="28"/>
          </w:rPr>
          <w:t xml:space="preserve"> to</w:t>
        </w:r>
        <w:r w:rsidRPr="000B7622">
          <w:rPr>
            <w:rFonts w:cs="Arial"/>
            <w:bCs w:val="0"/>
            <w:color w:val="23A4DE"/>
            <w:szCs w:val="28"/>
          </w:rPr>
          <w:t xml:space="preserve"> </w:t>
        </w:r>
        <w:r w:rsidRPr="000B7622">
          <w:rPr>
            <w:rFonts w:cs="Arial"/>
            <w:bCs w:val="0"/>
            <w:color w:val="23A4DE"/>
            <w:szCs w:val="28"/>
          </w:rPr>
          <w:t>Adult Services</w:t>
        </w:r>
      </w:hyperlink>
    </w:p>
    <w:p w:rsidR="00D66149" w:rsidRDefault="00D66149" w:rsidP="00D66149"/>
    <w:p w:rsidR="00D66149" w:rsidRDefault="00D66149" w:rsidP="00D66149">
      <w:pPr>
        <w:pStyle w:val="Heading2"/>
        <w:numPr>
          <w:ilvl w:val="0"/>
          <w:numId w:val="14"/>
        </w:numPr>
        <w:rPr>
          <w:rFonts w:cs="Arial"/>
          <w:bCs w:val="0"/>
          <w:color w:val="23A4DE"/>
          <w:szCs w:val="28"/>
        </w:rPr>
      </w:pPr>
      <w:hyperlink w:anchor="_Consultation_on_Domestic" w:history="1">
        <w:r w:rsidRPr="00D66149">
          <w:rPr>
            <w:rFonts w:cs="Arial"/>
            <w:bCs w:val="0"/>
            <w:color w:val="23A4DE"/>
            <w:szCs w:val="28"/>
          </w:rPr>
          <w:t>Consultation o</w:t>
        </w:r>
        <w:r w:rsidRPr="00D66149">
          <w:rPr>
            <w:rFonts w:cs="Arial"/>
            <w:bCs w:val="0"/>
            <w:color w:val="23A4DE"/>
            <w:szCs w:val="28"/>
          </w:rPr>
          <w:t>n</w:t>
        </w:r>
        <w:r w:rsidRPr="00D66149">
          <w:rPr>
            <w:rFonts w:cs="Arial"/>
            <w:bCs w:val="0"/>
            <w:color w:val="23A4DE"/>
            <w:szCs w:val="28"/>
          </w:rPr>
          <w:t xml:space="preserve"> Dome</w:t>
        </w:r>
        <w:r w:rsidRPr="00D66149">
          <w:rPr>
            <w:rFonts w:cs="Arial"/>
            <w:bCs w:val="0"/>
            <w:color w:val="23A4DE"/>
            <w:szCs w:val="28"/>
          </w:rPr>
          <w:t>s</w:t>
        </w:r>
        <w:r w:rsidRPr="00D66149">
          <w:rPr>
            <w:rFonts w:cs="Arial"/>
            <w:bCs w:val="0"/>
            <w:color w:val="23A4DE"/>
            <w:szCs w:val="28"/>
          </w:rPr>
          <w:t>tic and Sexual Violence</w:t>
        </w:r>
      </w:hyperlink>
    </w:p>
    <w:p w:rsidR="00D66149" w:rsidRDefault="00D66149" w:rsidP="00D66149">
      <w:pPr>
        <w:rPr>
          <w:rFonts w:eastAsiaTheme="minorEastAsia"/>
        </w:rPr>
      </w:pPr>
    </w:p>
    <w:p w:rsidR="00D66149" w:rsidRDefault="00D66149" w:rsidP="00D66149">
      <w:pPr>
        <w:pStyle w:val="Heading2"/>
        <w:numPr>
          <w:ilvl w:val="0"/>
          <w:numId w:val="14"/>
        </w:numPr>
        <w:rPr>
          <w:rFonts w:eastAsiaTheme="minorEastAsia"/>
          <w:lang w:val="en-US"/>
        </w:rPr>
      </w:pPr>
      <w:hyperlink w:anchor="_Fuel_Poverty_Scheme:" w:history="1">
        <w:r w:rsidRPr="00D66149">
          <w:rPr>
            <w:rFonts w:cs="Arial"/>
            <w:bCs w:val="0"/>
            <w:color w:val="23A4DE"/>
            <w:szCs w:val="28"/>
          </w:rPr>
          <w:t>Fuel Poverty Schem</w:t>
        </w:r>
        <w:r w:rsidRPr="00D66149">
          <w:rPr>
            <w:rFonts w:cs="Arial"/>
            <w:bCs w:val="0"/>
            <w:color w:val="23A4DE"/>
            <w:szCs w:val="28"/>
          </w:rPr>
          <w:t>e</w:t>
        </w:r>
        <w:r w:rsidRPr="00D66149">
          <w:rPr>
            <w:rFonts w:cs="Arial"/>
            <w:bCs w:val="0"/>
            <w:color w:val="23A4DE"/>
            <w:szCs w:val="28"/>
          </w:rPr>
          <w:t>: Ach</w:t>
        </w:r>
        <w:r w:rsidRPr="00D66149">
          <w:rPr>
            <w:rFonts w:cs="Arial"/>
            <w:bCs w:val="0"/>
            <w:color w:val="23A4DE"/>
            <w:szCs w:val="28"/>
          </w:rPr>
          <w:t>i</w:t>
        </w:r>
        <w:r w:rsidRPr="00D66149">
          <w:rPr>
            <w:rFonts w:cs="Arial"/>
            <w:bCs w:val="0"/>
            <w:color w:val="23A4DE"/>
            <w:szCs w:val="28"/>
          </w:rPr>
          <w:t>eving Affordable Warmth</w:t>
        </w:r>
      </w:hyperlink>
    </w:p>
    <w:p w:rsidR="00D66149" w:rsidRPr="00D66149" w:rsidRDefault="00D66149" w:rsidP="00D66149">
      <w:pPr>
        <w:rPr>
          <w:rFonts w:eastAsiaTheme="minorEastAsia"/>
        </w:rPr>
      </w:pPr>
    </w:p>
    <w:p w:rsidR="00D66149" w:rsidRPr="00D66149" w:rsidRDefault="00D66149" w:rsidP="00D66149"/>
    <w:p w:rsidR="000B7622" w:rsidRPr="000B7622" w:rsidRDefault="000B7622" w:rsidP="000B7622">
      <w:pPr>
        <w:rPr>
          <w:rFonts w:eastAsiaTheme="minorEastAsia"/>
        </w:rPr>
      </w:pPr>
    </w:p>
    <w:p w:rsidR="000B7622" w:rsidRPr="000B7622" w:rsidRDefault="000B7622" w:rsidP="000B7622">
      <w:pPr>
        <w:rPr>
          <w:rFonts w:eastAsiaTheme="minorEastAsia"/>
        </w:rPr>
      </w:pPr>
    </w:p>
    <w:p w:rsidR="000B7622" w:rsidRPr="000B7622" w:rsidRDefault="000B7622" w:rsidP="000B7622"/>
    <w:p w:rsidR="00F3229A" w:rsidRPr="00F3229A" w:rsidRDefault="00F3229A" w:rsidP="00F3229A">
      <w:pPr>
        <w:rPr>
          <w:rFonts w:eastAsiaTheme="minorEastAsia"/>
        </w:rPr>
      </w:pPr>
    </w:p>
    <w:p w:rsidR="00F3229A" w:rsidRDefault="00F3229A" w:rsidP="00F3229A">
      <w:pPr>
        <w:pStyle w:val="NICCYHeading"/>
      </w:pPr>
    </w:p>
    <w:p w:rsidR="00F3229A" w:rsidRDefault="00F3229A" w:rsidP="00F3229A">
      <w:pPr>
        <w:pStyle w:val="NICCYBodyText"/>
      </w:pPr>
    </w:p>
    <w:p w:rsidR="00F3229A" w:rsidRDefault="00F3229A" w:rsidP="00F3229A">
      <w:pPr>
        <w:pStyle w:val="NICCYBodyText"/>
      </w:pPr>
    </w:p>
    <w:p w:rsidR="00F3229A" w:rsidRDefault="00F3229A" w:rsidP="00F3229A">
      <w:pPr>
        <w:pStyle w:val="NICCYBodyText"/>
      </w:pPr>
    </w:p>
    <w:p w:rsidR="00F3229A" w:rsidRDefault="00F3229A" w:rsidP="00F3229A">
      <w:pPr>
        <w:pStyle w:val="NICCYBodyText"/>
      </w:pPr>
    </w:p>
    <w:p w:rsidR="00F3229A" w:rsidRDefault="00F3229A" w:rsidP="00F3229A">
      <w:pPr>
        <w:pStyle w:val="NICCYBodyText"/>
      </w:pPr>
    </w:p>
    <w:p w:rsidR="00F3229A" w:rsidRDefault="00F3229A" w:rsidP="00F3229A">
      <w:pPr>
        <w:pStyle w:val="NICCYBodyText"/>
      </w:pPr>
    </w:p>
    <w:p w:rsidR="00F3229A" w:rsidRDefault="00F3229A" w:rsidP="00F3229A">
      <w:pPr>
        <w:pStyle w:val="NICCYBodyText"/>
      </w:pPr>
    </w:p>
    <w:p w:rsidR="00F3229A" w:rsidRDefault="00F3229A" w:rsidP="00F3229A">
      <w:pPr>
        <w:pStyle w:val="Heading2"/>
        <w:rPr>
          <w:rFonts w:eastAsiaTheme="minorEastAsia"/>
          <w:lang w:val="en-US"/>
        </w:rPr>
      </w:pPr>
      <w:bookmarkStart w:id="0" w:name="_Goods,_Facilities_and"/>
      <w:bookmarkEnd w:id="0"/>
      <w:r>
        <w:rPr>
          <w:rFonts w:eastAsiaTheme="minorEastAsia"/>
          <w:lang w:val="en-US"/>
        </w:rPr>
        <w:lastRenderedPageBreak/>
        <w:t>Goods, Facilities and Services Legislation</w:t>
      </w:r>
    </w:p>
    <w:p w:rsidR="00F3229A" w:rsidRDefault="00F3229A" w:rsidP="00F3229A">
      <w:pPr>
        <w:pStyle w:val="NICCYBodyText"/>
        <w:rPr>
          <w:lang w:val="en-US"/>
        </w:rPr>
      </w:pPr>
      <w:r>
        <w:rPr>
          <w:rFonts w:ascii="ITCFranklinGothicDemi" w:hAnsi="ITCFranklinGothicDemi" w:cs="ITCFranklinGothicDemi"/>
          <w:lang w:val="en-US"/>
        </w:rPr>
        <w:t xml:space="preserve">Mr Lyttle </w:t>
      </w:r>
      <w:r>
        <w:rPr>
          <w:lang w:val="en-US"/>
        </w:rPr>
        <w:t>asked the First Minister and deputy First Minister what are the implications of the legal opinion provided to the Northern Ireland Commissioner for Children and Young People by Robin Allen QC and Dee Masters BL regarding Goods, Facilities and Services legislation.</w:t>
      </w:r>
    </w:p>
    <w:p w:rsidR="00F3229A" w:rsidRDefault="00F3229A" w:rsidP="00F3229A">
      <w:pPr>
        <w:pStyle w:val="NICCYBodyText"/>
        <w:rPr>
          <w:rFonts w:ascii="ITCFranklinGothicDemi" w:hAnsi="ITCFranklinGothicDemi" w:cs="ITCFranklinGothicDemi"/>
          <w:lang w:val="en-US"/>
        </w:rPr>
      </w:pPr>
      <w:r>
        <w:rPr>
          <w:rFonts w:ascii="ITCFranklinGothicDemi" w:hAnsi="ITCFranklinGothicDemi" w:cs="ITCFranklinGothicDemi"/>
          <w:lang w:val="en-US"/>
        </w:rPr>
        <w:t>(AQW 32660/11-15)</w:t>
      </w:r>
    </w:p>
    <w:p w:rsidR="00F3229A" w:rsidRDefault="00F3229A" w:rsidP="00F3229A">
      <w:pPr>
        <w:autoSpaceDE w:val="0"/>
        <w:autoSpaceDN w:val="0"/>
        <w:adjustRightInd w:val="0"/>
        <w:rPr>
          <w:rFonts w:ascii="ITCFranklinGothicDemi" w:eastAsiaTheme="minorEastAsia" w:hAnsi="ITCFranklinGothicDemi" w:cs="ITCFranklinGothicDemi"/>
          <w:lang w:val="en-US"/>
        </w:rPr>
      </w:pPr>
    </w:p>
    <w:p w:rsidR="00F3229A" w:rsidRDefault="00F3229A" w:rsidP="00F3229A">
      <w:pPr>
        <w:pStyle w:val="NICCYBodyText"/>
        <w:rPr>
          <w:lang w:val="en-US"/>
        </w:rPr>
      </w:pPr>
      <w:r w:rsidRPr="00F3229A">
        <w:rPr>
          <w:rFonts w:ascii="ITCFranklinGothicDemi" w:hAnsi="ITCFranklinGothicDemi" w:cs="ITCFranklinGothicDemi"/>
          <w:b/>
          <w:lang w:val="en-US"/>
        </w:rPr>
        <w:t xml:space="preserve">Mr P Robinson and Mr M </w:t>
      </w:r>
      <w:proofErr w:type="spellStart"/>
      <w:r w:rsidRPr="00F3229A">
        <w:rPr>
          <w:rFonts w:ascii="ITCFranklinGothicDemi" w:hAnsi="ITCFranklinGothicDemi" w:cs="ITCFranklinGothicDemi"/>
          <w:b/>
          <w:lang w:val="en-US"/>
        </w:rPr>
        <w:t>McGuinness</w:t>
      </w:r>
      <w:proofErr w:type="spellEnd"/>
      <w:r w:rsidRPr="00F3229A">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Equality Commission and NI Commissioner for Children and Young People used the legal advice to produce a joint policy paper to make the case for strengthening the rights of children and young people against unlawful age discrimination in the provision of goods, facilities and services.  Junior Ministers met recently with the Commissioner for Children and Young People, the Chief Commissioner of the Equality Commission and Robin Allen QC to discuss the proposed extension of age discrimination legislation to the provision of goods, facilities and services.  We are still considering the scope of the proposed age discrimination legislation.</w:t>
      </w:r>
    </w:p>
    <w:p w:rsidR="00F3229A" w:rsidRDefault="00F3229A" w:rsidP="00F3229A">
      <w:pPr>
        <w:pStyle w:val="NICCYBodyText"/>
        <w:rPr>
          <w:lang w:val="en-US"/>
        </w:rPr>
      </w:pPr>
    </w:p>
    <w:p w:rsidR="00F3229A" w:rsidRDefault="00F3229A" w:rsidP="00F3229A">
      <w:pPr>
        <w:pStyle w:val="NICCYBodyText"/>
      </w:pPr>
      <w:hyperlink w:anchor="_top" w:history="1">
        <w:r w:rsidRPr="007715F2">
          <w:rPr>
            <w:rStyle w:val="Hyperlink"/>
          </w:rPr>
          <w:t>Back to Top</w:t>
        </w:r>
      </w:hyperlink>
    </w:p>
    <w:p w:rsidR="00F3229A" w:rsidRPr="00F3229A" w:rsidRDefault="00F3229A" w:rsidP="00F3229A">
      <w:pPr>
        <w:pStyle w:val="NICCYBodyText"/>
        <w:rPr>
          <w:lang w:val="en-US"/>
        </w:rPr>
      </w:pPr>
    </w:p>
    <w:p w:rsidR="00F3229A" w:rsidRDefault="00F3229A" w:rsidP="00F3229A">
      <w:pPr>
        <w:pStyle w:val="Heading2"/>
        <w:rPr>
          <w:rFonts w:eastAsiaTheme="minorEastAsia"/>
          <w:lang w:val="en-US"/>
        </w:rPr>
      </w:pPr>
      <w:bookmarkStart w:id="1" w:name="_Temporary_or_Time-Limited"/>
      <w:bookmarkEnd w:id="1"/>
      <w:r>
        <w:rPr>
          <w:rFonts w:eastAsiaTheme="minorEastAsia"/>
          <w:lang w:val="en-US"/>
        </w:rPr>
        <w:t>Temporary or Time-Limited Statement of Special Educational Need</w:t>
      </w:r>
    </w:p>
    <w:p w:rsidR="00F3229A" w:rsidRDefault="00F3229A" w:rsidP="00F3229A">
      <w:pPr>
        <w:pStyle w:val="NICCYBodyText"/>
        <w:rPr>
          <w:lang w:val="en-US"/>
        </w:rPr>
      </w:pPr>
      <w:r>
        <w:rPr>
          <w:rFonts w:ascii="ITCFranklinGothicDemi" w:hAnsi="ITCFranklinGothicDemi" w:cs="ITCFranklinGothicDemi"/>
          <w:lang w:val="en-US"/>
        </w:rPr>
        <w:t xml:space="preserve">Mr P Ramsey </w:t>
      </w:r>
      <w:r>
        <w:rPr>
          <w:lang w:val="en-US"/>
        </w:rPr>
        <w:t xml:space="preserve">asked the Minister of Education </w:t>
      </w:r>
    </w:p>
    <w:p w:rsidR="00F3229A" w:rsidRDefault="00F3229A" w:rsidP="00F3229A">
      <w:pPr>
        <w:pStyle w:val="NICCYBodyText"/>
        <w:numPr>
          <w:ilvl w:val="0"/>
          <w:numId w:val="15"/>
        </w:numPr>
        <w:rPr>
          <w:lang w:val="en-US"/>
        </w:rPr>
      </w:pPr>
      <w:r>
        <w:rPr>
          <w:lang w:val="en-US"/>
        </w:rPr>
        <w:t xml:space="preserve">what provision is available for a temporary or timelimited statement of special educational need; </w:t>
      </w:r>
    </w:p>
    <w:p w:rsidR="00F3229A" w:rsidRDefault="00F3229A" w:rsidP="00F3229A">
      <w:pPr>
        <w:pStyle w:val="NICCYBodyText"/>
        <w:numPr>
          <w:ilvl w:val="0"/>
          <w:numId w:val="15"/>
        </w:numPr>
        <w:rPr>
          <w:lang w:val="en-US"/>
        </w:rPr>
      </w:pPr>
      <w:r>
        <w:rPr>
          <w:lang w:val="en-US"/>
        </w:rPr>
        <w:t xml:space="preserve">the rationale for providing such a statement; </w:t>
      </w:r>
    </w:p>
    <w:p w:rsidR="00F3229A" w:rsidRDefault="00F3229A" w:rsidP="00F3229A">
      <w:pPr>
        <w:pStyle w:val="NICCYBodyText"/>
        <w:numPr>
          <w:ilvl w:val="0"/>
          <w:numId w:val="15"/>
        </w:numPr>
        <w:rPr>
          <w:lang w:val="en-US"/>
        </w:rPr>
      </w:pPr>
      <w:r w:rsidRPr="00F3229A">
        <w:rPr>
          <w:lang w:val="en-US"/>
        </w:rPr>
        <w:t xml:space="preserve">how many children across each Education and Library Board area have such a statement; and </w:t>
      </w:r>
    </w:p>
    <w:p w:rsidR="00F3229A" w:rsidRPr="00F3229A" w:rsidRDefault="00F3229A" w:rsidP="00F3229A">
      <w:pPr>
        <w:pStyle w:val="NICCYBodyText"/>
        <w:numPr>
          <w:ilvl w:val="0"/>
          <w:numId w:val="15"/>
        </w:numPr>
        <w:rPr>
          <w:lang w:val="en-US"/>
        </w:rPr>
      </w:pPr>
      <w:r w:rsidRPr="00F3229A">
        <w:rPr>
          <w:lang w:val="en-US"/>
        </w:rPr>
        <w:t>for a</w:t>
      </w:r>
      <w:r>
        <w:rPr>
          <w:lang w:val="en-US"/>
        </w:rPr>
        <w:t xml:space="preserve"> </w:t>
      </w:r>
      <w:r w:rsidRPr="00F3229A">
        <w:rPr>
          <w:lang w:val="en-US"/>
        </w:rPr>
        <w:t>breakdown of the specific reason for the temporary or time-limited statement by category.</w:t>
      </w:r>
    </w:p>
    <w:p w:rsidR="00F3229A" w:rsidRDefault="00F3229A" w:rsidP="00F3229A">
      <w:pPr>
        <w:pStyle w:val="NICCYBodyText"/>
        <w:rPr>
          <w:rFonts w:ascii="ITCFranklinGothicDemi" w:hAnsi="ITCFranklinGothicDemi" w:cs="ITCFranklinGothicDemi"/>
          <w:lang w:val="en-US"/>
        </w:rPr>
      </w:pPr>
      <w:r>
        <w:rPr>
          <w:rFonts w:ascii="ITCFranklinGothicDemi" w:hAnsi="ITCFranklinGothicDemi" w:cs="ITCFranklinGothicDemi"/>
          <w:lang w:val="en-US"/>
        </w:rPr>
        <w:t>(AQW 32238/11-15)</w:t>
      </w:r>
    </w:p>
    <w:p w:rsidR="00F3229A" w:rsidRDefault="00F3229A" w:rsidP="00F3229A">
      <w:pPr>
        <w:pStyle w:val="NICCYBodyText"/>
        <w:rPr>
          <w:rFonts w:ascii="ITCFranklinGothicDemi" w:hAnsi="ITCFranklinGothicDemi" w:cs="ITCFranklinGothicDemi"/>
          <w:lang w:val="en-US"/>
        </w:rPr>
      </w:pPr>
    </w:p>
    <w:p w:rsidR="00F3229A" w:rsidRDefault="00F3229A" w:rsidP="00F3229A">
      <w:pPr>
        <w:pStyle w:val="NICCYBodyText"/>
        <w:rPr>
          <w:lang w:val="en-US"/>
        </w:rPr>
      </w:pPr>
      <w:r w:rsidRPr="00F3229A">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Neither special educational needs (SEN) legislation nor the Code of Practice on the Identification and Assessment of SEN make reference to either temporary or time-limited statements of SEN.</w:t>
      </w:r>
    </w:p>
    <w:p w:rsidR="00F3229A" w:rsidRDefault="00F3229A" w:rsidP="00F3229A">
      <w:pPr>
        <w:pStyle w:val="NICCYBodyText"/>
        <w:rPr>
          <w:rFonts w:ascii="ITCFranklinGothicBook" w:hAnsi="ITCFranklinGothicBook" w:cs="ITCFranklinGothicBook"/>
          <w:lang w:val="en-US"/>
        </w:rPr>
      </w:pPr>
    </w:p>
    <w:p w:rsidR="00F3229A" w:rsidRDefault="00F3229A" w:rsidP="00F3229A">
      <w:pPr>
        <w:pStyle w:val="NICCYBodyText"/>
      </w:pPr>
      <w:hyperlink w:anchor="_top" w:history="1">
        <w:r w:rsidRPr="007715F2">
          <w:rPr>
            <w:rStyle w:val="Hyperlink"/>
          </w:rPr>
          <w:t xml:space="preserve">Back </w:t>
        </w:r>
        <w:r w:rsidRPr="007715F2">
          <w:rPr>
            <w:rStyle w:val="Hyperlink"/>
          </w:rPr>
          <w:t>t</w:t>
        </w:r>
        <w:r w:rsidRPr="007715F2">
          <w:rPr>
            <w:rStyle w:val="Hyperlink"/>
          </w:rPr>
          <w:t>o Top</w:t>
        </w:r>
      </w:hyperlink>
      <w:r>
        <w:br/>
      </w:r>
    </w:p>
    <w:p w:rsidR="00F3229A" w:rsidRPr="00F3229A" w:rsidRDefault="00F3229A" w:rsidP="00F3229A">
      <w:pPr>
        <w:pStyle w:val="Heading2"/>
        <w:rPr>
          <w:rFonts w:eastAsiaTheme="minorEastAsia"/>
        </w:rPr>
      </w:pPr>
      <w:bookmarkStart w:id="2" w:name="_Pupils_with_Autism"/>
      <w:bookmarkEnd w:id="2"/>
      <w:r>
        <w:rPr>
          <w:rFonts w:eastAsiaTheme="minorEastAsia"/>
          <w:lang w:val="en-US"/>
        </w:rPr>
        <w:lastRenderedPageBreak/>
        <w:t>Pupils with Autism</w:t>
      </w:r>
    </w:p>
    <w:p w:rsidR="00F3229A" w:rsidRDefault="00F3229A" w:rsidP="00F3229A">
      <w:pPr>
        <w:pStyle w:val="NICCYBodyText"/>
        <w:rPr>
          <w:lang w:val="en-US"/>
        </w:rPr>
      </w:pPr>
      <w:r>
        <w:rPr>
          <w:rFonts w:ascii="ITCFranklinGothicDemi" w:hAnsi="ITCFranklinGothicDemi" w:cs="ITCFranklinGothicDemi"/>
          <w:lang w:val="en-US"/>
        </w:rPr>
        <w:t xml:space="preserve">Mr </w:t>
      </w:r>
      <w:proofErr w:type="spellStart"/>
      <w:r>
        <w:rPr>
          <w:rFonts w:ascii="ITCFranklinGothicDemi" w:hAnsi="ITCFranklinGothicDemi" w:cs="ITCFranklinGothicDemi"/>
          <w:lang w:val="en-US"/>
        </w:rPr>
        <w:t>Hazzard</w:t>
      </w:r>
      <w:proofErr w:type="spellEnd"/>
      <w:r>
        <w:rPr>
          <w:rFonts w:ascii="ITCFranklinGothicDemi" w:hAnsi="ITCFranklinGothicDemi" w:cs="ITCFranklinGothicDemi"/>
          <w:lang w:val="en-US"/>
        </w:rPr>
        <w:t xml:space="preserve"> </w:t>
      </w:r>
      <w:r>
        <w:rPr>
          <w:lang w:val="en-US"/>
        </w:rPr>
        <w:t>asked the Minister of Education what measures his Department has taken since May 2007 to assist pupils with autism.</w:t>
      </w:r>
    </w:p>
    <w:p w:rsidR="00F3229A" w:rsidRDefault="00F3229A" w:rsidP="00F3229A">
      <w:pPr>
        <w:pStyle w:val="NICCYBodyText"/>
        <w:rPr>
          <w:rFonts w:ascii="ITCFranklinGothicDemi" w:hAnsi="ITCFranklinGothicDemi" w:cs="ITCFranklinGothicDemi"/>
          <w:lang w:val="en-US"/>
        </w:rPr>
      </w:pPr>
      <w:r>
        <w:rPr>
          <w:rFonts w:ascii="ITCFranklinGothicDemi" w:hAnsi="ITCFranklinGothicDemi" w:cs="ITCFranklinGothicDemi"/>
          <w:lang w:val="en-US"/>
        </w:rPr>
        <w:t>(AQW 32653/11-15)</w:t>
      </w:r>
    </w:p>
    <w:p w:rsidR="00F3229A" w:rsidRDefault="00F3229A" w:rsidP="00F3229A">
      <w:pPr>
        <w:pStyle w:val="NICCYBodyText"/>
        <w:rPr>
          <w:rFonts w:ascii="ITCFranklinGothicDemi" w:hAnsi="ITCFranklinGothicDemi" w:cs="ITCFranklinGothicDemi"/>
          <w:lang w:val="en-US"/>
        </w:rPr>
      </w:pPr>
    </w:p>
    <w:p w:rsidR="00F3229A" w:rsidRDefault="00F3229A" w:rsidP="00F3229A">
      <w:pPr>
        <w:pStyle w:val="NICCYBodyText"/>
        <w:rPr>
          <w:lang w:val="en-US"/>
        </w:rPr>
      </w:pPr>
      <w:r w:rsidRPr="00F3229A">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 xml:space="preserve">The Department of Education (DE) remains committed to ensuring that all pupils, including those with autism, receive a high quality education that enables them to </w:t>
      </w:r>
      <w:proofErr w:type="spellStart"/>
      <w:r>
        <w:rPr>
          <w:lang w:val="en-US"/>
        </w:rPr>
        <w:t>fulfil</w:t>
      </w:r>
      <w:proofErr w:type="spellEnd"/>
      <w:r>
        <w:rPr>
          <w:lang w:val="en-US"/>
        </w:rPr>
        <w:t xml:space="preserve"> their full potential with special educational needs (SEN) provision matched to the individual needs of the child.  A key factor in effectively meeting the needs of pupils with autism is ensuring that schools have the capacity to meet those needs.  In this connection a key aim of the ongoing Review of SEN is to improve the capacity of schools to recognise and support children and young people’s SEN.  This capacity building takes the form of a number of SEN pilot projects and the publication of a ResourceFile on SEN, developed by practitioners, which was issued to all schools in 2011.  A chapter within the</w:t>
      </w:r>
    </w:p>
    <w:p w:rsidR="00F3229A" w:rsidRDefault="00F3229A" w:rsidP="00F3229A">
      <w:pPr>
        <w:pStyle w:val="NICCYBodyText"/>
        <w:rPr>
          <w:lang w:val="en-US"/>
        </w:rPr>
      </w:pPr>
      <w:r>
        <w:rPr>
          <w:lang w:val="en-US"/>
        </w:rPr>
        <w:t>Resource File is dedicated to autism and contains advice and practical materials to be used by school staff.</w:t>
      </w:r>
    </w:p>
    <w:p w:rsidR="00F3229A" w:rsidRDefault="00F3229A" w:rsidP="00F3229A">
      <w:pPr>
        <w:pStyle w:val="NICCYBodyText"/>
        <w:rPr>
          <w:lang w:val="en-US"/>
        </w:rPr>
      </w:pPr>
    </w:p>
    <w:p w:rsidR="00F3229A" w:rsidRDefault="00F3229A" w:rsidP="00F3229A">
      <w:pPr>
        <w:pStyle w:val="NICCYBodyText"/>
        <w:rPr>
          <w:lang w:val="en-US"/>
        </w:rPr>
      </w:pPr>
      <w:r>
        <w:rPr>
          <w:lang w:val="en-US"/>
        </w:rPr>
        <w:t>DE also continues to fund the Education and Library Boards’ (ELBs) inter-board autistic spectrum disorder (ASD) group to provide support to children on the autistic spectrum within each board.  Each ELB’s ASD advisory service provides valued and worthwhile practical support to schools and is a resource of knowledge and skill, with the capacity to raise the standards of education and the social inclusion for children on the autistic spectrum.  These ELB services are used to support children at Stages three to five of the Code of Practice on the Identification and Assessment of SEN.</w:t>
      </w:r>
    </w:p>
    <w:p w:rsidR="00F3229A" w:rsidRDefault="00F3229A" w:rsidP="00F3229A">
      <w:pPr>
        <w:pStyle w:val="NICCYBodyText"/>
        <w:rPr>
          <w:lang w:val="en-US"/>
        </w:rPr>
      </w:pPr>
    </w:p>
    <w:p w:rsidR="00F3229A" w:rsidRDefault="00F3229A" w:rsidP="00F3229A">
      <w:pPr>
        <w:pStyle w:val="NICCYBodyText"/>
        <w:rPr>
          <w:lang w:val="en-US"/>
        </w:rPr>
      </w:pPr>
      <w:r>
        <w:rPr>
          <w:lang w:val="en-US"/>
        </w:rPr>
        <w:t>Guidance materials also remain readily available to assist schools and parents in relation to autism, including:</w:t>
      </w:r>
    </w:p>
    <w:p w:rsidR="00F3229A" w:rsidRPr="00F3229A" w:rsidRDefault="00F3229A" w:rsidP="00F3229A">
      <w:pPr>
        <w:pStyle w:val="NICCYBodyText"/>
        <w:numPr>
          <w:ilvl w:val="0"/>
          <w:numId w:val="16"/>
        </w:numPr>
      </w:pPr>
      <w:r w:rsidRPr="00F3229A">
        <w:t>Autistic Spectrum Disorders – A Guide to Classroom Practice;</w:t>
      </w:r>
    </w:p>
    <w:p w:rsidR="00F3229A" w:rsidRPr="00F3229A" w:rsidRDefault="00F3229A" w:rsidP="00F3229A">
      <w:pPr>
        <w:pStyle w:val="NICCYBodyText"/>
        <w:numPr>
          <w:ilvl w:val="0"/>
          <w:numId w:val="16"/>
        </w:numPr>
      </w:pPr>
      <w:r w:rsidRPr="00F3229A">
        <w:t>Evaluating Provision for Autistic Spectrum Disorders in Schools.</w:t>
      </w:r>
      <w:r>
        <w:br/>
      </w:r>
    </w:p>
    <w:p w:rsidR="000B7622" w:rsidRDefault="00F3229A" w:rsidP="00F3229A">
      <w:pPr>
        <w:pStyle w:val="NICCYBodyText"/>
        <w:rPr>
          <w:lang w:val="en-US"/>
        </w:rPr>
      </w:pPr>
      <w:r>
        <w:rPr>
          <w:lang w:val="en-US"/>
        </w:rPr>
        <w:t xml:space="preserve">In addition, the Autism Act (NI) 2011 places a duty upon the Department of Health, Social Services and Public Safety (DHSSPS) to act as the lead Department in producing, reviewing and implementing a cross-Departmental Autism Strategy.  The Act also places a duty on DHSSPS to clearly detail how the needs of families and carers of children and young people with autism are to be addressed.  </w:t>
      </w:r>
    </w:p>
    <w:p w:rsidR="00F3229A" w:rsidRPr="000B7622" w:rsidRDefault="000B7622" w:rsidP="00F3229A">
      <w:pPr>
        <w:pStyle w:val="NICCYBodyText"/>
        <w:rPr>
          <w:lang w:val="en-US"/>
        </w:rPr>
      </w:pPr>
      <w:r>
        <w:rPr>
          <w:lang w:val="en-US"/>
        </w:rPr>
        <w:br/>
      </w:r>
      <w:r w:rsidR="00F3229A">
        <w:rPr>
          <w:lang w:val="en-US"/>
        </w:rPr>
        <w:lastRenderedPageBreak/>
        <w:t>DE participated in the public consultation and continues to work closely with the ELBs and the Middletown Centre for Autism (MCA) in developing and delivering the DE actions contained in the Strategy.  Opened in 2007 the MCA is an all-island Centre dedicated to providing educationally based support</w:t>
      </w:r>
      <w:r w:rsidR="002631A4">
        <w:rPr>
          <w:lang w:val="en-US"/>
        </w:rPr>
        <w:t xml:space="preserve"> </w:t>
      </w:r>
      <w:r w:rsidR="00F3229A">
        <w:rPr>
          <w:lang w:val="en-US"/>
        </w:rPr>
        <w:t>to childre</w:t>
      </w:r>
      <w:r>
        <w:rPr>
          <w:lang w:val="en-US"/>
        </w:rPr>
        <w:t xml:space="preserve">n and young people with autism.  </w:t>
      </w:r>
      <w:r w:rsidR="00F3229A">
        <w:rPr>
          <w:lang w:val="en-US"/>
        </w:rPr>
        <w:t>It has recently expanded its provision of multi-disciplinary</w:t>
      </w:r>
      <w:r>
        <w:rPr>
          <w:lang w:val="en-US"/>
        </w:rPr>
        <w:t xml:space="preserve"> </w:t>
      </w:r>
      <w:r w:rsidR="00F3229A">
        <w:rPr>
          <w:lang w:val="en-US"/>
        </w:rPr>
        <w:t>support on an outreach basis to those children referred to the Centre by the inter-board ASD Group.</w:t>
      </w:r>
      <w:r>
        <w:rPr>
          <w:lang w:val="en-US"/>
        </w:rPr>
        <w:t xml:space="preserve">  </w:t>
      </w:r>
      <w:r w:rsidR="00F3229A">
        <w:rPr>
          <w:lang w:val="en-US"/>
        </w:rPr>
        <w:t>This support is delivered alongside a training and advisory service for educational professionals and</w:t>
      </w:r>
      <w:r>
        <w:rPr>
          <w:lang w:val="en-US"/>
        </w:rPr>
        <w:t xml:space="preserve"> </w:t>
      </w:r>
      <w:r w:rsidR="00F3229A">
        <w:rPr>
          <w:lang w:val="en-US"/>
        </w:rPr>
        <w:t>parents of children with autism and a research and information service.</w:t>
      </w:r>
      <w:r>
        <w:rPr>
          <w:lang w:val="en-US"/>
        </w:rPr>
        <w:t xml:space="preserve">  </w:t>
      </w:r>
      <w:r w:rsidR="00F3229A">
        <w:rPr>
          <w:lang w:val="en-US"/>
        </w:rPr>
        <w:t>The Centre’s service delivery was subject to a joint inspection in 2012 from the Education and Training</w:t>
      </w:r>
      <w:r>
        <w:rPr>
          <w:lang w:val="en-US"/>
        </w:rPr>
        <w:t xml:space="preserve"> </w:t>
      </w:r>
      <w:r w:rsidR="00F3229A">
        <w:rPr>
          <w:lang w:val="en-US"/>
        </w:rPr>
        <w:t>Inspectorate and</w:t>
      </w:r>
      <w:r>
        <w:rPr>
          <w:lang w:val="en-US"/>
        </w:rPr>
        <w:t xml:space="preserve"> the Inspectorate in the south.  </w:t>
      </w:r>
      <w:r w:rsidR="00F3229A">
        <w:rPr>
          <w:lang w:val="en-US"/>
        </w:rPr>
        <w:t>This inspection described the quality of the service</w:t>
      </w:r>
      <w:r>
        <w:rPr>
          <w:lang w:val="en-US"/>
        </w:rPr>
        <w:t xml:space="preserve"> </w:t>
      </w:r>
      <w:r w:rsidR="00F3229A">
        <w:rPr>
          <w:lang w:val="en-US"/>
        </w:rPr>
        <w:t>provision as “outstanding”.</w:t>
      </w:r>
    </w:p>
    <w:p w:rsidR="00F3229A" w:rsidRDefault="00F3229A" w:rsidP="00F3229A">
      <w:pPr>
        <w:pStyle w:val="NICCYBodyText"/>
      </w:pPr>
    </w:p>
    <w:p w:rsidR="00F3229A" w:rsidRDefault="000B7622" w:rsidP="00F3229A">
      <w:pPr>
        <w:pStyle w:val="NICCYBodyText"/>
      </w:pPr>
      <w:hyperlink w:anchor="_top" w:history="1">
        <w:r w:rsidRPr="007715F2">
          <w:rPr>
            <w:rStyle w:val="Hyperlink"/>
          </w:rPr>
          <w:t>Ba</w:t>
        </w:r>
        <w:r w:rsidRPr="007715F2">
          <w:rPr>
            <w:rStyle w:val="Hyperlink"/>
          </w:rPr>
          <w:t>c</w:t>
        </w:r>
        <w:r w:rsidRPr="007715F2">
          <w:rPr>
            <w:rStyle w:val="Hyperlink"/>
          </w:rPr>
          <w:t>k to Top</w:t>
        </w:r>
      </w:hyperlink>
    </w:p>
    <w:p w:rsidR="00F3229A" w:rsidRDefault="00F3229A" w:rsidP="000B7622">
      <w:pPr>
        <w:pStyle w:val="Heading2"/>
        <w:rPr>
          <w:rFonts w:eastAsiaTheme="minorEastAsia"/>
          <w:lang w:val="en-US"/>
        </w:rPr>
      </w:pPr>
      <w:bookmarkStart w:id="3" w:name="_Family_High_Court"/>
      <w:bookmarkEnd w:id="3"/>
      <w:r>
        <w:rPr>
          <w:rFonts w:eastAsiaTheme="minorEastAsia"/>
          <w:lang w:val="en-US"/>
        </w:rPr>
        <w:t>Family High Court Judgment: Parental Alienation</w:t>
      </w:r>
    </w:p>
    <w:p w:rsidR="00F3229A" w:rsidRDefault="00F3229A" w:rsidP="000B7622">
      <w:pPr>
        <w:pStyle w:val="NICCYBodyText"/>
        <w:rPr>
          <w:lang w:val="en-US"/>
        </w:rPr>
      </w:pPr>
      <w:r>
        <w:rPr>
          <w:rFonts w:ascii="ITCFranklinGothicDemi" w:hAnsi="ITCFranklinGothicDemi" w:cs="ITCFranklinGothicDemi"/>
          <w:lang w:val="en-US"/>
        </w:rPr>
        <w:t xml:space="preserve">Mr Swann </w:t>
      </w:r>
      <w:r>
        <w:rPr>
          <w:lang w:val="en-US"/>
        </w:rPr>
        <w:t>asked the Minister of Health, Social Services and Public Safety how, and when, the Family</w:t>
      </w:r>
      <w:r w:rsidR="000B7622">
        <w:rPr>
          <w:lang w:val="en-US"/>
        </w:rPr>
        <w:t xml:space="preserve"> </w:t>
      </w:r>
      <w:r>
        <w:rPr>
          <w:lang w:val="en-US"/>
        </w:rPr>
        <w:t>High Court Judgment, made by Mrs Justice Parker in London on 23 December 2013 in relation to</w:t>
      </w:r>
      <w:r w:rsidR="000B7622">
        <w:rPr>
          <w:lang w:val="en-US"/>
        </w:rPr>
        <w:t xml:space="preserve"> </w:t>
      </w:r>
      <w:r>
        <w:rPr>
          <w:lang w:val="en-US"/>
        </w:rPr>
        <w:t>parental alienation and the consequential emotion abuse, will be conveyed to relevant officials in his</w:t>
      </w:r>
      <w:r w:rsidR="000B7622">
        <w:rPr>
          <w:lang w:val="en-US"/>
        </w:rPr>
        <w:t xml:space="preserve"> </w:t>
      </w:r>
      <w:r>
        <w:rPr>
          <w:lang w:val="en-US"/>
        </w:rPr>
        <w:t>Department and the Health and Social Care Trusts.</w:t>
      </w:r>
    </w:p>
    <w:p w:rsidR="00F3229A" w:rsidRDefault="00F3229A" w:rsidP="000B7622">
      <w:pPr>
        <w:pStyle w:val="NICCYBodyText"/>
        <w:rPr>
          <w:rFonts w:ascii="ITCFranklinGothicDemi" w:hAnsi="ITCFranklinGothicDemi" w:cs="ITCFranklinGothicDemi"/>
          <w:lang w:val="en-US"/>
        </w:rPr>
      </w:pPr>
      <w:r>
        <w:rPr>
          <w:rFonts w:ascii="ITCFranklinGothicDemi" w:hAnsi="ITCFranklinGothicDemi" w:cs="ITCFranklinGothicDemi"/>
          <w:lang w:val="en-US"/>
        </w:rPr>
        <w:t>(AQW 30474/11-15)</w:t>
      </w:r>
    </w:p>
    <w:p w:rsidR="000B7622" w:rsidRDefault="000B7622" w:rsidP="000B7622">
      <w:pPr>
        <w:pStyle w:val="NICCYBodyText"/>
        <w:rPr>
          <w:rFonts w:ascii="ITCFranklinGothicDemi" w:hAnsi="ITCFranklinGothicDemi" w:cs="ITCFranklinGothicDemi"/>
          <w:lang w:val="en-US"/>
        </w:rPr>
      </w:pPr>
    </w:p>
    <w:p w:rsidR="00F3229A" w:rsidRDefault="00F3229A" w:rsidP="000B7622">
      <w:pPr>
        <w:pStyle w:val="NICCYBodyText"/>
        <w:rPr>
          <w:lang w:val="en-US"/>
        </w:rPr>
      </w:pPr>
      <w:r w:rsidRPr="000B7622">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sidRPr="000B7622">
        <w:rPr>
          <w:rFonts w:ascii="ITCFranklinGothicDemi" w:hAnsi="ITCFranklinGothicDemi" w:cs="ITCFranklinGothicDemi"/>
          <w:b/>
          <w:lang w:val="en-US"/>
        </w:rPr>
        <w:t>(The Minister of Health, Social Services and Public Safety):</w:t>
      </w:r>
      <w:r>
        <w:rPr>
          <w:rFonts w:ascii="ITCFranklinGothicDemi" w:hAnsi="ITCFranklinGothicDemi" w:cs="ITCFranklinGothicDemi"/>
          <w:lang w:val="en-US"/>
        </w:rPr>
        <w:t xml:space="preserve"> </w:t>
      </w:r>
      <w:r>
        <w:rPr>
          <w:lang w:val="en-US"/>
        </w:rPr>
        <w:t>In November 2010, the</w:t>
      </w:r>
      <w:r w:rsidR="000B7622">
        <w:rPr>
          <w:lang w:val="en-US"/>
        </w:rPr>
        <w:t xml:space="preserve"> </w:t>
      </w:r>
      <w:r>
        <w:rPr>
          <w:lang w:val="en-US"/>
        </w:rPr>
        <w:t>Department, jointly with the Department of Children and Youth Affairs in the Republic of Ireland, put</w:t>
      </w:r>
      <w:r w:rsidR="000B7622">
        <w:rPr>
          <w:lang w:val="en-US"/>
        </w:rPr>
        <w:t xml:space="preserve"> </w:t>
      </w:r>
      <w:r>
        <w:rPr>
          <w:lang w:val="en-US"/>
        </w:rPr>
        <w:t>in place an on-line child protection information Hub, the North South Child Protection Hub (NSCPH).</w:t>
      </w:r>
      <w:r w:rsidR="000B7622">
        <w:rPr>
          <w:lang w:val="en-US"/>
        </w:rPr>
        <w:t xml:space="preserve">  </w:t>
      </w:r>
      <w:r>
        <w:rPr>
          <w:lang w:val="en-US"/>
        </w:rPr>
        <w:t>The aim of the NSCPH is to make information readily available to, inter alia, front-line child protection</w:t>
      </w:r>
      <w:r w:rsidR="000B7622">
        <w:rPr>
          <w:lang w:val="en-US"/>
        </w:rPr>
        <w:t xml:space="preserve"> </w:t>
      </w:r>
      <w:r>
        <w:rPr>
          <w:lang w:val="en-US"/>
        </w:rPr>
        <w:t>practitioners, their managers,</w:t>
      </w:r>
      <w:r w:rsidR="000B7622">
        <w:rPr>
          <w:lang w:val="en-US"/>
        </w:rPr>
        <w:t xml:space="preserve"> policy makers and researchers.  </w:t>
      </w:r>
      <w:r>
        <w:rPr>
          <w:lang w:val="en-US"/>
        </w:rPr>
        <w:t>The Hub includes relevant Court</w:t>
      </w:r>
      <w:r w:rsidR="000B7622">
        <w:rPr>
          <w:lang w:val="en-US"/>
        </w:rPr>
        <w:t xml:space="preserve"> </w:t>
      </w:r>
      <w:r>
        <w:rPr>
          <w:lang w:val="en-US"/>
        </w:rPr>
        <w:t>Judgments and my officials have been advised that the judgment issued by Justice Parker will be</w:t>
      </w:r>
      <w:r w:rsidR="000B7622">
        <w:rPr>
          <w:lang w:val="en-US"/>
        </w:rPr>
        <w:t xml:space="preserve"> </w:t>
      </w:r>
      <w:r>
        <w:rPr>
          <w:lang w:val="en-US"/>
        </w:rPr>
        <w:t>uploaded on to the Hub when published.</w:t>
      </w:r>
      <w:r w:rsidR="000B7622">
        <w:rPr>
          <w:lang w:val="en-US"/>
        </w:rPr>
        <w:t xml:space="preserve">  </w:t>
      </w:r>
      <w:r>
        <w:rPr>
          <w:lang w:val="en-US"/>
        </w:rPr>
        <w:t xml:space="preserve">This is one source of reference for such </w:t>
      </w:r>
      <w:r w:rsidR="000B7622">
        <w:rPr>
          <w:lang w:val="en-US"/>
        </w:rPr>
        <w:t>judgments;</w:t>
      </w:r>
      <w:r>
        <w:rPr>
          <w:lang w:val="en-US"/>
        </w:rPr>
        <w:t xml:space="preserve"> however there is an onus on professional social</w:t>
      </w:r>
      <w:r w:rsidR="000B7622">
        <w:rPr>
          <w:lang w:val="en-US"/>
        </w:rPr>
        <w:t xml:space="preserve"> </w:t>
      </w:r>
      <w:r>
        <w:rPr>
          <w:lang w:val="en-US"/>
        </w:rPr>
        <w:t>workers in the field of child care, like other professionals, to keep themselves as up-to-date as possible</w:t>
      </w:r>
      <w:r w:rsidR="000B7622">
        <w:rPr>
          <w:lang w:val="en-US"/>
        </w:rPr>
        <w:t xml:space="preserve"> </w:t>
      </w:r>
      <w:r>
        <w:rPr>
          <w:lang w:val="en-US"/>
        </w:rPr>
        <w:t>with practice developments in their field of expertise, which extends to the findings of the Family Courts.</w:t>
      </w:r>
      <w:r w:rsidR="000B7622">
        <w:rPr>
          <w:lang w:val="en-US"/>
        </w:rPr>
        <w:t xml:space="preserve">  </w:t>
      </w:r>
      <w:r>
        <w:rPr>
          <w:lang w:val="en-US"/>
        </w:rPr>
        <w:t>It should be noted that English judgments may not always translate seamlessly to Northern Ireland</w:t>
      </w:r>
      <w:r w:rsidR="000B7622">
        <w:rPr>
          <w:lang w:val="en-US"/>
        </w:rPr>
        <w:t xml:space="preserve"> </w:t>
      </w:r>
      <w:r>
        <w:rPr>
          <w:lang w:val="en-US"/>
        </w:rPr>
        <w:t>given that our legislative frameworks may be different.</w:t>
      </w:r>
    </w:p>
    <w:p w:rsidR="00F3229A" w:rsidRPr="000B7622" w:rsidRDefault="000B7622" w:rsidP="00F3229A">
      <w:pPr>
        <w:pStyle w:val="NICCYBodyText"/>
      </w:pPr>
      <w:r>
        <w:br/>
      </w:r>
      <w:hyperlink w:anchor="_top" w:history="1">
        <w:r w:rsidRPr="007715F2">
          <w:rPr>
            <w:rStyle w:val="Hyperlink"/>
          </w:rPr>
          <w:t>Back to</w:t>
        </w:r>
        <w:r w:rsidRPr="007715F2">
          <w:rPr>
            <w:rStyle w:val="Hyperlink"/>
          </w:rPr>
          <w:t xml:space="preserve"> </w:t>
        </w:r>
        <w:r w:rsidRPr="007715F2">
          <w:rPr>
            <w:rStyle w:val="Hyperlink"/>
          </w:rPr>
          <w:t>Top</w:t>
        </w:r>
      </w:hyperlink>
    </w:p>
    <w:p w:rsidR="00F3229A" w:rsidRDefault="00F3229A" w:rsidP="000B7622">
      <w:pPr>
        <w:pStyle w:val="Heading2"/>
        <w:rPr>
          <w:rFonts w:eastAsiaTheme="minorEastAsia"/>
          <w:lang w:val="en-US"/>
        </w:rPr>
      </w:pPr>
      <w:bookmarkStart w:id="4" w:name="_Movement_from_Childrens"/>
      <w:bookmarkEnd w:id="4"/>
      <w:r>
        <w:rPr>
          <w:rFonts w:eastAsiaTheme="minorEastAsia"/>
          <w:lang w:val="en-US"/>
        </w:rPr>
        <w:lastRenderedPageBreak/>
        <w:t xml:space="preserve">Movement from </w:t>
      </w:r>
      <w:r w:rsidR="000B7622">
        <w:rPr>
          <w:rFonts w:eastAsiaTheme="minorEastAsia"/>
          <w:lang w:val="en-US"/>
        </w:rPr>
        <w:t>Children’s</w:t>
      </w:r>
      <w:r>
        <w:rPr>
          <w:rFonts w:eastAsiaTheme="minorEastAsia"/>
          <w:lang w:val="en-US"/>
        </w:rPr>
        <w:t xml:space="preserve"> to Adult Services</w:t>
      </w:r>
    </w:p>
    <w:p w:rsidR="00F3229A" w:rsidRDefault="00F3229A" w:rsidP="000B7622">
      <w:pPr>
        <w:pStyle w:val="NICCYBodyText"/>
        <w:rPr>
          <w:lang w:val="en-US"/>
        </w:rPr>
      </w:pPr>
      <w:r>
        <w:rPr>
          <w:rFonts w:ascii="ITCFranklinGothicDemi" w:hAnsi="ITCFranklinGothicDemi" w:cs="ITCFranklinGothicDemi"/>
          <w:lang w:val="en-US"/>
        </w:rPr>
        <w:t xml:space="preserve">Mr McMullan </w:t>
      </w:r>
      <w:r>
        <w:rPr>
          <w:lang w:val="en-US"/>
        </w:rPr>
        <w:t>asked the Minister of Health, Social Services and Public Safety for an update on the</w:t>
      </w:r>
      <w:r w:rsidR="000B7622">
        <w:rPr>
          <w:lang w:val="en-US"/>
        </w:rPr>
        <w:t xml:space="preserve"> </w:t>
      </w:r>
      <w:r>
        <w:rPr>
          <w:lang w:val="en-US"/>
        </w:rPr>
        <w:t xml:space="preserve">movement of services for children with a </w:t>
      </w:r>
      <w:r w:rsidR="000B7622">
        <w:rPr>
          <w:lang w:val="en-US"/>
        </w:rPr>
        <w:t>disability</w:t>
      </w:r>
      <w:r>
        <w:rPr>
          <w:lang w:val="en-US"/>
        </w:rPr>
        <w:t xml:space="preserve"> and special needs from </w:t>
      </w:r>
      <w:r w:rsidR="000B7622">
        <w:rPr>
          <w:lang w:val="en-US"/>
        </w:rPr>
        <w:t>children’s</w:t>
      </w:r>
      <w:r>
        <w:rPr>
          <w:lang w:val="en-US"/>
        </w:rPr>
        <w:t xml:space="preserve"> to adult services.</w:t>
      </w:r>
    </w:p>
    <w:p w:rsidR="00F3229A" w:rsidRDefault="00F3229A" w:rsidP="000B7622">
      <w:pPr>
        <w:pStyle w:val="NICCYBodyText"/>
        <w:rPr>
          <w:rFonts w:ascii="ITCFranklinGothicDemi" w:hAnsi="ITCFranklinGothicDemi" w:cs="ITCFranklinGothicDemi"/>
          <w:lang w:val="en-US"/>
        </w:rPr>
      </w:pPr>
      <w:r>
        <w:rPr>
          <w:rFonts w:ascii="ITCFranklinGothicDemi" w:hAnsi="ITCFranklinGothicDemi" w:cs="ITCFranklinGothicDemi"/>
          <w:lang w:val="en-US"/>
        </w:rPr>
        <w:t>(AQW 32256/11-15)</w:t>
      </w:r>
    </w:p>
    <w:p w:rsidR="000B7622" w:rsidRDefault="000B7622" w:rsidP="000B7622">
      <w:pPr>
        <w:pStyle w:val="NICCYBodyText"/>
        <w:rPr>
          <w:rFonts w:ascii="ITCFranklinGothicDemi" w:hAnsi="ITCFranklinGothicDemi" w:cs="ITCFranklinGothicDemi"/>
          <w:lang w:val="en-US"/>
        </w:rPr>
      </w:pPr>
    </w:p>
    <w:p w:rsidR="00F3229A" w:rsidRPr="000B7622" w:rsidRDefault="00F3229A" w:rsidP="000B7622">
      <w:pPr>
        <w:pStyle w:val="NICCYBodyText"/>
        <w:rPr>
          <w:lang w:val="en-US"/>
        </w:rPr>
      </w:pPr>
      <w:r w:rsidRPr="000B7622">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 current activity in relation to transition from HSC Children’s services to Adult services is</w:t>
      </w:r>
      <w:r w:rsidR="000B7622">
        <w:rPr>
          <w:lang w:val="en-US"/>
        </w:rPr>
        <w:t xml:space="preserve"> </w:t>
      </w:r>
      <w:r>
        <w:rPr>
          <w:lang w:val="en-US"/>
        </w:rPr>
        <w:t>outlined in the table below:</w:t>
      </w:r>
    </w:p>
    <w:p w:rsidR="00F3229A" w:rsidRDefault="00F3229A" w:rsidP="00F3229A">
      <w:pPr>
        <w:pStyle w:val="NICCYBodyText"/>
      </w:pPr>
    </w:p>
    <w:p w:rsidR="00F3229A" w:rsidRDefault="00F3229A" w:rsidP="00F3229A">
      <w:pPr>
        <w:pStyle w:val="NICCYBodyText"/>
      </w:pPr>
      <w:r>
        <w:rPr>
          <w:noProof/>
          <w:lang w:val="en-US"/>
        </w:rPr>
        <w:drawing>
          <wp:inline distT="0" distB="0" distL="0" distR="0">
            <wp:extent cx="6116320" cy="3360990"/>
            <wp:effectExtent l="19050" t="0" r="0" b="0"/>
            <wp:docPr id="3" name="Picture 1" descr="C:\Users\Andrew.McGall\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McGall\Desktop\Capture.JPG"/>
                    <pic:cNvPicPr>
                      <a:picLocks noChangeAspect="1" noChangeArrowheads="1"/>
                    </pic:cNvPicPr>
                  </pic:nvPicPr>
                  <pic:blipFill>
                    <a:blip r:embed="rId8"/>
                    <a:srcRect/>
                    <a:stretch>
                      <a:fillRect/>
                    </a:stretch>
                  </pic:blipFill>
                  <pic:spPr bwMode="auto">
                    <a:xfrm>
                      <a:off x="0" y="0"/>
                      <a:ext cx="6116320" cy="3360990"/>
                    </a:xfrm>
                    <a:prstGeom prst="rect">
                      <a:avLst/>
                    </a:prstGeom>
                    <a:noFill/>
                    <a:ln w="9525">
                      <a:noFill/>
                      <a:miter lim="800000"/>
                      <a:headEnd/>
                      <a:tailEnd/>
                    </a:ln>
                  </pic:spPr>
                </pic:pic>
              </a:graphicData>
            </a:graphic>
          </wp:inline>
        </w:drawing>
      </w:r>
    </w:p>
    <w:p w:rsidR="00F3229A" w:rsidRDefault="00D66149" w:rsidP="00F3229A">
      <w:pPr>
        <w:pStyle w:val="NICCYBodyText"/>
      </w:pPr>
      <w:r>
        <w:br/>
      </w:r>
      <w:hyperlink w:anchor="_top" w:history="1">
        <w:r w:rsidR="000B7622" w:rsidRPr="007715F2">
          <w:rPr>
            <w:rStyle w:val="Hyperlink"/>
          </w:rPr>
          <w:t>Back</w:t>
        </w:r>
        <w:r w:rsidR="000B7622" w:rsidRPr="007715F2">
          <w:rPr>
            <w:rStyle w:val="Hyperlink"/>
          </w:rPr>
          <w:t xml:space="preserve"> </w:t>
        </w:r>
        <w:r w:rsidR="000B7622" w:rsidRPr="007715F2">
          <w:rPr>
            <w:rStyle w:val="Hyperlink"/>
          </w:rPr>
          <w:t>to Top</w:t>
        </w:r>
      </w:hyperlink>
    </w:p>
    <w:p w:rsidR="000B7622" w:rsidRDefault="000B7622" w:rsidP="00F3229A">
      <w:pPr>
        <w:pStyle w:val="NICCYBodyText"/>
      </w:pPr>
    </w:p>
    <w:p w:rsidR="000B7622" w:rsidRDefault="000B7622" w:rsidP="00F3229A">
      <w:pPr>
        <w:pStyle w:val="NICCYBodyText"/>
      </w:pPr>
    </w:p>
    <w:p w:rsidR="000B7622" w:rsidRDefault="000B7622" w:rsidP="00F3229A">
      <w:pPr>
        <w:pStyle w:val="NICCYBodyText"/>
      </w:pPr>
    </w:p>
    <w:p w:rsidR="000B7622" w:rsidRDefault="000B7622" w:rsidP="00F3229A">
      <w:pPr>
        <w:pStyle w:val="NICCYBodyText"/>
      </w:pPr>
    </w:p>
    <w:p w:rsidR="000B7622" w:rsidRDefault="000B7622" w:rsidP="00F3229A">
      <w:pPr>
        <w:pStyle w:val="NICCYBodyText"/>
      </w:pPr>
    </w:p>
    <w:p w:rsidR="000B7622" w:rsidRDefault="000B7622" w:rsidP="00F3229A">
      <w:pPr>
        <w:pStyle w:val="NICCYBodyText"/>
      </w:pPr>
    </w:p>
    <w:p w:rsidR="000B7622" w:rsidRDefault="000B7622" w:rsidP="00F3229A">
      <w:pPr>
        <w:pStyle w:val="NICCYBodyText"/>
      </w:pPr>
    </w:p>
    <w:p w:rsidR="000B7622" w:rsidRDefault="000B7622" w:rsidP="00F3229A">
      <w:pPr>
        <w:pStyle w:val="NICCYBodyText"/>
      </w:pPr>
    </w:p>
    <w:p w:rsidR="000B7622" w:rsidRDefault="000B7622" w:rsidP="00F3229A">
      <w:pPr>
        <w:pStyle w:val="NICCYBodyText"/>
      </w:pPr>
    </w:p>
    <w:p w:rsidR="00F3229A" w:rsidRDefault="00F3229A" w:rsidP="000B7622">
      <w:pPr>
        <w:pStyle w:val="Heading2"/>
        <w:rPr>
          <w:rFonts w:eastAsiaTheme="minorEastAsia"/>
          <w:lang w:val="en-US"/>
        </w:rPr>
      </w:pPr>
      <w:bookmarkStart w:id="5" w:name="_Consultation_on_Domestic"/>
      <w:bookmarkEnd w:id="5"/>
      <w:r>
        <w:rPr>
          <w:rFonts w:eastAsiaTheme="minorEastAsia"/>
          <w:lang w:val="en-US"/>
        </w:rPr>
        <w:lastRenderedPageBreak/>
        <w:t>Consultation on Domestic and Sexual Violence</w:t>
      </w:r>
    </w:p>
    <w:p w:rsidR="00F3229A" w:rsidRDefault="00F3229A" w:rsidP="000B7622">
      <w:pPr>
        <w:pStyle w:val="NICCYBodyText"/>
        <w:rPr>
          <w:lang w:val="en-US"/>
        </w:rPr>
      </w:pPr>
      <w:r>
        <w:rPr>
          <w:rFonts w:ascii="ITCFranklinGothicDemi" w:hAnsi="ITCFranklinGothicDemi" w:cs="ITCFranklinGothicDemi"/>
          <w:lang w:val="en-US"/>
        </w:rPr>
        <w:t xml:space="preserve">Ms Fearon </w:t>
      </w:r>
      <w:r>
        <w:rPr>
          <w:lang w:val="en-US"/>
        </w:rPr>
        <w:t>asked the Minister of Justice whether he will publish a child friendly version of the</w:t>
      </w:r>
      <w:r w:rsidR="000B7622">
        <w:rPr>
          <w:lang w:val="en-US"/>
        </w:rPr>
        <w:t xml:space="preserve"> </w:t>
      </w:r>
      <w:r>
        <w:rPr>
          <w:lang w:val="en-US"/>
        </w:rPr>
        <w:t>consultation on Domestic and Sexual Violence to enable young people to have their input.</w:t>
      </w:r>
    </w:p>
    <w:p w:rsidR="00F3229A" w:rsidRDefault="00F3229A" w:rsidP="000B7622">
      <w:pPr>
        <w:pStyle w:val="NICCYBodyText"/>
        <w:rPr>
          <w:rFonts w:ascii="ITCFranklinGothicDemi" w:hAnsi="ITCFranklinGothicDemi" w:cs="ITCFranklinGothicDemi"/>
          <w:lang w:val="en-US"/>
        </w:rPr>
      </w:pPr>
      <w:r>
        <w:rPr>
          <w:rFonts w:ascii="ITCFranklinGothicDemi" w:hAnsi="ITCFranklinGothicDemi" w:cs="ITCFranklinGothicDemi"/>
          <w:lang w:val="en-US"/>
        </w:rPr>
        <w:t>(AQW 32312/11-15)</w:t>
      </w:r>
    </w:p>
    <w:p w:rsidR="000B7622" w:rsidRDefault="000B7622" w:rsidP="000B7622">
      <w:pPr>
        <w:pStyle w:val="NICCYBodyText"/>
        <w:rPr>
          <w:rFonts w:ascii="ITCFranklinGothicDemi" w:hAnsi="ITCFranklinGothicDemi" w:cs="ITCFranklinGothicDemi"/>
          <w:lang w:val="en-US"/>
        </w:rPr>
      </w:pPr>
    </w:p>
    <w:p w:rsidR="00F3229A" w:rsidRDefault="00F3229A" w:rsidP="000B7622">
      <w:pPr>
        <w:pStyle w:val="NICCYBodyText"/>
        <w:rPr>
          <w:lang w:val="en-US"/>
        </w:rPr>
      </w:pPr>
      <w:r w:rsidRPr="000B7622">
        <w:rPr>
          <w:rFonts w:ascii="ITCFranklinGothicDemi" w:hAnsi="ITCFranklinGothicDemi" w:cs="ITCFranklinGothicDemi"/>
          <w:b/>
          <w:lang w:val="en-US"/>
        </w:rPr>
        <w:t>Mr Ford (The Minister of Justice):</w:t>
      </w:r>
      <w:r>
        <w:rPr>
          <w:rFonts w:ascii="ITCFranklinGothicDemi" w:hAnsi="ITCFranklinGothicDemi" w:cs="ITCFranklinGothicDemi"/>
          <w:lang w:val="en-US"/>
        </w:rPr>
        <w:t xml:space="preserve"> </w:t>
      </w:r>
      <w:r>
        <w:rPr>
          <w:lang w:val="en-US"/>
        </w:rPr>
        <w:t>As part of the public consultation on the draft strategy ‘Stopping</w:t>
      </w:r>
      <w:r w:rsidR="000B7622">
        <w:rPr>
          <w:lang w:val="en-US"/>
        </w:rPr>
        <w:t xml:space="preserve"> </w:t>
      </w:r>
      <w:r>
        <w:rPr>
          <w:lang w:val="en-US"/>
        </w:rPr>
        <w:t>Domestic and Sexual Violence and Abuse’ my Department has jointly with the Department of Health, Social Services and Public Safety developed and published a full strategy document and an easy</w:t>
      </w:r>
      <w:r w:rsidR="000B7622">
        <w:rPr>
          <w:lang w:val="en-US"/>
        </w:rPr>
        <w:t xml:space="preserve"> </w:t>
      </w:r>
      <w:r>
        <w:rPr>
          <w:lang w:val="en-US"/>
        </w:rPr>
        <w:t>access version of the document pitched at a reading age of eleven.</w:t>
      </w:r>
    </w:p>
    <w:p w:rsidR="000B7622" w:rsidRDefault="000B7622" w:rsidP="000B7622">
      <w:pPr>
        <w:pStyle w:val="NICCYBodyText"/>
        <w:rPr>
          <w:lang w:val="en-US"/>
        </w:rPr>
      </w:pPr>
    </w:p>
    <w:p w:rsidR="00F3229A" w:rsidRDefault="00F3229A" w:rsidP="000B7622">
      <w:pPr>
        <w:pStyle w:val="NICCYBodyText"/>
        <w:rPr>
          <w:lang w:val="en-US"/>
        </w:rPr>
      </w:pPr>
      <w:r>
        <w:rPr>
          <w:lang w:val="en-US"/>
        </w:rPr>
        <w:t>Justice and Health officials, with the assistance and support of members of the Regional Strategy</w:t>
      </w:r>
      <w:r w:rsidR="000B7622">
        <w:rPr>
          <w:lang w:val="en-US"/>
        </w:rPr>
        <w:t xml:space="preserve"> </w:t>
      </w:r>
      <w:r>
        <w:rPr>
          <w:lang w:val="en-US"/>
        </w:rPr>
        <w:t>Group, have engaged with ten groups in March who wish to respond to the document and have an</w:t>
      </w:r>
      <w:r w:rsidR="000B7622">
        <w:rPr>
          <w:lang w:val="en-US"/>
        </w:rPr>
        <w:t xml:space="preserve"> </w:t>
      </w:r>
      <w:r>
        <w:rPr>
          <w:lang w:val="en-US"/>
        </w:rPr>
        <w:t>interest or have been affected by Domestic</w:t>
      </w:r>
      <w:r w:rsidR="000B7622">
        <w:rPr>
          <w:lang w:val="en-US"/>
        </w:rPr>
        <w:t xml:space="preserve"> and Sexual Violence and Abuse.  </w:t>
      </w:r>
      <w:r>
        <w:rPr>
          <w:lang w:val="en-US"/>
        </w:rPr>
        <w:t>With the help of the</w:t>
      </w:r>
      <w:r w:rsidR="000B7622">
        <w:rPr>
          <w:lang w:val="en-US"/>
        </w:rPr>
        <w:t xml:space="preserve"> </w:t>
      </w:r>
      <w:r>
        <w:rPr>
          <w:lang w:val="en-US"/>
        </w:rPr>
        <w:t>NSPCC and the Women’s Aid Federation two of the groups officials met with had membership between</w:t>
      </w:r>
      <w:r w:rsidR="000B7622">
        <w:rPr>
          <w:lang w:val="en-US"/>
        </w:rPr>
        <w:t xml:space="preserve"> </w:t>
      </w:r>
      <w:r>
        <w:rPr>
          <w:lang w:val="en-US"/>
        </w:rPr>
        <w:t>the ages of fourteen to eighteen years old.</w:t>
      </w:r>
    </w:p>
    <w:p w:rsidR="00D66149" w:rsidRDefault="00D66149" w:rsidP="000B7622">
      <w:pPr>
        <w:pStyle w:val="NICCYBodyText"/>
        <w:rPr>
          <w:lang w:val="en-US"/>
        </w:rPr>
      </w:pPr>
    </w:p>
    <w:p w:rsidR="00F3229A" w:rsidRDefault="00F3229A" w:rsidP="000B7622">
      <w:pPr>
        <w:pStyle w:val="NICCYBodyText"/>
        <w:rPr>
          <w:lang w:val="en-US"/>
        </w:rPr>
      </w:pPr>
      <w:r>
        <w:rPr>
          <w:lang w:val="en-US"/>
        </w:rPr>
        <w:t>Following the public consultation, our engagement with children and young people, and the feedback</w:t>
      </w:r>
      <w:r w:rsidR="00D66149">
        <w:rPr>
          <w:lang w:val="en-US"/>
        </w:rPr>
        <w:t xml:space="preserve"> </w:t>
      </w:r>
      <w:r>
        <w:rPr>
          <w:lang w:val="en-US"/>
        </w:rPr>
        <w:t>we receive from them, we plan to revise our strategy and develop a version suitable to the needs and</w:t>
      </w:r>
      <w:r w:rsidR="00D66149">
        <w:rPr>
          <w:lang w:val="en-US"/>
        </w:rPr>
        <w:t xml:space="preserve"> </w:t>
      </w:r>
      <w:r>
        <w:rPr>
          <w:lang w:val="en-US"/>
        </w:rPr>
        <w:t>requirements identified by this young readership.</w:t>
      </w:r>
      <w:r w:rsidR="00D66149">
        <w:rPr>
          <w:lang w:val="en-US"/>
        </w:rPr>
        <w:t xml:space="preserve">  </w:t>
      </w:r>
      <w:r>
        <w:rPr>
          <w:lang w:val="en-US"/>
        </w:rPr>
        <w:t>We remain committed to engaging with children and young people now and in the future on this very</w:t>
      </w:r>
    </w:p>
    <w:p w:rsidR="00F3229A" w:rsidRDefault="00F3229A" w:rsidP="000B7622">
      <w:pPr>
        <w:pStyle w:val="NICCYBodyText"/>
        <w:rPr>
          <w:lang w:val="en-US"/>
        </w:rPr>
      </w:pPr>
      <w:r>
        <w:rPr>
          <w:lang w:val="en-US"/>
        </w:rPr>
        <w:t>important matter that affects many young people across Northern Ireland.</w:t>
      </w:r>
    </w:p>
    <w:p w:rsidR="000B7622" w:rsidRDefault="000B7622" w:rsidP="00F3229A">
      <w:pPr>
        <w:pStyle w:val="NICCYBodyText"/>
        <w:rPr>
          <w:rFonts w:ascii="ITCFranklinGothicBook" w:hAnsi="ITCFranklinGothicBook" w:cs="ITCFranklinGothicBook"/>
          <w:lang w:val="en-US"/>
        </w:rPr>
      </w:pPr>
    </w:p>
    <w:p w:rsidR="00D66149" w:rsidRDefault="00D66149" w:rsidP="00D66149">
      <w:pPr>
        <w:pStyle w:val="NICCYBodyText"/>
      </w:pPr>
      <w:hyperlink w:anchor="_top" w:history="1">
        <w:r w:rsidRPr="007715F2">
          <w:rPr>
            <w:rStyle w:val="Hyperlink"/>
          </w:rPr>
          <w:t>Back</w:t>
        </w:r>
        <w:r w:rsidRPr="007715F2">
          <w:rPr>
            <w:rStyle w:val="Hyperlink"/>
          </w:rPr>
          <w:t xml:space="preserve"> </w:t>
        </w:r>
        <w:r w:rsidRPr="007715F2">
          <w:rPr>
            <w:rStyle w:val="Hyperlink"/>
          </w:rPr>
          <w:t>to Top</w:t>
        </w:r>
      </w:hyperlink>
    </w:p>
    <w:p w:rsidR="00D66149" w:rsidRDefault="00D66149" w:rsidP="00F3229A">
      <w:pPr>
        <w:pStyle w:val="NICCYBodyText"/>
        <w:rPr>
          <w:rFonts w:ascii="ITCFranklinGothicBook" w:hAnsi="ITCFranklinGothicBook" w:cs="ITCFranklinGothicBook"/>
          <w:lang w:val="en-US"/>
        </w:rPr>
      </w:pPr>
    </w:p>
    <w:p w:rsidR="00D66149" w:rsidRDefault="00D66149" w:rsidP="00F3229A">
      <w:pPr>
        <w:pStyle w:val="NICCYBodyText"/>
        <w:rPr>
          <w:rFonts w:ascii="ITCFranklinGothicBook" w:hAnsi="ITCFranklinGothicBook" w:cs="ITCFranklinGothicBook"/>
          <w:lang w:val="en-US"/>
        </w:rPr>
      </w:pPr>
    </w:p>
    <w:p w:rsidR="00D66149" w:rsidRDefault="00D66149" w:rsidP="00F3229A">
      <w:pPr>
        <w:pStyle w:val="NICCYBodyText"/>
        <w:rPr>
          <w:rFonts w:ascii="ITCFranklinGothicBook" w:hAnsi="ITCFranklinGothicBook" w:cs="ITCFranklinGothicBook"/>
          <w:lang w:val="en-US"/>
        </w:rPr>
      </w:pPr>
    </w:p>
    <w:p w:rsidR="00D66149" w:rsidRDefault="00D66149" w:rsidP="00F3229A">
      <w:pPr>
        <w:pStyle w:val="NICCYBodyText"/>
        <w:rPr>
          <w:rFonts w:ascii="ITCFranklinGothicBook" w:hAnsi="ITCFranklinGothicBook" w:cs="ITCFranklinGothicBook"/>
          <w:lang w:val="en-US"/>
        </w:rPr>
      </w:pPr>
    </w:p>
    <w:p w:rsidR="00D66149" w:rsidRDefault="00D66149" w:rsidP="00F3229A">
      <w:pPr>
        <w:pStyle w:val="NICCYBodyText"/>
        <w:rPr>
          <w:rFonts w:ascii="ITCFranklinGothicBook" w:hAnsi="ITCFranklinGothicBook" w:cs="ITCFranklinGothicBook"/>
          <w:lang w:val="en-US"/>
        </w:rPr>
      </w:pPr>
    </w:p>
    <w:p w:rsidR="00D66149" w:rsidRDefault="00D66149" w:rsidP="00F3229A">
      <w:pPr>
        <w:pStyle w:val="NICCYBodyText"/>
        <w:rPr>
          <w:rFonts w:ascii="ITCFranklinGothicBook" w:hAnsi="ITCFranklinGothicBook" w:cs="ITCFranklinGothicBook"/>
          <w:lang w:val="en-US"/>
        </w:rPr>
      </w:pPr>
    </w:p>
    <w:p w:rsidR="00D66149" w:rsidRDefault="00D66149" w:rsidP="00F3229A">
      <w:pPr>
        <w:pStyle w:val="NICCYBodyText"/>
        <w:rPr>
          <w:rFonts w:ascii="ITCFranklinGothicBook" w:hAnsi="ITCFranklinGothicBook" w:cs="ITCFranklinGothicBook"/>
          <w:lang w:val="en-US"/>
        </w:rPr>
      </w:pPr>
    </w:p>
    <w:p w:rsidR="00D66149" w:rsidRDefault="00D66149" w:rsidP="00F3229A">
      <w:pPr>
        <w:pStyle w:val="NICCYBodyText"/>
        <w:rPr>
          <w:rFonts w:ascii="ITCFranklinGothicBook" w:hAnsi="ITCFranklinGothicBook" w:cs="ITCFranklinGothicBook"/>
          <w:lang w:val="en-US"/>
        </w:rPr>
      </w:pPr>
    </w:p>
    <w:p w:rsidR="00D66149" w:rsidRDefault="00D66149" w:rsidP="00F3229A">
      <w:pPr>
        <w:pStyle w:val="NICCYBodyText"/>
        <w:rPr>
          <w:rFonts w:ascii="ITCFranklinGothicBook" w:hAnsi="ITCFranklinGothicBook" w:cs="ITCFranklinGothicBook"/>
          <w:lang w:val="en-US"/>
        </w:rPr>
      </w:pPr>
    </w:p>
    <w:p w:rsidR="000B7622" w:rsidRDefault="000B7622" w:rsidP="00F3229A">
      <w:pPr>
        <w:pStyle w:val="NICCYBodyText"/>
      </w:pPr>
    </w:p>
    <w:p w:rsidR="00F3229A" w:rsidRDefault="00F3229A" w:rsidP="00D66149">
      <w:pPr>
        <w:pStyle w:val="Heading2"/>
        <w:rPr>
          <w:rFonts w:eastAsiaTheme="minorEastAsia"/>
          <w:lang w:val="en-US"/>
        </w:rPr>
      </w:pPr>
      <w:bookmarkStart w:id="6" w:name="_Fuel_Poverty_Scheme:"/>
      <w:bookmarkEnd w:id="6"/>
      <w:r>
        <w:rPr>
          <w:rFonts w:eastAsiaTheme="minorEastAsia"/>
          <w:lang w:val="en-US"/>
        </w:rPr>
        <w:lastRenderedPageBreak/>
        <w:t>Fuel Poverty Scheme: Achieving Affordable Warmth</w:t>
      </w:r>
    </w:p>
    <w:p w:rsidR="00F3229A" w:rsidRDefault="00F3229A" w:rsidP="00D66149">
      <w:pPr>
        <w:pStyle w:val="NICCYBodyText"/>
        <w:rPr>
          <w:lang w:val="en-US"/>
        </w:rPr>
      </w:pPr>
      <w:r>
        <w:rPr>
          <w:rFonts w:ascii="ITCFranklinGothicDemi" w:hAnsi="ITCFranklinGothicDemi" w:cs="ITCFranklinGothicDemi"/>
          <w:lang w:val="en-US"/>
        </w:rPr>
        <w:t xml:space="preserve">Mr Copeland </w:t>
      </w:r>
      <w:r>
        <w:rPr>
          <w:lang w:val="en-US"/>
        </w:rPr>
        <w:t>asked the Minister for Social Development to detail the total number of households</w:t>
      </w:r>
      <w:r w:rsidR="00D66149">
        <w:rPr>
          <w:lang w:val="en-US"/>
        </w:rPr>
        <w:t xml:space="preserve"> </w:t>
      </w:r>
      <w:r>
        <w:rPr>
          <w:lang w:val="en-US"/>
        </w:rPr>
        <w:t>which will be taken out of Fuel Poverty should the proposals in the Affordable Warmth consultation be</w:t>
      </w:r>
      <w:r w:rsidR="00D66149">
        <w:rPr>
          <w:lang w:val="en-US"/>
        </w:rPr>
        <w:t xml:space="preserve"> </w:t>
      </w:r>
      <w:r>
        <w:rPr>
          <w:lang w:val="en-US"/>
        </w:rPr>
        <w:t>implemented.</w:t>
      </w:r>
    </w:p>
    <w:p w:rsidR="00F3229A" w:rsidRDefault="00F3229A" w:rsidP="00D66149">
      <w:pPr>
        <w:pStyle w:val="NICCYBodyText"/>
        <w:rPr>
          <w:rFonts w:ascii="ITCFranklinGothicDemi" w:hAnsi="ITCFranklinGothicDemi" w:cs="ITCFranklinGothicDemi"/>
          <w:lang w:val="en-US"/>
        </w:rPr>
      </w:pPr>
      <w:r>
        <w:rPr>
          <w:rFonts w:ascii="ITCFranklinGothicDemi" w:hAnsi="ITCFranklinGothicDemi" w:cs="ITCFranklinGothicDemi"/>
          <w:lang w:val="en-US"/>
        </w:rPr>
        <w:t>(AQW 32598/11-15)</w:t>
      </w:r>
    </w:p>
    <w:p w:rsidR="00D66149" w:rsidRDefault="00D66149" w:rsidP="00D66149">
      <w:pPr>
        <w:pStyle w:val="NICCYBodyText"/>
        <w:rPr>
          <w:rFonts w:ascii="ITCFranklinGothicDemi" w:hAnsi="ITCFranklinGothicDemi" w:cs="ITCFranklinGothicDemi"/>
          <w:lang w:val="en-US"/>
        </w:rPr>
      </w:pPr>
    </w:p>
    <w:p w:rsidR="00F3229A" w:rsidRDefault="00F3229A" w:rsidP="00D66149">
      <w:pPr>
        <w:pStyle w:val="NICCYBodyText"/>
        <w:rPr>
          <w:lang w:val="en-US"/>
        </w:rPr>
      </w:pPr>
      <w:r w:rsidRPr="00D66149">
        <w:rPr>
          <w:rFonts w:ascii="ITCFranklinGothicDemi" w:hAnsi="ITCFranklinGothicDemi" w:cs="ITCFranklinGothicDemi"/>
          <w:b/>
          <w:lang w:val="en-US"/>
        </w:rPr>
        <w:t>Mr McCausland:</w:t>
      </w:r>
      <w:r>
        <w:rPr>
          <w:rFonts w:ascii="ITCFranklinGothicDemi" w:hAnsi="ITCFranklinGothicDemi" w:cs="ITCFranklinGothicDemi"/>
          <w:lang w:val="en-US"/>
        </w:rPr>
        <w:t xml:space="preserve"> </w:t>
      </w:r>
      <w:r>
        <w:rPr>
          <w:lang w:val="en-US"/>
        </w:rPr>
        <w:t>Fuel poverty is impacted by three factors, household income, cost of energy and</w:t>
      </w:r>
      <w:r w:rsidR="00D66149">
        <w:rPr>
          <w:lang w:val="en-US"/>
        </w:rPr>
        <w:t xml:space="preserve"> energy efficiency of the home.  </w:t>
      </w:r>
      <w:r>
        <w:rPr>
          <w:lang w:val="en-US"/>
        </w:rPr>
        <w:t>According to the 2011 House Condition Survey the Fuel Poverty rate in</w:t>
      </w:r>
      <w:r w:rsidR="00D66149">
        <w:rPr>
          <w:lang w:val="en-US"/>
        </w:rPr>
        <w:t xml:space="preserve"> </w:t>
      </w:r>
      <w:r>
        <w:rPr>
          <w:lang w:val="en-US"/>
        </w:rPr>
        <w:t>Northern Ireland is 42%, a sl</w:t>
      </w:r>
      <w:r w:rsidR="00D66149">
        <w:rPr>
          <w:lang w:val="en-US"/>
        </w:rPr>
        <w:t xml:space="preserve">ight decrease from 44% in 2009.  </w:t>
      </w:r>
      <w:r>
        <w:rPr>
          <w:lang w:val="en-US"/>
        </w:rPr>
        <w:t>This is based on households needing to</w:t>
      </w:r>
      <w:r w:rsidR="00D66149">
        <w:rPr>
          <w:lang w:val="en-US"/>
        </w:rPr>
        <w:t xml:space="preserve"> </w:t>
      </w:r>
      <w:r>
        <w:rPr>
          <w:lang w:val="en-US"/>
        </w:rPr>
        <w:t>spend 10% or more of their income on household energy costs.</w:t>
      </w:r>
    </w:p>
    <w:p w:rsidR="00D66149" w:rsidRDefault="00D66149" w:rsidP="00D66149">
      <w:pPr>
        <w:pStyle w:val="NICCYBodyText"/>
        <w:rPr>
          <w:lang w:val="en-US"/>
        </w:rPr>
      </w:pPr>
    </w:p>
    <w:p w:rsidR="00D66149" w:rsidRDefault="00F3229A" w:rsidP="00D66149">
      <w:pPr>
        <w:pStyle w:val="NICCYBodyText"/>
        <w:rPr>
          <w:lang w:val="en-US"/>
        </w:rPr>
      </w:pPr>
      <w:r>
        <w:rPr>
          <w:lang w:val="en-US"/>
        </w:rPr>
        <w:t>The 2013 Home Energy Conservation Progress Report noted that fuel poverty remains a major issue in</w:t>
      </w:r>
      <w:r w:rsidR="00D66149">
        <w:rPr>
          <w:lang w:val="en-US"/>
        </w:rPr>
        <w:t xml:space="preserve"> </w:t>
      </w:r>
      <w:r>
        <w:rPr>
          <w:lang w:val="en-US"/>
        </w:rPr>
        <w:t>Northern Ireland a</w:t>
      </w:r>
      <w:r w:rsidR="00D66149">
        <w:rPr>
          <w:lang w:val="en-US"/>
        </w:rPr>
        <w:t xml:space="preserve">t 42% in 2011.  </w:t>
      </w:r>
      <w:r>
        <w:rPr>
          <w:lang w:val="en-US"/>
        </w:rPr>
        <w:t>The report noted that the problem remains primarily one of high fuel</w:t>
      </w:r>
      <w:r w:rsidR="00D66149">
        <w:rPr>
          <w:lang w:val="en-US"/>
        </w:rPr>
        <w:t xml:space="preserve"> </w:t>
      </w:r>
      <w:r>
        <w:rPr>
          <w:lang w:val="en-US"/>
        </w:rPr>
        <w:t>p</w:t>
      </w:r>
      <w:r w:rsidR="00D66149">
        <w:rPr>
          <w:lang w:val="en-US"/>
        </w:rPr>
        <w:t xml:space="preserve">rices and low household income.  </w:t>
      </w:r>
      <w:r>
        <w:rPr>
          <w:lang w:val="en-US"/>
        </w:rPr>
        <w:t>However, energy efficiency works are playing their part in reducing its</w:t>
      </w:r>
      <w:r w:rsidR="00D66149">
        <w:rPr>
          <w:lang w:val="en-US"/>
        </w:rPr>
        <w:t xml:space="preserve"> </w:t>
      </w:r>
      <w:r>
        <w:rPr>
          <w:lang w:val="en-US"/>
        </w:rPr>
        <w:t>impact.</w:t>
      </w:r>
      <w:r w:rsidR="00D66149">
        <w:rPr>
          <w:lang w:val="en-US"/>
        </w:rPr>
        <w:t xml:space="preserve">  </w:t>
      </w:r>
      <w:r>
        <w:rPr>
          <w:lang w:val="en-US"/>
        </w:rPr>
        <w:t>The Fuel Poverty Strategy “Warmer Healthier Homes” resolved to work in partnership to improve the</w:t>
      </w:r>
      <w:r w:rsidR="00D66149">
        <w:rPr>
          <w:lang w:val="en-US"/>
        </w:rPr>
        <w:t xml:space="preserve"> </w:t>
      </w:r>
      <w:r>
        <w:rPr>
          <w:lang w:val="en-US"/>
        </w:rPr>
        <w:t xml:space="preserve">energy efficiency of low income households using a more targeted area based approach. </w:t>
      </w:r>
    </w:p>
    <w:p w:rsidR="00D66149" w:rsidRDefault="00D66149" w:rsidP="00D66149">
      <w:pPr>
        <w:pStyle w:val="NICCYBodyText"/>
        <w:rPr>
          <w:lang w:val="en-US"/>
        </w:rPr>
      </w:pPr>
    </w:p>
    <w:p w:rsidR="00F3229A" w:rsidRDefault="00F3229A" w:rsidP="00D66149">
      <w:pPr>
        <w:pStyle w:val="NICCYBodyText"/>
        <w:rPr>
          <w:lang w:val="en-US"/>
        </w:rPr>
      </w:pPr>
      <w:r>
        <w:rPr>
          <w:lang w:val="en-US"/>
        </w:rPr>
        <w:t>Research</w:t>
      </w:r>
      <w:r w:rsidR="00D66149">
        <w:rPr>
          <w:lang w:val="en-US"/>
        </w:rPr>
        <w:t xml:space="preserve"> </w:t>
      </w:r>
      <w:r>
        <w:rPr>
          <w:lang w:val="en-US"/>
        </w:rPr>
        <w:t>undertaken by Professor Christine Liddell (University of Ulster) in 2011 highlighted that 33,000</w:t>
      </w:r>
      <w:r w:rsidR="00D66149">
        <w:rPr>
          <w:lang w:val="en-US"/>
        </w:rPr>
        <w:t xml:space="preserve"> </w:t>
      </w:r>
      <w:r>
        <w:rPr>
          <w:lang w:val="en-US"/>
        </w:rPr>
        <w:t>households need to spend 25% or more of their income on household energy.</w:t>
      </w:r>
    </w:p>
    <w:p w:rsidR="00D66149" w:rsidRDefault="00D66149" w:rsidP="00D66149">
      <w:pPr>
        <w:pStyle w:val="NICCYBodyText"/>
        <w:rPr>
          <w:lang w:val="en-US"/>
        </w:rPr>
      </w:pPr>
    </w:p>
    <w:p w:rsidR="00F3229A" w:rsidRPr="00D66149" w:rsidRDefault="00F3229A" w:rsidP="00F3229A">
      <w:pPr>
        <w:pStyle w:val="NICCYBodyText"/>
        <w:rPr>
          <w:lang w:val="en-US"/>
        </w:rPr>
      </w:pPr>
      <w:r>
        <w:rPr>
          <w:lang w:val="en-US"/>
        </w:rPr>
        <w:t>My Department launched a Public Consultation exercise on 17 February 2014 on proposals for a</w:t>
      </w:r>
      <w:r w:rsidR="00D66149">
        <w:rPr>
          <w:lang w:val="en-US"/>
        </w:rPr>
        <w:t xml:space="preserve"> </w:t>
      </w:r>
      <w:r>
        <w:rPr>
          <w:lang w:val="en-US"/>
        </w:rPr>
        <w:t>new Affordable Warmth Schem</w:t>
      </w:r>
      <w:r w:rsidR="00D66149">
        <w:rPr>
          <w:lang w:val="en-US"/>
        </w:rPr>
        <w:t xml:space="preserve">e which will end on 9 May 2014.  </w:t>
      </w:r>
      <w:r>
        <w:rPr>
          <w:lang w:val="en-US"/>
        </w:rPr>
        <w:t>The proposed new Affordable Warmth</w:t>
      </w:r>
      <w:r w:rsidR="00D66149">
        <w:rPr>
          <w:lang w:val="en-US"/>
        </w:rPr>
        <w:t xml:space="preserve"> </w:t>
      </w:r>
      <w:r>
        <w:rPr>
          <w:lang w:val="en-US"/>
        </w:rPr>
        <w:t>Scheme will target this group of vulnerable householders who are in severe and extreme fuel poverty to</w:t>
      </w:r>
      <w:r w:rsidR="00D66149">
        <w:rPr>
          <w:lang w:val="en-US"/>
        </w:rPr>
        <w:t xml:space="preserve"> </w:t>
      </w:r>
      <w:r>
        <w:rPr>
          <w:lang w:val="en-US"/>
        </w:rPr>
        <w:t>make their homes more energy efficient and reduce their energy bills.</w:t>
      </w:r>
    </w:p>
    <w:p w:rsidR="000E415A" w:rsidRDefault="000E415A" w:rsidP="000E415A">
      <w:pPr>
        <w:pStyle w:val="NICCYBodyText"/>
      </w:pPr>
    </w:p>
    <w:p w:rsidR="000E415A" w:rsidRDefault="00C714F2" w:rsidP="000E415A">
      <w:pPr>
        <w:pStyle w:val="NICCYBodyText"/>
      </w:pPr>
      <w:hyperlink w:anchor="_top" w:history="1">
        <w:r w:rsidR="000E415A" w:rsidRPr="007715F2">
          <w:rPr>
            <w:rStyle w:val="Hyperlink"/>
          </w:rPr>
          <w:t>Bac</w:t>
        </w:r>
        <w:r w:rsidR="000E415A" w:rsidRPr="007715F2">
          <w:rPr>
            <w:rStyle w:val="Hyperlink"/>
          </w:rPr>
          <w:t>k</w:t>
        </w:r>
        <w:r w:rsidR="000E415A" w:rsidRPr="007715F2">
          <w:rPr>
            <w:rStyle w:val="Hyperlink"/>
          </w:rPr>
          <w:t xml:space="preserve"> to Top</w:t>
        </w:r>
      </w:hyperlink>
    </w:p>
    <w:p w:rsidR="000E415A" w:rsidRDefault="000E415A" w:rsidP="000E415A">
      <w:pPr>
        <w:pStyle w:val="NICCYBodyText"/>
      </w:pPr>
    </w:p>
    <w:p w:rsidR="009560AE" w:rsidRPr="000E415A" w:rsidRDefault="009560AE" w:rsidP="000E415A"/>
    <w:sectPr w:rsidR="009560AE" w:rsidRPr="000E415A" w:rsidSect="002B54AF">
      <w:headerReference w:type="default" r:id="rId9"/>
      <w:footerReference w:type="even" r:id="rId10"/>
      <w:footerReference w:type="default" r:id="rId11"/>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1A4" w:rsidRDefault="002631A4" w:rsidP="00CC53D4">
      <w:r>
        <w:separator/>
      </w:r>
    </w:p>
  </w:endnote>
  <w:endnote w:type="continuationSeparator" w:id="0">
    <w:p w:rsidR="002631A4" w:rsidRDefault="002631A4"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A4" w:rsidRDefault="002631A4"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631A4" w:rsidRDefault="002631A4"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A4" w:rsidRPr="00D81956" w:rsidRDefault="002631A4"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2962C1">
      <w:rPr>
        <w:rStyle w:val="PageNumber"/>
        <w:rFonts w:ascii="Arial" w:hAnsi="Arial" w:cs="Arial"/>
        <w:noProof/>
        <w:sz w:val="16"/>
        <w:szCs w:val="16"/>
      </w:rPr>
      <w:t>1</w:t>
    </w:r>
    <w:r w:rsidRPr="00D81956">
      <w:rPr>
        <w:rStyle w:val="PageNumber"/>
        <w:rFonts w:ascii="Arial" w:hAnsi="Arial" w:cs="Arial"/>
        <w:sz w:val="16"/>
        <w:szCs w:val="16"/>
      </w:rPr>
      <w:fldChar w:fldCharType="end"/>
    </w:r>
  </w:p>
  <w:p w:rsidR="002631A4" w:rsidRPr="00D81956" w:rsidRDefault="002631A4"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2631A4" w:rsidRDefault="002631A4"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2631A4" w:rsidRDefault="002631A4"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2631A4" w:rsidRDefault="002631A4"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2631A4" w:rsidRDefault="002631A4"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2631A4" w:rsidRDefault="002631A4"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1A4" w:rsidRDefault="002631A4" w:rsidP="00CC53D4">
      <w:r>
        <w:separator/>
      </w:r>
    </w:p>
  </w:footnote>
  <w:footnote w:type="continuationSeparator" w:id="0">
    <w:p w:rsidR="002631A4" w:rsidRDefault="002631A4"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631A4" w:rsidTr="000D52AB">
      <w:tc>
        <w:tcPr>
          <w:tcW w:w="5027" w:type="dxa"/>
          <w:shd w:val="clear" w:color="auto" w:fill="auto"/>
        </w:tcPr>
        <w:p w:rsidR="002631A4" w:rsidRDefault="002631A4" w:rsidP="00CC53D4">
          <w:pPr>
            <w:pStyle w:val="CompanyName"/>
          </w:pPr>
        </w:p>
      </w:tc>
      <w:tc>
        <w:tcPr>
          <w:tcW w:w="4855" w:type="dxa"/>
          <w:shd w:val="clear" w:color="auto" w:fill="auto"/>
        </w:tcPr>
        <w:p w:rsidR="002631A4" w:rsidRDefault="002631A4" w:rsidP="00CC53D4">
          <w:pPr>
            <w:pStyle w:val="CompanyName"/>
          </w:pPr>
        </w:p>
      </w:tc>
    </w:tr>
  </w:tbl>
  <w:p w:rsidR="002631A4" w:rsidRDefault="002631A4"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FE5"/>
    <w:multiLevelType w:val="hybridMultilevel"/>
    <w:tmpl w:val="A31C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E053A"/>
    <w:multiLevelType w:val="hybridMultilevel"/>
    <w:tmpl w:val="F51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95B0D"/>
    <w:multiLevelType w:val="hybridMultilevel"/>
    <w:tmpl w:val="0568C250"/>
    <w:lvl w:ilvl="0" w:tplc="63448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C7EA8"/>
    <w:multiLevelType w:val="hybridMultilevel"/>
    <w:tmpl w:val="1550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327E0"/>
    <w:multiLevelType w:val="hybridMultilevel"/>
    <w:tmpl w:val="E4947E6A"/>
    <w:lvl w:ilvl="0" w:tplc="5E9A9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4583F"/>
    <w:multiLevelType w:val="hybridMultilevel"/>
    <w:tmpl w:val="747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A2716"/>
    <w:multiLevelType w:val="hybridMultilevel"/>
    <w:tmpl w:val="72D8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40036"/>
    <w:multiLevelType w:val="hybridMultilevel"/>
    <w:tmpl w:val="1E3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760CC"/>
    <w:multiLevelType w:val="hybridMultilevel"/>
    <w:tmpl w:val="D8F6F74C"/>
    <w:lvl w:ilvl="0" w:tplc="CE342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14802"/>
    <w:multiLevelType w:val="hybridMultilevel"/>
    <w:tmpl w:val="59A2189C"/>
    <w:lvl w:ilvl="0" w:tplc="63C88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D7532C"/>
    <w:multiLevelType w:val="hybridMultilevel"/>
    <w:tmpl w:val="9E6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5636E"/>
    <w:multiLevelType w:val="hybridMultilevel"/>
    <w:tmpl w:val="03761006"/>
    <w:lvl w:ilvl="0" w:tplc="6194D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11777A"/>
    <w:multiLevelType w:val="hybridMultilevel"/>
    <w:tmpl w:val="FF6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303AB"/>
    <w:multiLevelType w:val="hybridMultilevel"/>
    <w:tmpl w:val="C242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B661CB"/>
    <w:multiLevelType w:val="hybridMultilevel"/>
    <w:tmpl w:val="5C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B9235F"/>
    <w:multiLevelType w:val="hybridMultilevel"/>
    <w:tmpl w:val="5CF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
  </w:num>
  <w:num w:numId="4">
    <w:abstractNumId w:val="15"/>
  </w:num>
  <w:num w:numId="5">
    <w:abstractNumId w:val="11"/>
  </w:num>
  <w:num w:numId="6">
    <w:abstractNumId w:val="12"/>
  </w:num>
  <w:num w:numId="7">
    <w:abstractNumId w:val="9"/>
  </w:num>
  <w:num w:numId="8">
    <w:abstractNumId w:val="4"/>
  </w:num>
  <w:num w:numId="9">
    <w:abstractNumId w:val="0"/>
  </w:num>
  <w:num w:numId="10">
    <w:abstractNumId w:val="10"/>
  </w:num>
  <w:num w:numId="11">
    <w:abstractNumId w:val="5"/>
  </w:num>
  <w:num w:numId="12">
    <w:abstractNumId w:val="1"/>
  </w:num>
  <w:num w:numId="13">
    <w:abstractNumId w:val="3"/>
  </w:num>
  <w:num w:numId="14">
    <w:abstractNumId w:val="6"/>
  </w:num>
  <w:num w:numId="15">
    <w:abstractNumId w:val="8"/>
  </w:num>
  <w:num w:numId="16">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11FE"/>
    <w:rsid w:val="000234A1"/>
    <w:rsid w:val="000444A3"/>
    <w:rsid w:val="00055EA0"/>
    <w:rsid w:val="00071D77"/>
    <w:rsid w:val="000834FA"/>
    <w:rsid w:val="000837F5"/>
    <w:rsid w:val="00093189"/>
    <w:rsid w:val="000B7622"/>
    <w:rsid w:val="000D2AEB"/>
    <w:rsid w:val="000D52AB"/>
    <w:rsid w:val="000E415A"/>
    <w:rsid w:val="000F1CDD"/>
    <w:rsid w:val="000F7DDE"/>
    <w:rsid w:val="00110962"/>
    <w:rsid w:val="00115282"/>
    <w:rsid w:val="001324EB"/>
    <w:rsid w:val="00133E56"/>
    <w:rsid w:val="00135AEE"/>
    <w:rsid w:val="00136B0B"/>
    <w:rsid w:val="00142718"/>
    <w:rsid w:val="00162F1C"/>
    <w:rsid w:val="0017007C"/>
    <w:rsid w:val="00190478"/>
    <w:rsid w:val="001911A0"/>
    <w:rsid w:val="001936E2"/>
    <w:rsid w:val="001B1E34"/>
    <w:rsid w:val="001E0551"/>
    <w:rsid w:val="00222A16"/>
    <w:rsid w:val="00245FC8"/>
    <w:rsid w:val="00257738"/>
    <w:rsid w:val="002631A4"/>
    <w:rsid w:val="00266801"/>
    <w:rsid w:val="002721BD"/>
    <w:rsid w:val="00280C3B"/>
    <w:rsid w:val="002962C1"/>
    <w:rsid w:val="002A3F21"/>
    <w:rsid w:val="002B54AF"/>
    <w:rsid w:val="002D63CA"/>
    <w:rsid w:val="002E017D"/>
    <w:rsid w:val="002E1D4A"/>
    <w:rsid w:val="002F37EE"/>
    <w:rsid w:val="00311BBE"/>
    <w:rsid w:val="003313EA"/>
    <w:rsid w:val="00342A06"/>
    <w:rsid w:val="003505C8"/>
    <w:rsid w:val="00394F1A"/>
    <w:rsid w:val="003A1BB8"/>
    <w:rsid w:val="003B0C0B"/>
    <w:rsid w:val="003E6232"/>
    <w:rsid w:val="003F5501"/>
    <w:rsid w:val="00432B30"/>
    <w:rsid w:val="00451456"/>
    <w:rsid w:val="00483941"/>
    <w:rsid w:val="00490ABC"/>
    <w:rsid w:val="00494024"/>
    <w:rsid w:val="004C026E"/>
    <w:rsid w:val="004F785C"/>
    <w:rsid w:val="0050043B"/>
    <w:rsid w:val="00502CBF"/>
    <w:rsid w:val="0052135F"/>
    <w:rsid w:val="00534EB5"/>
    <w:rsid w:val="00542EC1"/>
    <w:rsid w:val="005525FB"/>
    <w:rsid w:val="00560EC9"/>
    <w:rsid w:val="00594766"/>
    <w:rsid w:val="005C465F"/>
    <w:rsid w:val="005C4D0D"/>
    <w:rsid w:val="005F4C21"/>
    <w:rsid w:val="006013F5"/>
    <w:rsid w:val="006240F5"/>
    <w:rsid w:val="0062524B"/>
    <w:rsid w:val="00635A59"/>
    <w:rsid w:val="006373CF"/>
    <w:rsid w:val="00655558"/>
    <w:rsid w:val="006608EA"/>
    <w:rsid w:val="006754C4"/>
    <w:rsid w:val="00676A55"/>
    <w:rsid w:val="006A5470"/>
    <w:rsid w:val="006B33DC"/>
    <w:rsid w:val="006B7F4A"/>
    <w:rsid w:val="006E5A88"/>
    <w:rsid w:val="006F3562"/>
    <w:rsid w:val="006F3A42"/>
    <w:rsid w:val="006F3F8A"/>
    <w:rsid w:val="006F5620"/>
    <w:rsid w:val="006F6F73"/>
    <w:rsid w:val="0070315A"/>
    <w:rsid w:val="007035A8"/>
    <w:rsid w:val="0070635F"/>
    <w:rsid w:val="0070725E"/>
    <w:rsid w:val="00712D51"/>
    <w:rsid w:val="00727D62"/>
    <w:rsid w:val="00751ADC"/>
    <w:rsid w:val="007526F9"/>
    <w:rsid w:val="0076185E"/>
    <w:rsid w:val="00764644"/>
    <w:rsid w:val="00773FE9"/>
    <w:rsid w:val="007902A6"/>
    <w:rsid w:val="007910C9"/>
    <w:rsid w:val="007915E7"/>
    <w:rsid w:val="007A5E2D"/>
    <w:rsid w:val="007B6113"/>
    <w:rsid w:val="007C183C"/>
    <w:rsid w:val="007D1642"/>
    <w:rsid w:val="008131FD"/>
    <w:rsid w:val="00815A2F"/>
    <w:rsid w:val="00831BDB"/>
    <w:rsid w:val="008654D4"/>
    <w:rsid w:val="00873EBD"/>
    <w:rsid w:val="008822D4"/>
    <w:rsid w:val="008860ED"/>
    <w:rsid w:val="00894865"/>
    <w:rsid w:val="008A31A5"/>
    <w:rsid w:val="008A32FE"/>
    <w:rsid w:val="008B4F31"/>
    <w:rsid w:val="008E3945"/>
    <w:rsid w:val="008F3863"/>
    <w:rsid w:val="009108C4"/>
    <w:rsid w:val="00922E3B"/>
    <w:rsid w:val="00951984"/>
    <w:rsid w:val="00955B1B"/>
    <w:rsid w:val="009560AE"/>
    <w:rsid w:val="009675A2"/>
    <w:rsid w:val="00971DFA"/>
    <w:rsid w:val="00977BED"/>
    <w:rsid w:val="00997DF0"/>
    <w:rsid w:val="009A5DED"/>
    <w:rsid w:val="009C3AA7"/>
    <w:rsid w:val="009D134E"/>
    <w:rsid w:val="009D7DCD"/>
    <w:rsid w:val="009E6D40"/>
    <w:rsid w:val="00A03AF5"/>
    <w:rsid w:val="00A17E57"/>
    <w:rsid w:val="00A206DA"/>
    <w:rsid w:val="00A468ED"/>
    <w:rsid w:val="00A57C15"/>
    <w:rsid w:val="00A66FCA"/>
    <w:rsid w:val="00A70F96"/>
    <w:rsid w:val="00A80E8D"/>
    <w:rsid w:val="00A870AC"/>
    <w:rsid w:val="00A92D13"/>
    <w:rsid w:val="00A971BA"/>
    <w:rsid w:val="00AA2943"/>
    <w:rsid w:val="00AC7EF9"/>
    <w:rsid w:val="00AD4064"/>
    <w:rsid w:val="00AD6E4D"/>
    <w:rsid w:val="00B04461"/>
    <w:rsid w:val="00B13ED0"/>
    <w:rsid w:val="00B23B32"/>
    <w:rsid w:val="00B356B1"/>
    <w:rsid w:val="00B51076"/>
    <w:rsid w:val="00B5127A"/>
    <w:rsid w:val="00B5656D"/>
    <w:rsid w:val="00B63A85"/>
    <w:rsid w:val="00B906EB"/>
    <w:rsid w:val="00BA0F69"/>
    <w:rsid w:val="00BA2319"/>
    <w:rsid w:val="00BB3142"/>
    <w:rsid w:val="00BB603F"/>
    <w:rsid w:val="00BD589F"/>
    <w:rsid w:val="00BE13B4"/>
    <w:rsid w:val="00BF5014"/>
    <w:rsid w:val="00C0081D"/>
    <w:rsid w:val="00C06BD6"/>
    <w:rsid w:val="00C24F32"/>
    <w:rsid w:val="00C31FED"/>
    <w:rsid w:val="00C637A4"/>
    <w:rsid w:val="00C714F2"/>
    <w:rsid w:val="00C749C1"/>
    <w:rsid w:val="00CA27CA"/>
    <w:rsid w:val="00CC2DCC"/>
    <w:rsid w:val="00CC488F"/>
    <w:rsid w:val="00CC53D4"/>
    <w:rsid w:val="00CC7A32"/>
    <w:rsid w:val="00CE29B6"/>
    <w:rsid w:val="00CF0D19"/>
    <w:rsid w:val="00CF702F"/>
    <w:rsid w:val="00D13D8B"/>
    <w:rsid w:val="00D26C7C"/>
    <w:rsid w:val="00D366DD"/>
    <w:rsid w:val="00D531C5"/>
    <w:rsid w:val="00D65745"/>
    <w:rsid w:val="00D66149"/>
    <w:rsid w:val="00D72A9F"/>
    <w:rsid w:val="00D81956"/>
    <w:rsid w:val="00D83956"/>
    <w:rsid w:val="00D94E0A"/>
    <w:rsid w:val="00DA39F1"/>
    <w:rsid w:val="00DB7E5C"/>
    <w:rsid w:val="00DC2FE2"/>
    <w:rsid w:val="00DC417B"/>
    <w:rsid w:val="00DD4FEF"/>
    <w:rsid w:val="00E03CDC"/>
    <w:rsid w:val="00E16583"/>
    <w:rsid w:val="00E347A1"/>
    <w:rsid w:val="00E41050"/>
    <w:rsid w:val="00E44493"/>
    <w:rsid w:val="00E531E2"/>
    <w:rsid w:val="00E62C60"/>
    <w:rsid w:val="00E65508"/>
    <w:rsid w:val="00E84CEC"/>
    <w:rsid w:val="00E85371"/>
    <w:rsid w:val="00EA55B7"/>
    <w:rsid w:val="00EB7847"/>
    <w:rsid w:val="00EE20AD"/>
    <w:rsid w:val="00EE7908"/>
    <w:rsid w:val="00EF62E7"/>
    <w:rsid w:val="00F231CF"/>
    <w:rsid w:val="00F255DF"/>
    <w:rsid w:val="00F2595C"/>
    <w:rsid w:val="00F3229A"/>
    <w:rsid w:val="00F3674D"/>
    <w:rsid w:val="00F6320A"/>
    <w:rsid w:val="00F81B86"/>
    <w:rsid w:val="00F90386"/>
    <w:rsid w:val="00FA1731"/>
    <w:rsid w:val="00FC3476"/>
    <w:rsid w:val="00FE2FB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CB7D-48A5-4BFD-A960-77EAF6D9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3</cp:revision>
  <cp:lastPrinted>2013-09-30T10:53:00Z</cp:lastPrinted>
  <dcterms:created xsi:type="dcterms:W3CDTF">2014-04-14T10:36:00Z</dcterms:created>
  <dcterms:modified xsi:type="dcterms:W3CDTF">2014-04-14T11:24:00Z</dcterms:modified>
</cp:coreProperties>
</file>