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t xml:space="preserve">NICCY Summary: </w:t>
      </w:r>
      <w:r w:rsidRPr="005871A1">
        <w:t>Written Assembly Questions Friday</w:t>
      </w:r>
      <w:r w:rsidR="001C3FD9">
        <w:t xml:space="preserve"> </w:t>
      </w:r>
      <w:r w:rsidR="001B6EC2">
        <w:t>9</w:t>
      </w:r>
      <w:r w:rsidR="001B6EC2" w:rsidRPr="001B6EC2">
        <w:rPr>
          <w:vertAlign w:val="superscript"/>
        </w:rPr>
        <w:t>th</w:t>
      </w:r>
      <w:r w:rsidR="001B6EC2">
        <w:t xml:space="preserve"> </w:t>
      </w:r>
      <w:r w:rsidR="0017312A" w:rsidRPr="00DC69F8">
        <w:t>May 2014</w:t>
      </w:r>
    </w:p>
    <w:p w:rsidR="001B6EC2" w:rsidRDefault="001B6EC2" w:rsidP="00F3229A">
      <w:pPr>
        <w:pStyle w:val="NICCYHeading"/>
      </w:pPr>
    </w:p>
    <w:p w:rsidR="001B6EC2" w:rsidRDefault="001B6EC2" w:rsidP="001B6EC2">
      <w:pPr>
        <w:pStyle w:val="Heading2"/>
        <w:numPr>
          <w:ilvl w:val="0"/>
          <w:numId w:val="30"/>
        </w:numPr>
        <w:rPr>
          <w:rFonts w:eastAsiaTheme="minorEastAsia" w:cs="Arial"/>
          <w:bCs w:val="0"/>
          <w:color w:val="23A4DE"/>
          <w:szCs w:val="28"/>
        </w:rPr>
      </w:pPr>
      <w:hyperlink w:anchor="_Childcare:_Financial_Support" w:history="1">
        <w:r w:rsidRPr="001B6EC2">
          <w:rPr>
            <w:rFonts w:cs="Arial"/>
            <w:bCs w:val="0"/>
            <w:color w:val="23A4DE"/>
            <w:szCs w:val="28"/>
          </w:rPr>
          <w:t>Childcare: Financial S</w:t>
        </w:r>
        <w:r w:rsidRPr="001B6EC2">
          <w:rPr>
            <w:rFonts w:cs="Arial"/>
            <w:bCs w:val="0"/>
            <w:color w:val="23A4DE"/>
            <w:szCs w:val="28"/>
          </w:rPr>
          <w:t>u</w:t>
        </w:r>
        <w:r w:rsidRPr="001B6EC2">
          <w:rPr>
            <w:rFonts w:cs="Arial"/>
            <w:bCs w:val="0"/>
            <w:color w:val="23A4DE"/>
            <w:szCs w:val="28"/>
          </w:rPr>
          <w:t>pport</w:t>
        </w:r>
      </w:hyperlink>
    </w:p>
    <w:p w:rsidR="001B6EC2" w:rsidRDefault="001B6EC2" w:rsidP="001B6EC2">
      <w:pPr>
        <w:rPr>
          <w:rFonts w:eastAsiaTheme="minorEastAsia"/>
        </w:rPr>
      </w:pPr>
    </w:p>
    <w:p w:rsidR="001B6EC2" w:rsidRDefault="001B6EC2" w:rsidP="001B6EC2">
      <w:pPr>
        <w:pStyle w:val="Heading2"/>
        <w:numPr>
          <w:ilvl w:val="0"/>
          <w:numId w:val="30"/>
        </w:numPr>
        <w:rPr>
          <w:rFonts w:cs="Arial"/>
          <w:bCs w:val="0"/>
          <w:color w:val="23A4DE"/>
          <w:szCs w:val="28"/>
        </w:rPr>
      </w:pPr>
      <w:hyperlink w:anchor="_Pupils_Who_do" w:history="1">
        <w:r w:rsidRPr="001B6EC2">
          <w:rPr>
            <w:rFonts w:cs="Arial"/>
            <w:bCs w:val="0"/>
            <w:color w:val="23A4DE"/>
            <w:szCs w:val="28"/>
          </w:rPr>
          <w:t>Pupils Who do No</w:t>
        </w:r>
        <w:r w:rsidRPr="001B6EC2">
          <w:rPr>
            <w:rFonts w:cs="Arial"/>
            <w:bCs w:val="0"/>
            <w:color w:val="23A4DE"/>
            <w:szCs w:val="28"/>
          </w:rPr>
          <w:t>t</w:t>
        </w:r>
        <w:r w:rsidRPr="001B6EC2">
          <w:rPr>
            <w:rFonts w:cs="Arial"/>
            <w:bCs w:val="0"/>
            <w:color w:val="23A4DE"/>
            <w:szCs w:val="28"/>
          </w:rPr>
          <w:t xml:space="preserve"> Have English</w:t>
        </w:r>
        <w:r w:rsidRPr="001B6EC2">
          <w:rPr>
            <w:rFonts w:cs="Arial"/>
            <w:bCs w:val="0"/>
            <w:color w:val="23A4DE"/>
            <w:szCs w:val="28"/>
          </w:rPr>
          <w:t xml:space="preserve"> </w:t>
        </w:r>
        <w:r w:rsidRPr="001B6EC2">
          <w:rPr>
            <w:rFonts w:cs="Arial"/>
            <w:bCs w:val="0"/>
            <w:color w:val="23A4DE"/>
            <w:szCs w:val="28"/>
          </w:rPr>
          <w:t>or Irish as a First Language</w:t>
        </w:r>
      </w:hyperlink>
    </w:p>
    <w:p w:rsidR="001B6EC2" w:rsidRDefault="001B6EC2" w:rsidP="001B6EC2">
      <w:pPr>
        <w:rPr>
          <w:rFonts w:eastAsiaTheme="minorEastAsia"/>
        </w:rPr>
      </w:pPr>
    </w:p>
    <w:p w:rsidR="001B6EC2" w:rsidRDefault="001B6EC2" w:rsidP="001B6EC2">
      <w:pPr>
        <w:pStyle w:val="Heading2"/>
        <w:numPr>
          <w:ilvl w:val="0"/>
          <w:numId w:val="30"/>
        </w:numPr>
        <w:rPr>
          <w:rFonts w:cs="Arial"/>
          <w:bCs w:val="0"/>
          <w:color w:val="23A4DE"/>
          <w:szCs w:val="28"/>
        </w:rPr>
      </w:pPr>
      <w:hyperlink w:anchor="_Primary_Schools:_Foreign" w:history="1">
        <w:r w:rsidRPr="001B6EC2">
          <w:rPr>
            <w:rFonts w:cs="Arial"/>
            <w:bCs w:val="0"/>
            <w:color w:val="23A4DE"/>
            <w:szCs w:val="28"/>
          </w:rPr>
          <w:t>Primary Scho</w:t>
        </w:r>
        <w:r w:rsidRPr="001B6EC2">
          <w:rPr>
            <w:rFonts w:cs="Arial"/>
            <w:bCs w:val="0"/>
            <w:color w:val="23A4DE"/>
            <w:szCs w:val="28"/>
          </w:rPr>
          <w:t>o</w:t>
        </w:r>
        <w:r w:rsidRPr="001B6EC2">
          <w:rPr>
            <w:rFonts w:cs="Arial"/>
            <w:bCs w:val="0"/>
            <w:color w:val="23A4DE"/>
            <w:szCs w:val="28"/>
          </w:rPr>
          <w:t>ls: Foreign N</w:t>
        </w:r>
        <w:r w:rsidRPr="001B6EC2">
          <w:rPr>
            <w:rFonts w:cs="Arial"/>
            <w:bCs w:val="0"/>
            <w:color w:val="23A4DE"/>
            <w:szCs w:val="28"/>
          </w:rPr>
          <w:t>a</w:t>
        </w:r>
        <w:r w:rsidRPr="001B6EC2">
          <w:rPr>
            <w:rFonts w:cs="Arial"/>
            <w:bCs w:val="0"/>
            <w:color w:val="23A4DE"/>
            <w:szCs w:val="28"/>
          </w:rPr>
          <w:t>tional Immigran</w:t>
        </w:r>
        <w:r w:rsidRPr="001B6EC2">
          <w:rPr>
            <w:rFonts w:cs="Arial"/>
            <w:bCs w:val="0"/>
            <w:color w:val="23A4DE"/>
            <w:szCs w:val="28"/>
          </w:rPr>
          <w:t>t</w:t>
        </w:r>
        <w:r w:rsidRPr="001B6EC2">
          <w:rPr>
            <w:rFonts w:cs="Arial"/>
            <w:bCs w:val="0"/>
            <w:color w:val="23A4DE"/>
            <w:szCs w:val="28"/>
          </w:rPr>
          <w:t xml:space="preserve"> Families</w:t>
        </w:r>
      </w:hyperlink>
    </w:p>
    <w:p w:rsidR="00DC69F8" w:rsidRDefault="00DC69F8" w:rsidP="00DC69F8"/>
    <w:p w:rsidR="00DC69F8" w:rsidRDefault="00DC69F8" w:rsidP="00DC69F8">
      <w:pPr>
        <w:pStyle w:val="Heading2"/>
        <w:numPr>
          <w:ilvl w:val="0"/>
          <w:numId w:val="30"/>
        </w:numPr>
        <w:rPr>
          <w:rFonts w:cs="Arial"/>
          <w:bCs w:val="0"/>
          <w:color w:val="23A4DE"/>
          <w:szCs w:val="28"/>
        </w:rPr>
      </w:pPr>
      <w:hyperlink w:anchor="_Underachievement_within_the" w:history="1">
        <w:r w:rsidRPr="00DC69F8">
          <w:rPr>
            <w:rFonts w:cs="Arial"/>
            <w:bCs w:val="0"/>
            <w:color w:val="23A4DE"/>
            <w:szCs w:val="28"/>
          </w:rPr>
          <w:t>Underachievement w</w:t>
        </w:r>
        <w:r w:rsidRPr="00DC69F8">
          <w:rPr>
            <w:rFonts w:cs="Arial"/>
            <w:bCs w:val="0"/>
            <w:color w:val="23A4DE"/>
            <w:szCs w:val="28"/>
          </w:rPr>
          <w:t>i</w:t>
        </w:r>
        <w:r w:rsidRPr="00DC69F8">
          <w:rPr>
            <w:rFonts w:cs="Arial"/>
            <w:bCs w:val="0"/>
            <w:color w:val="23A4DE"/>
            <w:szCs w:val="28"/>
          </w:rPr>
          <w:t>t</w:t>
        </w:r>
        <w:r w:rsidRPr="00DC69F8">
          <w:rPr>
            <w:rFonts w:cs="Arial"/>
            <w:bCs w:val="0"/>
            <w:color w:val="23A4DE"/>
            <w:szCs w:val="28"/>
          </w:rPr>
          <w:t>h</w:t>
        </w:r>
        <w:r w:rsidRPr="00DC69F8">
          <w:rPr>
            <w:rFonts w:cs="Arial"/>
            <w:bCs w:val="0"/>
            <w:color w:val="23A4DE"/>
            <w:szCs w:val="28"/>
          </w:rPr>
          <w:t>in the Co</w:t>
        </w:r>
        <w:r w:rsidRPr="00DC69F8">
          <w:rPr>
            <w:rFonts w:cs="Arial"/>
            <w:bCs w:val="0"/>
            <w:color w:val="23A4DE"/>
            <w:szCs w:val="28"/>
          </w:rPr>
          <w:t>n</w:t>
        </w:r>
        <w:r w:rsidRPr="00DC69F8">
          <w:rPr>
            <w:rFonts w:cs="Arial"/>
            <w:bCs w:val="0"/>
            <w:color w:val="23A4DE"/>
            <w:szCs w:val="28"/>
          </w:rPr>
          <w:t>trolled Schools Sector</w:t>
        </w:r>
      </w:hyperlink>
    </w:p>
    <w:p w:rsidR="00DC69F8" w:rsidRDefault="00DC69F8" w:rsidP="00DC69F8">
      <w:pPr>
        <w:rPr>
          <w:rFonts w:eastAsiaTheme="minorEastAsia"/>
        </w:rPr>
      </w:pPr>
    </w:p>
    <w:p w:rsidR="00DC69F8" w:rsidRDefault="00DC69F8" w:rsidP="00DC69F8">
      <w:pPr>
        <w:pStyle w:val="Heading2"/>
        <w:numPr>
          <w:ilvl w:val="0"/>
          <w:numId w:val="30"/>
        </w:numPr>
        <w:rPr>
          <w:rFonts w:cs="Arial"/>
          <w:bCs w:val="0"/>
          <w:color w:val="23A4DE"/>
          <w:szCs w:val="28"/>
        </w:rPr>
      </w:pPr>
      <w:hyperlink w:anchor="_Schools:_Shared_Designation" w:history="1">
        <w:r w:rsidRPr="00DC69F8">
          <w:rPr>
            <w:rFonts w:cs="Arial"/>
            <w:bCs w:val="0"/>
            <w:color w:val="23A4DE"/>
            <w:szCs w:val="28"/>
          </w:rPr>
          <w:t>Schools: Sh</w:t>
        </w:r>
        <w:r w:rsidRPr="00DC69F8">
          <w:rPr>
            <w:rFonts w:cs="Arial"/>
            <w:bCs w:val="0"/>
            <w:color w:val="23A4DE"/>
            <w:szCs w:val="28"/>
          </w:rPr>
          <w:t>a</w:t>
        </w:r>
        <w:r w:rsidRPr="00DC69F8">
          <w:rPr>
            <w:rFonts w:cs="Arial"/>
            <w:bCs w:val="0"/>
            <w:color w:val="23A4DE"/>
            <w:szCs w:val="28"/>
          </w:rPr>
          <w:t>r</w:t>
        </w:r>
        <w:r w:rsidRPr="00DC69F8">
          <w:rPr>
            <w:rFonts w:cs="Arial"/>
            <w:bCs w:val="0"/>
            <w:color w:val="23A4DE"/>
            <w:szCs w:val="28"/>
          </w:rPr>
          <w:t>ed Designation</w:t>
        </w:r>
      </w:hyperlink>
    </w:p>
    <w:p w:rsidR="00DC69F8" w:rsidRDefault="00DC69F8" w:rsidP="00DC69F8">
      <w:pPr>
        <w:rPr>
          <w:rFonts w:eastAsiaTheme="minorEastAsia"/>
        </w:rPr>
      </w:pPr>
    </w:p>
    <w:p w:rsidR="00DC69F8" w:rsidRDefault="00DC69F8" w:rsidP="00DC69F8">
      <w:pPr>
        <w:pStyle w:val="Heading2"/>
        <w:numPr>
          <w:ilvl w:val="0"/>
          <w:numId w:val="30"/>
        </w:numPr>
        <w:rPr>
          <w:rFonts w:cs="Arial"/>
          <w:bCs w:val="0"/>
          <w:color w:val="23A4DE"/>
          <w:szCs w:val="28"/>
        </w:rPr>
      </w:pPr>
      <w:hyperlink w:anchor="_Day_Care_Provision" w:history="1">
        <w:r w:rsidRPr="00DC69F8">
          <w:rPr>
            <w:rFonts w:cs="Arial"/>
            <w:bCs w:val="0"/>
            <w:color w:val="23A4DE"/>
            <w:szCs w:val="28"/>
          </w:rPr>
          <w:t xml:space="preserve">Day Care </w:t>
        </w:r>
        <w:r w:rsidRPr="00DC69F8">
          <w:rPr>
            <w:rFonts w:cs="Arial"/>
            <w:bCs w:val="0"/>
            <w:color w:val="23A4DE"/>
            <w:szCs w:val="28"/>
          </w:rPr>
          <w:t>P</w:t>
        </w:r>
        <w:r w:rsidRPr="00DC69F8">
          <w:rPr>
            <w:rFonts w:cs="Arial"/>
            <w:bCs w:val="0"/>
            <w:color w:val="23A4DE"/>
            <w:szCs w:val="28"/>
          </w:rPr>
          <w:t>ro</w:t>
        </w:r>
        <w:r w:rsidRPr="00DC69F8">
          <w:rPr>
            <w:rFonts w:cs="Arial"/>
            <w:bCs w:val="0"/>
            <w:color w:val="23A4DE"/>
            <w:szCs w:val="28"/>
          </w:rPr>
          <w:t>v</w:t>
        </w:r>
        <w:r w:rsidRPr="00DC69F8">
          <w:rPr>
            <w:rFonts w:cs="Arial"/>
            <w:bCs w:val="0"/>
            <w:color w:val="23A4DE"/>
            <w:szCs w:val="28"/>
          </w:rPr>
          <w:t>ision</w:t>
        </w:r>
      </w:hyperlink>
    </w:p>
    <w:p w:rsidR="007138CC" w:rsidRDefault="007138CC" w:rsidP="007138CC">
      <w:pPr>
        <w:rPr>
          <w:rFonts w:eastAsiaTheme="minorEastAsia"/>
        </w:rPr>
      </w:pPr>
    </w:p>
    <w:p w:rsidR="007138CC" w:rsidRDefault="007138CC" w:rsidP="007138CC">
      <w:pPr>
        <w:pStyle w:val="Heading2"/>
        <w:numPr>
          <w:ilvl w:val="0"/>
          <w:numId w:val="30"/>
        </w:numPr>
        <w:rPr>
          <w:rFonts w:cs="Arial"/>
          <w:bCs w:val="0"/>
          <w:color w:val="23A4DE"/>
          <w:szCs w:val="28"/>
        </w:rPr>
      </w:pPr>
      <w:hyperlink w:anchor="_Anti-Social_Behaviour_Orders" w:history="1">
        <w:r w:rsidRPr="007138CC">
          <w:rPr>
            <w:rFonts w:cs="Arial"/>
            <w:bCs w:val="0"/>
            <w:color w:val="23A4DE"/>
            <w:szCs w:val="28"/>
          </w:rPr>
          <w:t>Anti-S</w:t>
        </w:r>
        <w:r w:rsidRPr="007138CC">
          <w:rPr>
            <w:rFonts w:cs="Arial"/>
            <w:bCs w:val="0"/>
            <w:color w:val="23A4DE"/>
            <w:szCs w:val="28"/>
          </w:rPr>
          <w:t>o</w:t>
        </w:r>
        <w:r w:rsidRPr="007138CC">
          <w:rPr>
            <w:rFonts w:cs="Arial"/>
            <w:bCs w:val="0"/>
            <w:color w:val="23A4DE"/>
            <w:szCs w:val="28"/>
          </w:rPr>
          <w:t>c</w:t>
        </w:r>
        <w:r w:rsidRPr="007138CC">
          <w:rPr>
            <w:rFonts w:cs="Arial"/>
            <w:bCs w:val="0"/>
            <w:color w:val="23A4DE"/>
            <w:szCs w:val="28"/>
          </w:rPr>
          <w:t>i</w:t>
        </w:r>
        <w:r w:rsidRPr="007138CC">
          <w:rPr>
            <w:rFonts w:cs="Arial"/>
            <w:bCs w:val="0"/>
            <w:color w:val="23A4DE"/>
            <w:szCs w:val="28"/>
          </w:rPr>
          <w:t xml:space="preserve">al </w:t>
        </w:r>
        <w:r w:rsidRPr="007138CC">
          <w:rPr>
            <w:rFonts w:cs="Arial"/>
            <w:bCs w:val="0"/>
            <w:color w:val="23A4DE"/>
            <w:szCs w:val="28"/>
          </w:rPr>
          <w:t>B</w:t>
        </w:r>
        <w:r w:rsidRPr="007138CC">
          <w:rPr>
            <w:rFonts w:cs="Arial"/>
            <w:bCs w:val="0"/>
            <w:color w:val="23A4DE"/>
            <w:szCs w:val="28"/>
          </w:rPr>
          <w:t>ehaviour Orders</w:t>
        </w:r>
      </w:hyperlink>
    </w:p>
    <w:p w:rsidR="007138CC" w:rsidRDefault="007138CC" w:rsidP="007138CC">
      <w:pPr>
        <w:rPr>
          <w:rFonts w:eastAsiaTheme="minorEastAsia"/>
        </w:rPr>
      </w:pPr>
    </w:p>
    <w:p w:rsidR="007138CC" w:rsidRPr="007138CC" w:rsidRDefault="007138CC" w:rsidP="007138CC">
      <w:pPr>
        <w:pStyle w:val="Heading2"/>
        <w:numPr>
          <w:ilvl w:val="0"/>
          <w:numId w:val="30"/>
        </w:numPr>
        <w:rPr>
          <w:rFonts w:cs="Arial"/>
          <w:bCs w:val="0"/>
          <w:color w:val="23A4DE"/>
          <w:szCs w:val="28"/>
        </w:rPr>
      </w:pPr>
      <w:hyperlink w:anchor="_Legal_Aid_Bill" w:history="1">
        <w:r w:rsidRPr="007138CC">
          <w:rPr>
            <w:rFonts w:cs="Arial"/>
            <w:bCs w:val="0"/>
            <w:color w:val="23A4DE"/>
            <w:szCs w:val="28"/>
          </w:rPr>
          <w:t>Leg</w:t>
        </w:r>
        <w:r w:rsidRPr="007138CC">
          <w:rPr>
            <w:rFonts w:cs="Arial"/>
            <w:bCs w:val="0"/>
            <w:color w:val="23A4DE"/>
            <w:szCs w:val="28"/>
          </w:rPr>
          <w:t>a</w:t>
        </w:r>
        <w:r w:rsidRPr="007138CC">
          <w:rPr>
            <w:rFonts w:cs="Arial"/>
            <w:bCs w:val="0"/>
            <w:color w:val="23A4DE"/>
            <w:szCs w:val="28"/>
          </w:rPr>
          <w:t>l Ai</w:t>
        </w:r>
        <w:r w:rsidRPr="007138CC">
          <w:rPr>
            <w:rFonts w:cs="Arial"/>
            <w:bCs w:val="0"/>
            <w:color w:val="23A4DE"/>
            <w:szCs w:val="28"/>
          </w:rPr>
          <w:t>d</w:t>
        </w:r>
        <w:r w:rsidRPr="007138CC">
          <w:rPr>
            <w:rFonts w:cs="Arial"/>
            <w:bCs w:val="0"/>
            <w:color w:val="23A4DE"/>
            <w:szCs w:val="28"/>
          </w:rPr>
          <w:t xml:space="preserve"> Bill</w:t>
        </w:r>
      </w:hyperlink>
    </w:p>
    <w:p w:rsidR="007138CC" w:rsidRPr="007138CC" w:rsidRDefault="007138CC" w:rsidP="007138CC">
      <w:pPr>
        <w:rPr>
          <w:rFonts w:eastAsiaTheme="minorEastAsia"/>
        </w:rPr>
      </w:pPr>
    </w:p>
    <w:p w:rsidR="007138CC" w:rsidRPr="007138CC" w:rsidRDefault="007138CC" w:rsidP="007138CC">
      <w:pPr>
        <w:rPr>
          <w:rFonts w:eastAsiaTheme="minorEastAsia"/>
        </w:rPr>
      </w:pPr>
    </w:p>
    <w:p w:rsidR="00DC69F8" w:rsidRPr="00DC69F8" w:rsidRDefault="00DC69F8" w:rsidP="00DC69F8">
      <w:pPr>
        <w:rPr>
          <w:rFonts w:eastAsiaTheme="minorEastAsia"/>
        </w:rPr>
      </w:pPr>
    </w:p>
    <w:p w:rsidR="00DC69F8" w:rsidRPr="00DC69F8" w:rsidRDefault="00DC69F8" w:rsidP="00DC69F8">
      <w:pPr>
        <w:rPr>
          <w:rFonts w:eastAsiaTheme="minorEastAsia"/>
        </w:rPr>
      </w:pPr>
    </w:p>
    <w:p w:rsidR="00DC69F8" w:rsidRPr="00DC69F8" w:rsidRDefault="00DC69F8" w:rsidP="00DC69F8"/>
    <w:p w:rsidR="001B6EC2" w:rsidRPr="001B6EC2" w:rsidRDefault="001B6EC2" w:rsidP="001B6EC2">
      <w:pPr>
        <w:rPr>
          <w:rFonts w:eastAsiaTheme="minorEastAsia"/>
        </w:rPr>
      </w:pPr>
    </w:p>
    <w:p w:rsidR="001B6EC2" w:rsidRPr="001B6EC2" w:rsidRDefault="001B6EC2" w:rsidP="001B6EC2">
      <w:pPr>
        <w:rPr>
          <w:rFonts w:eastAsiaTheme="minorEastAsia"/>
        </w:rPr>
      </w:pPr>
    </w:p>
    <w:p w:rsidR="001B6EC2" w:rsidRDefault="001B6EC2" w:rsidP="00F3229A">
      <w:pPr>
        <w:pStyle w:val="NICCYHeading"/>
      </w:pPr>
    </w:p>
    <w:p w:rsidR="0017312A" w:rsidRDefault="0017312A" w:rsidP="00F3229A">
      <w:pPr>
        <w:pStyle w:val="NICCYHeading"/>
      </w:pPr>
    </w:p>
    <w:p w:rsidR="001B6EC2" w:rsidRDefault="001B6EC2" w:rsidP="00F3229A">
      <w:pPr>
        <w:pStyle w:val="NICCYHeading"/>
      </w:pPr>
    </w:p>
    <w:p w:rsidR="001B6EC2" w:rsidRPr="001B6EC2" w:rsidRDefault="001B6EC2" w:rsidP="001B6EC2">
      <w:pPr>
        <w:pStyle w:val="Heading2"/>
        <w:rPr>
          <w:rFonts w:eastAsiaTheme="minorEastAsia"/>
          <w:color w:val="23A4DE"/>
          <w:lang w:val="en-US"/>
        </w:rPr>
      </w:pPr>
      <w:bookmarkStart w:id="0" w:name="_Childcare:_Financial_Support"/>
      <w:bookmarkEnd w:id="0"/>
      <w:r w:rsidRPr="001B6EC2">
        <w:rPr>
          <w:rFonts w:eastAsiaTheme="minorEastAsia"/>
          <w:color w:val="23A4DE"/>
          <w:lang w:val="en-US"/>
        </w:rPr>
        <w:lastRenderedPageBreak/>
        <w:t>Childcare: Financial Support</w:t>
      </w:r>
    </w:p>
    <w:p w:rsidR="001B6EC2" w:rsidRDefault="001B6EC2" w:rsidP="001B6EC2">
      <w:pPr>
        <w:pStyle w:val="NICCYBodyText"/>
        <w:rPr>
          <w:lang w:val="en-US"/>
        </w:rPr>
      </w:pPr>
      <w:r>
        <w:rPr>
          <w:rFonts w:ascii="ITCFranklinGothicDemi" w:hAnsi="ITCFranklinGothicDemi" w:cs="ITCFranklinGothicDemi"/>
          <w:lang w:val="en-US"/>
        </w:rPr>
        <w:t xml:space="preserve">Mr Agnew </w:t>
      </w:r>
      <w:r>
        <w:rPr>
          <w:lang w:val="en-US"/>
        </w:rPr>
        <w:t>asked the First Minister and deputy First Minister whether the proposed financial support for 8,000 registered childcare places is sufficient to meet the need.</w:t>
      </w:r>
    </w:p>
    <w:p w:rsidR="001B6EC2" w:rsidRDefault="001B6EC2" w:rsidP="001B6EC2">
      <w:pPr>
        <w:pStyle w:val="NICCYBodyText"/>
        <w:rPr>
          <w:rFonts w:ascii="ITCFranklinGothicDemi" w:hAnsi="ITCFranklinGothicDemi" w:cs="ITCFranklinGothicDemi"/>
          <w:lang w:val="en-US"/>
        </w:rPr>
      </w:pPr>
      <w:r>
        <w:rPr>
          <w:rFonts w:ascii="ITCFranklinGothicDemi" w:hAnsi="ITCFranklinGothicDemi" w:cs="ITCFranklinGothicDemi"/>
          <w:lang w:val="en-US"/>
        </w:rPr>
        <w:t>(AQO 5999/11-15)</w:t>
      </w:r>
    </w:p>
    <w:p w:rsidR="001B6EC2" w:rsidRDefault="001B6EC2" w:rsidP="001B6EC2">
      <w:pPr>
        <w:pStyle w:val="NICCYBodyText"/>
        <w:rPr>
          <w:rFonts w:ascii="ITCFranklinGothicDemi" w:hAnsi="ITCFranklinGothicDemi" w:cs="ITCFranklinGothicDemi"/>
          <w:lang w:val="en-US"/>
        </w:rPr>
      </w:pPr>
    </w:p>
    <w:p w:rsidR="001B6EC2" w:rsidRDefault="001B6EC2" w:rsidP="001B6EC2">
      <w:pPr>
        <w:pStyle w:val="NICCYBodyText"/>
        <w:rPr>
          <w:lang w:val="en-US"/>
        </w:rPr>
      </w:pPr>
      <w:r w:rsidRPr="001B6EC2">
        <w:rPr>
          <w:rFonts w:ascii="ITCFranklinGothicDemi" w:hAnsi="ITCFranklinGothicDemi" w:cs="ITCFranklinGothicDemi"/>
          <w:b/>
          <w:lang w:val="en-US"/>
        </w:rPr>
        <w:t>Mr P Robinson and Mr M McGuinness (The First Minister and deputy First Minister):</w:t>
      </w:r>
      <w:r>
        <w:rPr>
          <w:rFonts w:ascii="ITCFranklinGothicDemi" w:hAnsi="ITCFranklinGothicDemi" w:cs="ITCFranklinGothicDemi"/>
          <w:lang w:val="en-US"/>
        </w:rPr>
        <w:t xml:space="preserve"> </w:t>
      </w:r>
      <w:r>
        <w:rPr>
          <w:lang w:val="en-US"/>
        </w:rPr>
        <w:t>The Bright Start School Age Childcare Grant Scheme aims to create or sustain up to 7,000 school age childcare places in low cost social economy settings.  These will begin to address current unmet need for school age childcare services.  We estimate that creating or sustaining 7,000 childcare places could require up to £15 million in grant payments over the next three and half years.  However, the actual amount paid will depend on the</w:t>
      </w:r>
    </w:p>
    <w:p w:rsidR="001B6EC2" w:rsidRDefault="001B6EC2" w:rsidP="001B6EC2">
      <w:pPr>
        <w:pStyle w:val="NICCYBodyText"/>
        <w:rPr>
          <w:lang w:val="en-US"/>
        </w:rPr>
      </w:pPr>
      <w:r>
        <w:rPr>
          <w:lang w:val="en-US"/>
        </w:rPr>
        <w:t>number and quality of applications received over the three and half years that the Grant Scheme will operate.  The School Age Childcare Grant Scheme will be kept under review and its performance will inform future initiatives in this area.</w:t>
      </w:r>
    </w:p>
    <w:p w:rsidR="001B6EC2" w:rsidRDefault="001B6EC2" w:rsidP="001B6EC2">
      <w:pPr>
        <w:pStyle w:val="NICCYBodyText"/>
        <w:rPr>
          <w:lang w:val="en-US"/>
        </w:rPr>
      </w:pPr>
    </w:p>
    <w:p w:rsidR="001B6EC2" w:rsidRDefault="001B6EC2" w:rsidP="001B6EC2">
      <w:pPr>
        <w:pStyle w:val="NICCYBodyText"/>
        <w:rPr>
          <w:lang w:val="en-US"/>
        </w:rPr>
      </w:pPr>
      <w:r>
        <w:rPr>
          <w:lang w:val="en-US"/>
        </w:rPr>
        <w:t>A second Grant Scheme, to create up to 1,000 new rural childminder places, is currently in</w:t>
      </w:r>
    </w:p>
    <w:p w:rsidR="001B6EC2" w:rsidRDefault="001B6EC2" w:rsidP="001B6EC2">
      <w:pPr>
        <w:pStyle w:val="NICCYBodyText"/>
        <w:rPr>
          <w:lang w:val="en-US"/>
        </w:rPr>
      </w:pPr>
      <w:r>
        <w:rPr>
          <w:lang w:val="en-US"/>
        </w:rPr>
        <w:t>development.  The development process will establish the level of financial support required to deliver the proposed number of childminder places.</w:t>
      </w:r>
    </w:p>
    <w:p w:rsidR="001B6EC2" w:rsidRDefault="001B6EC2" w:rsidP="001B6EC2">
      <w:pPr>
        <w:pStyle w:val="NICCYBodyText"/>
        <w:rPr>
          <w:rFonts w:ascii="ITCFranklinGothicBook" w:hAnsi="ITCFranklinGothicBook" w:cs="ITCFranklinGothicBook"/>
          <w:lang w:val="en-US"/>
        </w:rPr>
      </w:pPr>
    </w:p>
    <w:p w:rsidR="001B6EC2" w:rsidRDefault="001B6EC2" w:rsidP="001B6EC2">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1B6EC2" w:rsidRDefault="001B6EC2" w:rsidP="001B6EC2">
      <w:pPr>
        <w:pStyle w:val="NICCYBodyText"/>
        <w:rPr>
          <w:rFonts w:ascii="ITCFranklinGothicBook" w:hAnsi="ITCFranklinGothicBook" w:cs="ITCFranklinGothicBook"/>
          <w:lang w:val="en-US"/>
        </w:rPr>
      </w:pPr>
    </w:p>
    <w:p w:rsidR="001B6EC2" w:rsidRPr="001B6EC2" w:rsidRDefault="001B6EC2" w:rsidP="001B6EC2">
      <w:pPr>
        <w:pStyle w:val="Heading2"/>
        <w:rPr>
          <w:rFonts w:eastAsiaTheme="minorEastAsia"/>
          <w:color w:val="23A4DE"/>
          <w:lang w:val="en-US"/>
        </w:rPr>
      </w:pPr>
      <w:bookmarkStart w:id="1" w:name="_Pupils_Who_do"/>
      <w:bookmarkEnd w:id="1"/>
      <w:r w:rsidRPr="001B6EC2">
        <w:rPr>
          <w:rFonts w:eastAsiaTheme="minorEastAsia"/>
          <w:color w:val="23A4DE"/>
          <w:lang w:val="en-US"/>
        </w:rPr>
        <w:t>Pupils Who do Not Have English or Irish as a First Language</w:t>
      </w:r>
    </w:p>
    <w:p w:rsidR="001B6EC2" w:rsidRDefault="001B6EC2" w:rsidP="001B6EC2">
      <w:pPr>
        <w:pStyle w:val="NICCYBodyText"/>
        <w:rPr>
          <w:lang w:val="en-US"/>
        </w:rPr>
      </w:pPr>
      <w:r>
        <w:rPr>
          <w:rFonts w:ascii="ITCFranklinGothicDemi" w:hAnsi="ITCFranklinGothicDemi" w:cs="ITCFranklinGothicDemi"/>
          <w:lang w:val="en-US"/>
        </w:rPr>
        <w:t xml:space="preserve">Mr McNarry </w:t>
      </w:r>
      <w:r>
        <w:rPr>
          <w:lang w:val="en-US"/>
        </w:rPr>
        <w:t>asked the Minister of Education how many primary school pupils do not have English or Irish as their first language.</w:t>
      </w:r>
    </w:p>
    <w:p w:rsidR="001B6EC2" w:rsidRDefault="001B6EC2" w:rsidP="001B6EC2">
      <w:pPr>
        <w:pStyle w:val="NICCYBodyText"/>
        <w:rPr>
          <w:rFonts w:ascii="ITCFranklinGothicDemi" w:hAnsi="ITCFranklinGothicDemi" w:cs="ITCFranklinGothicDemi"/>
          <w:lang w:val="en-US"/>
        </w:rPr>
      </w:pPr>
      <w:r>
        <w:rPr>
          <w:rFonts w:ascii="ITCFranklinGothicDemi" w:hAnsi="ITCFranklinGothicDemi" w:cs="ITCFranklinGothicDemi"/>
          <w:lang w:val="en-US"/>
        </w:rPr>
        <w:t>(AQW 33153/11-15)</w:t>
      </w:r>
    </w:p>
    <w:p w:rsidR="001B6EC2" w:rsidRDefault="001B6EC2" w:rsidP="001B6EC2">
      <w:pPr>
        <w:pStyle w:val="NICCYBodyText"/>
        <w:rPr>
          <w:rFonts w:ascii="ITCFranklinGothicDemi" w:hAnsi="ITCFranklinGothicDemi" w:cs="ITCFranklinGothicDemi"/>
          <w:lang w:val="en-US"/>
        </w:rPr>
      </w:pPr>
    </w:p>
    <w:p w:rsidR="001B6EC2" w:rsidRDefault="001B6EC2" w:rsidP="001B6EC2">
      <w:pPr>
        <w:pStyle w:val="NICCYBodyText"/>
        <w:rPr>
          <w:lang w:val="en-US"/>
        </w:rPr>
      </w:pPr>
      <w:r w:rsidRPr="001B6EC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Figures collated from the 2013/14 school census indicated that there are 9,730 pupils in primary schools and preparatory departments (including nursery units and reception) that do not have English or Irish as their first language.  This represents 5.7% of the overall primary school population.</w:t>
      </w:r>
    </w:p>
    <w:p w:rsidR="001B6EC2" w:rsidRDefault="001B6EC2" w:rsidP="001B6EC2">
      <w:pPr>
        <w:pStyle w:val="NICCYBodyText"/>
        <w:rPr>
          <w:lang w:val="en-US"/>
        </w:rPr>
      </w:pPr>
    </w:p>
    <w:p w:rsidR="001B6EC2" w:rsidRDefault="001B6EC2" w:rsidP="001B6EC2">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1B6EC2" w:rsidRDefault="001B6EC2" w:rsidP="001B6EC2">
      <w:pPr>
        <w:pStyle w:val="NICCYBodyText"/>
        <w:rPr>
          <w:lang w:val="en-US"/>
        </w:rPr>
      </w:pPr>
    </w:p>
    <w:p w:rsidR="001B6EC2" w:rsidRDefault="001B6EC2" w:rsidP="001B6EC2">
      <w:pPr>
        <w:pStyle w:val="NICCYBodyText"/>
        <w:rPr>
          <w:lang w:val="en-US"/>
        </w:rPr>
      </w:pPr>
    </w:p>
    <w:p w:rsidR="001B6EC2" w:rsidRDefault="001B6EC2" w:rsidP="001B6EC2">
      <w:pPr>
        <w:pStyle w:val="NICCYBodyText"/>
        <w:rPr>
          <w:lang w:val="en-US"/>
        </w:rPr>
      </w:pPr>
    </w:p>
    <w:p w:rsidR="001B6EC2" w:rsidRPr="001B6EC2" w:rsidRDefault="001B6EC2" w:rsidP="001B6EC2">
      <w:pPr>
        <w:pStyle w:val="Heading2"/>
        <w:rPr>
          <w:rFonts w:eastAsiaTheme="minorEastAsia"/>
          <w:color w:val="23A4DE"/>
          <w:lang w:val="en-US"/>
        </w:rPr>
      </w:pPr>
      <w:bookmarkStart w:id="2" w:name="_Primary_Schools:_Foreign"/>
      <w:bookmarkEnd w:id="2"/>
      <w:r w:rsidRPr="001B6EC2">
        <w:rPr>
          <w:rFonts w:eastAsiaTheme="minorEastAsia"/>
          <w:color w:val="23A4DE"/>
          <w:lang w:val="en-US"/>
        </w:rPr>
        <w:lastRenderedPageBreak/>
        <w:t>Primary Schools: Foreign National Immigrant Families</w:t>
      </w:r>
    </w:p>
    <w:p w:rsidR="001B6EC2" w:rsidRDefault="001B6EC2" w:rsidP="001B6EC2">
      <w:pPr>
        <w:pStyle w:val="NICCYBodyText"/>
        <w:rPr>
          <w:lang w:val="en-US"/>
        </w:rPr>
      </w:pPr>
      <w:r>
        <w:rPr>
          <w:rFonts w:ascii="ITCFranklinGothicDemi" w:hAnsi="ITCFranklinGothicDemi" w:cs="ITCFranklinGothicDemi"/>
          <w:lang w:val="en-US"/>
        </w:rPr>
        <w:t xml:space="preserve">Mr McNarry </w:t>
      </w:r>
      <w:r>
        <w:rPr>
          <w:lang w:val="en-US"/>
        </w:rPr>
        <w:t xml:space="preserve">asked the Minister of Education how many primary schools have </w:t>
      </w:r>
    </w:p>
    <w:p w:rsidR="001B6EC2" w:rsidRDefault="001B6EC2" w:rsidP="001B6EC2">
      <w:pPr>
        <w:pStyle w:val="NICCYBodyText"/>
        <w:numPr>
          <w:ilvl w:val="0"/>
          <w:numId w:val="31"/>
        </w:numPr>
        <w:rPr>
          <w:lang w:val="en-US"/>
        </w:rPr>
      </w:pPr>
      <w:r>
        <w:rPr>
          <w:lang w:val="en-US"/>
        </w:rPr>
        <w:t xml:space="preserve">between 20 and 30 per cent; and </w:t>
      </w:r>
    </w:p>
    <w:p w:rsidR="001B6EC2" w:rsidRPr="001B6EC2" w:rsidRDefault="001B6EC2" w:rsidP="001B6EC2">
      <w:pPr>
        <w:pStyle w:val="NICCYBodyText"/>
        <w:numPr>
          <w:ilvl w:val="0"/>
          <w:numId w:val="31"/>
        </w:numPr>
        <w:rPr>
          <w:lang w:val="en-US"/>
        </w:rPr>
      </w:pPr>
      <w:r>
        <w:rPr>
          <w:lang w:val="en-US"/>
        </w:rPr>
        <w:t xml:space="preserve">more than 30 per cent of their total pupil numbers drawn from foreign national </w:t>
      </w:r>
      <w:r w:rsidRPr="001B6EC2">
        <w:rPr>
          <w:lang w:val="en-US"/>
        </w:rPr>
        <w:t>immigrant families.</w:t>
      </w:r>
    </w:p>
    <w:p w:rsidR="001B6EC2" w:rsidRDefault="001B6EC2" w:rsidP="001B6EC2">
      <w:pPr>
        <w:pStyle w:val="NICCYBodyText"/>
        <w:rPr>
          <w:rFonts w:ascii="ITCFranklinGothicDemi" w:hAnsi="ITCFranklinGothicDemi" w:cs="ITCFranklinGothicDemi"/>
          <w:lang w:val="en-US"/>
        </w:rPr>
      </w:pPr>
      <w:r>
        <w:rPr>
          <w:rFonts w:ascii="ITCFranklinGothicDemi" w:hAnsi="ITCFranklinGothicDemi" w:cs="ITCFranklinGothicDemi"/>
          <w:lang w:val="en-US"/>
        </w:rPr>
        <w:t>(AQW 33156/11-15)</w:t>
      </w:r>
    </w:p>
    <w:p w:rsidR="001B6EC2" w:rsidRDefault="001B6EC2" w:rsidP="001B6EC2">
      <w:pPr>
        <w:pStyle w:val="NICCYBodyText"/>
        <w:rPr>
          <w:rFonts w:ascii="ITCFranklinGothicDemi" w:hAnsi="ITCFranklinGothicDemi" w:cs="ITCFranklinGothicDemi"/>
          <w:lang w:val="en-US"/>
        </w:rPr>
      </w:pPr>
    </w:p>
    <w:p w:rsidR="001B6EC2" w:rsidRDefault="001B6EC2" w:rsidP="001B6EC2">
      <w:pPr>
        <w:pStyle w:val="NICCYBodyText"/>
        <w:rPr>
          <w:lang w:val="en-US"/>
        </w:rPr>
      </w:pPr>
      <w:r w:rsidRPr="001B6EC2">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Department does not hold data specifically on pupils from foreign national immigrant families.  The data used instead to answer this question relates to pupils that do not have English or Irish as their first language.</w:t>
      </w:r>
    </w:p>
    <w:p w:rsidR="001B6EC2" w:rsidRDefault="001B6EC2" w:rsidP="001B6EC2">
      <w:pPr>
        <w:pStyle w:val="NICCYBodyText"/>
        <w:rPr>
          <w:lang w:val="en-US"/>
        </w:rPr>
      </w:pPr>
    </w:p>
    <w:p w:rsidR="001B6EC2" w:rsidRDefault="001B6EC2" w:rsidP="001B6EC2">
      <w:pPr>
        <w:pStyle w:val="NICCYBodyText"/>
        <w:rPr>
          <w:lang w:val="en-US"/>
        </w:rPr>
      </w:pPr>
      <w:r>
        <w:rPr>
          <w:lang w:val="en-US"/>
        </w:rPr>
        <w:t>Figures collated from the 2013/14 school census indicated that there are 25 primary schools (including nursery units and reception) with between 20 and 30 percent of pupils that do not have English or Irish as their first language, and 14 schools with more than 30 percent.  There are 839 primary schools and preparatory departments in total.</w:t>
      </w:r>
    </w:p>
    <w:p w:rsidR="001B6EC2" w:rsidRDefault="001B6EC2" w:rsidP="001B6EC2">
      <w:pPr>
        <w:pStyle w:val="NICCYBodyText"/>
        <w:rPr>
          <w:lang w:val="en-US"/>
        </w:rPr>
      </w:pPr>
    </w:p>
    <w:p w:rsidR="001B6EC2" w:rsidRDefault="001B6EC2" w:rsidP="001B6EC2">
      <w:pPr>
        <w:pStyle w:val="NICCYBodyText"/>
      </w:pPr>
      <w:hyperlink w:anchor="_top" w:history="1">
        <w:r w:rsidRPr="007715F2">
          <w:rPr>
            <w:rStyle w:val="Hyperlink"/>
          </w:rPr>
          <w:t>Back</w:t>
        </w:r>
        <w:r w:rsidRPr="007715F2">
          <w:rPr>
            <w:rStyle w:val="Hyperlink"/>
          </w:rPr>
          <w:t xml:space="preserve"> </w:t>
        </w:r>
        <w:r w:rsidRPr="007715F2">
          <w:rPr>
            <w:rStyle w:val="Hyperlink"/>
          </w:rPr>
          <w:t>t</w:t>
        </w:r>
        <w:r w:rsidRPr="007715F2">
          <w:rPr>
            <w:rStyle w:val="Hyperlink"/>
          </w:rPr>
          <w:t>o</w:t>
        </w:r>
        <w:r w:rsidRPr="007715F2">
          <w:rPr>
            <w:rStyle w:val="Hyperlink"/>
          </w:rPr>
          <w:t xml:space="preserve"> Top</w:t>
        </w:r>
      </w:hyperlink>
    </w:p>
    <w:p w:rsidR="001B6EC2" w:rsidRDefault="001B6EC2" w:rsidP="001B6EC2">
      <w:pPr>
        <w:pStyle w:val="NICCYBodyText"/>
        <w:rPr>
          <w:lang w:val="en-US"/>
        </w:rPr>
      </w:pPr>
    </w:p>
    <w:p w:rsidR="001B6EC2" w:rsidRPr="00DC69F8" w:rsidRDefault="001B6EC2" w:rsidP="001B6EC2">
      <w:pPr>
        <w:pStyle w:val="Heading2"/>
        <w:rPr>
          <w:rFonts w:eastAsiaTheme="minorEastAsia"/>
          <w:color w:val="23A4DE"/>
          <w:lang w:val="en-US"/>
        </w:rPr>
      </w:pPr>
      <w:bookmarkStart w:id="3" w:name="_Underachievement_within_the"/>
      <w:bookmarkEnd w:id="3"/>
      <w:r w:rsidRPr="00DC69F8">
        <w:rPr>
          <w:rFonts w:eastAsiaTheme="minorEastAsia"/>
          <w:color w:val="23A4DE"/>
          <w:lang w:val="en-US"/>
        </w:rPr>
        <w:t>Underachievement within the Controlled Schools Sector</w:t>
      </w:r>
    </w:p>
    <w:p w:rsidR="001B6EC2" w:rsidRDefault="001B6EC2" w:rsidP="001B6EC2">
      <w:pPr>
        <w:pStyle w:val="NICCYBodyText"/>
        <w:rPr>
          <w:lang w:val="en-US"/>
        </w:rPr>
      </w:pPr>
      <w:r>
        <w:rPr>
          <w:rFonts w:ascii="ITCFranklinGothicDemi" w:hAnsi="ITCFranklinGothicDemi" w:cs="ITCFranklinGothicDemi"/>
          <w:lang w:val="en-US"/>
        </w:rPr>
        <w:t xml:space="preserve">Mr Newton </w:t>
      </w:r>
      <w:r>
        <w:rPr>
          <w:lang w:val="en-US"/>
        </w:rPr>
        <w:t>asked the Minister of Education what investment he has made, or intends to make, to</w:t>
      </w:r>
      <w:r w:rsidR="00DC69F8">
        <w:rPr>
          <w:lang w:val="en-US"/>
        </w:rPr>
        <w:t xml:space="preserve"> </w:t>
      </w:r>
      <w:r>
        <w:rPr>
          <w:lang w:val="en-US"/>
        </w:rPr>
        <w:t>address the levels of underachievement within the controlled schools sector highlighted in the recent</w:t>
      </w:r>
      <w:r w:rsidR="00DC69F8">
        <w:rPr>
          <w:lang w:val="en-US"/>
        </w:rPr>
        <w:t xml:space="preserve"> </w:t>
      </w:r>
      <w:r>
        <w:rPr>
          <w:lang w:val="en-US"/>
        </w:rPr>
        <w:t>Community Relations Council Report ( Nolan Report) 3rd Peace Monitoring Report.</w:t>
      </w:r>
    </w:p>
    <w:p w:rsidR="001B6EC2" w:rsidRDefault="001B6EC2" w:rsidP="001B6EC2">
      <w:pPr>
        <w:pStyle w:val="NICCYBodyText"/>
        <w:rPr>
          <w:rFonts w:ascii="ITCFranklinGothicDemi" w:hAnsi="ITCFranklinGothicDemi" w:cs="ITCFranklinGothicDemi"/>
          <w:lang w:val="en-US"/>
        </w:rPr>
      </w:pPr>
      <w:r>
        <w:rPr>
          <w:rFonts w:ascii="ITCFranklinGothicDemi" w:hAnsi="ITCFranklinGothicDemi" w:cs="ITCFranklinGothicDemi"/>
          <w:lang w:val="en-US"/>
        </w:rPr>
        <w:t>(AQW 33164/11-15)</w:t>
      </w:r>
    </w:p>
    <w:p w:rsidR="00DC69F8" w:rsidRDefault="00DC69F8" w:rsidP="001B6EC2">
      <w:pPr>
        <w:pStyle w:val="NICCYBodyText"/>
        <w:rPr>
          <w:rFonts w:ascii="ITCFranklinGothicDemi" w:hAnsi="ITCFranklinGothicDemi" w:cs="ITCFranklinGothicDemi"/>
          <w:lang w:val="en-US"/>
        </w:rPr>
      </w:pPr>
    </w:p>
    <w:p w:rsidR="001B6EC2" w:rsidRDefault="001B6EC2" w:rsidP="001B6EC2">
      <w:pPr>
        <w:pStyle w:val="NICCYBodyText"/>
        <w:rPr>
          <w:lang w:val="en-US"/>
        </w:rPr>
      </w:pPr>
      <w:r w:rsidRPr="00DC69F8">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welcomed the recent report of the Community Relations Council, which features the</w:t>
      </w:r>
      <w:r w:rsidR="00DC69F8">
        <w:rPr>
          <w:lang w:val="en-US"/>
        </w:rPr>
        <w:t xml:space="preserve"> </w:t>
      </w:r>
      <w:r>
        <w:rPr>
          <w:lang w:val="en-US"/>
        </w:rPr>
        <w:t>educational underachievement of working class Protestant boys, and the debate it has generated.</w:t>
      </w:r>
      <w:r w:rsidR="00DC69F8">
        <w:rPr>
          <w:lang w:val="en-US"/>
        </w:rPr>
        <w:t xml:space="preserve">  </w:t>
      </w:r>
      <w:r>
        <w:rPr>
          <w:lang w:val="en-US"/>
        </w:rPr>
        <w:t>I have said many times that our education system continues</w:t>
      </w:r>
      <w:r w:rsidR="00DC69F8">
        <w:rPr>
          <w:lang w:val="en-US"/>
        </w:rPr>
        <w:t xml:space="preserve"> to fail too many young people.  </w:t>
      </w:r>
      <w:r>
        <w:rPr>
          <w:lang w:val="en-US"/>
        </w:rPr>
        <w:t>The</w:t>
      </w:r>
      <w:r w:rsidR="00DC69F8">
        <w:rPr>
          <w:lang w:val="en-US"/>
        </w:rPr>
        <w:t xml:space="preserve"> </w:t>
      </w:r>
      <w:r>
        <w:rPr>
          <w:lang w:val="en-US"/>
        </w:rPr>
        <w:t>attainment gaps are simply unacceptable and I am working hard to tackle this inequality wherever it</w:t>
      </w:r>
      <w:r w:rsidR="00DC69F8">
        <w:rPr>
          <w:lang w:val="en-US"/>
        </w:rPr>
        <w:t xml:space="preserve"> </w:t>
      </w:r>
      <w:r>
        <w:rPr>
          <w:lang w:val="en-US"/>
        </w:rPr>
        <w:t>exists.</w:t>
      </w:r>
    </w:p>
    <w:p w:rsidR="00DC69F8" w:rsidRDefault="00DC69F8" w:rsidP="001B6EC2">
      <w:pPr>
        <w:pStyle w:val="NICCYBodyText"/>
        <w:rPr>
          <w:lang w:val="en-US"/>
        </w:rPr>
      </w:pPr>
    </w:p>
    <w:p w:rsidR="001B6EC2" w:rsidRDefault="001B6EC2" w:rsidP="001B6EC2">
      <w:pPr>
        <w:pStyle w:val="NICCYBodyText"/>
        <w:rPr>
          <w:lang w:val="en-US"/>
        </w:rPr>
      </w:pPr>
      <w:r>
        <w:rPr>
          <w:lang w:val="en-US"/>
        </w:rPr>
        <w:t>In March, I announced changes to the way schools are funded by redistributing funding to target</w:t>
      </w:r>
      <w:r w:rsidR="00DC69F8">
        <w:rPr>
          <w:lang w:val="en-US"/>
        </w:rPr>
        <w:t xml:space="preserve"> </w:t>
      </w:r>
      <w:r>
        <w:rPr>
          <w:lang w:val="en-US"/>
        </w:rPr>
        <w:t>schools with high numbers of pupils from socially disadvantaged backgrounds and I have injected a</w:t>
      </w:r>
      <w:r w:rsidR="00DC69F8">
        <w:rPr>
          <w:lang w:val="en-US"/>
        </w:rPr>
        <w:t xml:space="preserve"> </w:t>
      </w:r>
      <w:r>
        <w:rPr>
          <w:lang w:val="en-US"/>
        </w:rPr>
        <w:t>further £10 million specifically targeting social deprivation into school budgets from April 2014.</w:t>
      </w:r>
    </w:p>
    <w:p w:rsidR="001B6EC2" w:rsidRDefault="001B6EC2" w:rsidP="001B6EC2">
      <w:pPr>
        <w:pStyle w:val="NICCYBodyText"/>
        <w:rPr>
          <w:lang w:val="en-US"/>
        </w:rPr>
      </w:pPr>
      <w:r>
        <w:rPr>
          <w:lang w:val="en-US"/>
        </w:rPr>
        <w:lastRenderedPageBreak/>
        <w:t>Additional funding is being made available to specific programmes to address educational</w:t>
      </w:r>
    </w:p>
    <w:p w:rsidR="001B6EC2" w:rsidRDefault="00DC69F8" w:rsidP="001B6EC2">
      <w:pPr>
        <w:pStyle w:val="NICCYBodyText"/>
        <w:rPr>
          <w:lang w:val="en-US"/>
        </w:rPr>
      </w:pPr>
      <w:r>
        <w:rPr>
          <w:lang w:val="en-US"/>
        </w:rPr>
        <w:t xml:space="preserve">underachievement in schools.  </w:t>
      </w:r>
      <w:r w:rsidR="001B6EC2">
        <w:rPr>
          <w:lang w:val="en-US"/>
        </w:rPr>
        <w:t>These include £15.56million over three years on the Delivering Social</w:t>
      </w:r>
      <w:r>
        <w:rPr>
          <w:lang w:val="en-US"/>
        </w:rPr>
        <w:t xml:space="preserve"> </w:t>
      </w:r>
      <w:r w:rsidR="001B6EC2">
        <w:rPr>
          <w:lang w:val="en-US"/>
        </w:rPr>
        <w:t>Change programme to provide additional teaching support to pupils at risk of underachievement;</w:t>
      </w:r>
      <w:r>
        <w:rPr>
          <w:lang w:val="en-US"/>
        </w:rPr>
        <w:t xml:space="preserve"> </w:t>
      </w:r>
      <w:r w:rsidR="001B6EC2">
        <w:rPr>
          <w:lang w:val="en-US"/>
        </w:rPr>
        <w:t>£2million over the next two academic years for a literacy and numeracy Continuing Professional</w:t>
      </w:r>
      <w:r>
        <w:rPr>
          <w:lang w:val="en-US"/>
        </w:rPr>
        <w:t xml:space="preserve"> </w:t>
      </w:r>
      <w:r w:rsidR="001B6EC2">
        <w:rPr>
          <w:lang w:val="en-US"/>
        </w:rPr>
        <w:t>Development Key Stage 2/3 project; and an additional £500,000 per annum over three years to further</w:t>
      </w:r>
      <w:r>
        <w:rPr>
          <w:lang w:val="en-US"/>
        </w:rPr>
        <w:t xml:space="preserve"> </w:t>
      </w:r>
      <w:r w:rsidR="001B6EC2">
        <w:rPr>
          <w:lang w:val="en-US"/>
        </w:rPr>
        <w:t>support Area Learning Communities develop effective approaches to improving literacy and numeracy</w:t>
      </w:r>
      <w:r>
        <w:rPr>
          <w:lang w:val="en-US"/>
        </w:rPr>
        <w:t xml:space="preserve"> </w:t>
      </w:r>
      <w:r w:rsidR="001B6EC2">
        <w:rPr>
          <w:lang w:val="en-US"/>
        </w:rPr>
        <w:t>levels amongst disadvantaged pupils.</w:t>
      </w:r>
    </w:p>
    <w:p w:rsidR="00DC69F8" w:rsidRDefault="00DC69F8" w:rsidP="001B6EC2">
      <w:pPr>
        <w:pStyle w:val="NICCYBodyText"/>
        <w:rPr>
          <w:lang w:val="en-US"/>
        </w:rPr>
      </w:pPr>
    </w:p>
    <w:p w:rsidR="001B6EC2" w:rsidRDefault="001B6EC2" w:rsidP="001B6EC2">
      <w:pPr>
        <w:pStyle w:val="NICCYBodyText"/>
        <w:rPr>
          <w:lang w:val="en-US"/>
        </w:rPr>
      </w:pPr>
      <w:r>
        <w:rPr>
          <w:lang w:val="en-US"/>
        </w:rPr>
        <w:t>I have also targeted substantial resources towards disadvantaged communities through a number of</w:t>
      </w:r>
      <w:r w:rsidR="00DC69F8">
        <w:rPr>
          <w:lang w:val="en-US"/>
        </w:rPr>
        <w:t xml:space="preserve"> programmes.  </w:t>
      </w:r>
      <w:r>
        <w:rPr>
          <w:lang w:val="en-US"/>
        </w:rPr>
        <w:t>These include the Sure Start programme, the Community Education Initiatives Programme</w:t>
      </w:r>
      <w:r w:rsidR="00DC69F8">
        <w:rPr>
          <w:lang w:val="en-US"/>
        </w:rPr>
        <w:t xml:space="preserve"> </w:t>
      </w:r>
      <w:r>
        <w:rPr>
          <w:lang w:val="en-US"/>
        </w:rPr>
        <w:t>and the Extended Schools and Full Service programmes. I am also funding the Greater Shankill</w:t>
      </w:r>
      <w:r w:rsidR="00DC69F8">
        <w:rPr>
          <w:lang w:val="en-US"/>
        </w:rPr>
        <w:t xml:space="preserve"> </w:t>
      </w:r>
      <w:r>
        <w:rPr>
          <w:lang w:val="en-US"/>
        </w:rPr>
        <w:t>Partnership Board through the West Belfast (Shankill) Community Project and the Community Education</w:t>
      </w:r>
      <w:r w:rsidR="00DC69F8">
        <w:rPr>
          <w:lang w:val="en-US"/>
        </w:rPr>
        <w:t xml:space="preserve"> </w:t>
      </w:r>
      <w:r>
        <w:rPr>
          <w:lang w:val="en-US"/>
        </w:rPr>
        <w:t xml:space="preserve">Initiatives Programme to provide educationally </w:t>
      </w:r>
      <w:r w:rsidR="00DC69F8">
        <w:rPr>
          <w:lang w:val="en-US"/>
        </w:rPr>
        <w:t>focused</w:t>
      </w:r>
      <w:r>
        <w:rPr>
          <w:lang w:val="en-US"/>
        </w:rPr>
        <w:t xml:space="preserve"> support to children resident in the area, this</w:t>
      </w:r>
      <w:r w:rsidR="00DC69F8">
        <w:rPr>
          <w:lang w:val="en-US"/>
        </w:rPr>
        <w:t xml:space="preserve"> </w:t>
      </w:r>
      <w:r>
        <w:rPr>
          <w:lang w:val="en-US"/>
        </w:rPr>
        <w:t>funding is approximately £120,000 per year for two years 2013/2014 and 2014/2015.</w:t>
      </w:r>
    </w:p>
    <w:p w:rsidR="00DC69F8" w:rsidRDefault="00DC69F8" w:rsidP="001B6EC2">
      <w:pPr>
        <w:pStyle w:val="NICCYBodyText"/>
        <w:rPr>
          <w:lang w:val="en-US"/>
        </w:rPr>
      </w:pPr>
    </w:p>
    <w:p w:rsidR="001B6EC2" w:rsidRDefault="001B6EC2" w:rsidP="001B6EC2">
      <w:pPr>
        <w:pStyle w:val="NICCYBodyText"/>
        <w:rPr>
          <w:lang w:val="en-US"/>
        </w:rPr>
      </w:pPr>
      <w:r>
        <w:rPr>
          <w:lang w:val="en-US"/>
        </w:rPr>
        <w:t>International reports tell us that we need to have a socially balanced school system to enable all pupils</w:t>
      </w:r>
      <w:r w:rsidR="00DC69F8">
        <w:rPr>
          <w:lang w:val="en-US"/>
        </w:rPr>
        <w:t xml:space="preserve"> to perform better.  </w:t>
      </w:r>
      <w:r>
        <w:rPr>
          <w:lang w:val="en-US"/>
        </w:rPr>
        <w:t>However, while some schools persist in the use of academic selection, we will be</w:t>
      </w:r>
      <w:r w:rsidR="00DC69F8">
        <w:rPr>
          <w:lang w:val="en-US"/>
        </w:rPr>
        <w:t xml:space="preserve"> </w:t>
      </w:r>
      <w:r>
        <w:rPr>
          <w:lang w:val="en-US"/>
        </w:rPr>
        <w:t>unable to achieve this.</w:t>
      </w:r>
      <w:r w:rsidR="00DC69F8">
        <w:rPr>
          <w:lang w:val="en-US"/>
        </w:rPr>
        <w:t xml:space="preserve">  </w:t>
      </w:r>
      <w:r>
        <w:rPr>
          <w:lang w:val="en-US"/>
        </w:rPr>
        <w:t>There are also wider societal issues to be addressed that education authorities and schools cannot</w:t>
      </w:r>
      <w:r w:rsidR="00DC69F8">
        <w:rPr>
          <w:lang w:val="en-US"/>
        </w:rPr>
        <w:t xml:space="preserve"> </w:t>
      </w:r>
      <w:r>
        <w:rPr>
          <w:lang w:val="en-US"/>
        </w:rPr>
        <w:t>tackle on their own.</w:t>
      </w:r>
    </w:p>
    <w:p w:rsidR="007138CC" w:rsidRDefault="00DC69F8" w:rsidP="007138CC">
      <w:pPr>
        <w:pStyle w:val="NICCYBodyText"/>
        <w:rPr>
          <w:rStyle w:val="Heading2Char"/>
        </w:rPr>
      </w:pPr>
      <w:hyperlink w:anchor="_top" w:history="1">
        <w:r w:rsidRPr="007715F2">
          <w:rPr>
            <w:rStyle w:val="Hyperlink"/>
          </w:rPr>
          <w:t>Back</w:t>
        </w:r>
        <w:r w:rsidRPr="007715F2">
          <w:rPr>
            <w:rStyle w:val="Hyperlink"/>
          </w:rPr>
          <w:t xml:space="preserve"> </w:t>
        </w:r>
        <w:r w:rsidRPr="007715F2">
          <w:rPr>
            <w:rStyle w:val="Hyperlink"/>
          </w:rPr>
          <w:t>to Top</w:t>
        </w:r>
      </w:hyperlink>
      <w:r w:rsidR="007138CC">
        <w:br/>
      </w:r>
      <w:bookmarkStart w:id="4" w:name="_Schools:_Shared_Designation"/>
      <w:bookmarkEnd w:id="4"/>
    </w:p>
    <w:p w:rsidR="001B6EC2" w:rsidRPr="007138CC" w:rsidRDefault="001B6EC2" w:rsidP="007138CC">
      <w:pPr>
        <w:pStyle w:val="NICCYBodyText"/>
        <w:rPr>
          <w:rStyle w:val="Heading2Char"/>
        </w:rPr>
      </w:pPr>
      <w:r w:rsidRPr="007138CC">
        <w:rPr>
          <w:rStyle w:val="Heading2Char"/>
        </w:rPr>
        <w:t>Schools: Shared Designation</w:t>
      </w:r>
    </w:p>
    <w:p w:rsidR="001B6EC2" w:rsidRDefault="001B6EC2" w:rsidP="00DC69F8">
      <w:pPr>
        <w:pStyle w:val="NICCYBodyText"/>
        <w:rPr>
          <w:lang w:val="en-US"/>
        </w:rPr>
      </w:pPr>
      <w:r>
        <w:rPr>
          <w:rFonts w:ascii="ITCFranklinGothicDemi" w:hAnsi="ITCFranklinGothicDemi" w:cs="ITCFranklinGothicDemi"/>
          <w:lang w:val="en-US"/>
        </w:rPr>
        <w:t xml:space="preserve">Mr Lunn </w:t>
      </w:r>
      <w:r>
        <w:rPr>
          <w:lang w:val="en-US"/>
        </w:rPr>
        <w:t>asked the Minister of Education to outline the minimum criteria which must be met before a</w:t>
      </w:r>
      <w:r w:rsidR="00DC69F8">
        <w:rPr>
          <w:lang w:val="en-US"/>
        </w:rPr>
        <w:t xml:space="preserve"> </w:t>
      </w:r>
      <w:r>
        <w:rPr>
          <w:lang w:val="en-US"/>
        </w:rPr>
        <w:t>school can be designated as shared.</w:t>
      </w:r>
    </w:p>
    <w:p w:rsidR="001B6EC2" w:rsidRDefault="001B6EC2" w:rsidP="00DC69F8">
      <w:pPr>
        <w:pStyle w:val="NICCYBodyText"/>
        <w:rPr>
          <w:rFonts w:ascii="ITCFranklinGothicDemi" w:hAnsi="ITCFranklinGothicDemi" w:cs="ITCFranklinGothicDemi"/>
          <w:lang w:val="en-US"/>
        </w:rPr>
      </w:pPr>
      <w:r>
        <w:rPr>
          <w:rFonts w:ascii="ITCFranklinGothicDemi" w:hAnsi="ITCFranklinGothicDemi" w:cs="ITCFranklinGothicDemi"/>
          <w:lang w:val="en-US"/>
        </w:rPr>
        <w:t>(AQW 33186/11-15)</w:t>
      </w:r>
    </w:p>
    <w:p w:rsidR="00DC69F8" w:rsidRDefault="00DC69F8" w:rsidP="00DC69F8">
      <w:pPr>
        <w:pStyle w:val="NICCYBodyText"/>
        <w:rPr>
          <w:rFonts w:ascii="ITCFranklinGothicDemi" w:hAnsi="ITCFranklinGothicDemi" w:cs="ITCFranklinGothicDemi"/>
          <w:lang w:val="en-US"/>
        </w:rPr>
      </w:pPr>
    </w:p>
    <w:p w:rsidR="00DC69F8" w:rsidRDefault="001B6EC2" w:rsidP="00DC69F8">
      <w:pPr>
        <w:pStyle w:val="NICCYBodyText"/>
        <w:rPr>
          <w:lang w:val="en-US"/>
        </w:rPr>
      </w:pPr>
      <w:r w:rsidRPr="00DC69F8">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There are no plans to designate a school as ‘shared’.</w:t>
      </w:r>
      <w:r w:rsidR="00DC69F8">
        <w:rPr>
          <w:lang w:val="en-US"/>
        </w:rPr>
        <w:t xml:space="preserve">  </w:t>
      </w:r>
      <w:r>
        <w:rPr>
          <w:lang w:val="en-US"/>
        </w:rPr>
        <w:t>The Programme for Government 2011-15 includes commitments to substantially increase the number</w:t>
      </w:r>
      <w:r w:rsidR="00DC69F8">
        <w:rPr>
          <w:lang w:val="en-US"/>
        </w:rPr>
        <w:t xml:space="preserve"> </w:t>
      </w:r>
      <w:r>
        <w:rPr>
          <w:lang w:val="en-US"/>
        </w:rPr>
        <w:t>of schools sharing facilities and to ensure all children have the opportunity to participate in shared</w:t>
      </w:r>
      <w:r w:rsidR="00DC69F8">
        <w:rPr>
          <w:lang w:val="en-US"/>
        </w:rPr>
        <w:t xml:space="preserve"> </w:t>
      </w:r>
      <w:r>
        <w:rPr>
          <w:lang w:val="en-US"/>
        </w:rPr>
        <w:t>education programmes by 2015.</w:t>
      </w:r>
      <w:r w:rsidR="00DC69F8">
        <w:rPr>
          <w:lang w:val="en-US"/>
        </w:rPr>
        <w:t xml:space="preserve">  </w:t>
      </w:r>
      <w:r>
        <w:rPr>
          <w:lang w:val="en-US"/>
        </w:rPr>
        <w:t>Consequently all schools should be engaged in shared education</w:t>
      </w:r>
      <w:r w:rsidR="00DC69F8">
        <w:rPr>
          <w:lang w:val="en-US"/>
        </w:rPr>
        <w:t>.</w:t>
      </w:r>
    </w:p>
    <w:p w:rsidR="007138CC" w:rsidRDefault="00DC69F8" w:rsidP="007138CC">
      <w:pPr>
        <w:pStyle w:val="NICCYBodyText"/>
      </w:pPr>
      <w:r>
        <w:rPr>
          <w:lang w:val="en-US"/>
        </w:rPr>
        <w:br/>
      </w:r>
      <w:hyperlink w:anchor="_top" w:history="1">
        <w:r w:rsidRPr="007715F2">
          <w:rPr>
            <w:rStyle w:val="Hyperlink"/>
          </w:rPr>
          <w:t xml:space="preserve">Back </w:t>
        </w:r>
        <w:r w:rsidRPr="007715F2">
          <w:rPr>
            <w:rStyle w:val="Hyperlink"/>
          </w:rPr>
          <w:t>t</w:t>
        </w:r>
        <w:r w:rsidRPr="007715F2">
          <w:rPr>
            <w:rStyle w:val="Hyperlink"/>
          </w:rPr>
          <w:t>o Top</w:t>
        </w:r>
      </w:hyperlink>
      <w:bookmarkStart w:id="5" w:name="_Day_Care_Provision"/>
      <w:bookmarkEnd w:id="5"/>
    </w:p>
    <w:p w:rsidR="001B6EC2" w:rsidRPr="007138CC" w:rsidRDefault="001B6EC2" w:rsidP="007138CC">
      <w:pPr>
        <w:pStyle w:val="Heading2"/>
        <w:rPr>
          <w:rFonts w:eastAsiaTheme="minorEastAsia"/>
          <w:color w:val="414042"/>
          <w:lang w:val="en-US"/>
        </w:rPr>
      </w:pPr>
      <w:r w:rsidRPr="00DC69F8">
        <w:rPr>
          <w:rFonts w:eastAsiaTheme="minorEastAsia"/>
          <w:lang w:val="en-US"/>
        </w:rPr>
        <w:lastRenderedPageBreak/>
        <w:t>Day Care Provision</w:t>
      </w:r>
    </w:p>
    <w:p w:rsidR="001B6EC2" w:rsidRDefault="001B6EC2" w:rsidP="00DC69F8">
      <w:pPr>
        <w:pStyle w:val="NICCYBodyText"/>
        <w:rPr>
          <w:lang w:val="en-US"/>
        </w:rPr>
      </w:pPr>
      <w:r>
        <w:rPr>
          <w:rFonts w:ascii="ITCFranklinGothicDemi" w:hAnsi="ITCFranklinGothicDemi" w:cs="ITCFranklinGothicDemi"/>
          <w:lang w:val="en-US"/>
        </w:rPr>
        <w:t xml:space="preserve">Mr McMullan </w:t>
      </w:r>
      <w:r>
        <w:rPr>
          <w:lang w:val="en-US"/>
        </w:rPr>
        <w:t>asked the Minister for Employment and Learning when the transitions inter-departmental</w:t>
      </w:r>
      <w:r w:rsidR="00DC69F8">
        <w:rPr>
          <w:lang w:val="en-US"/>
        </w:rPr>
        <w:t xml:space="preserve"> </w:t>
      </w:r>
      <w:r>
        <w:rPr>
          <w:lang w:val="en-US"/>
        </w:rPr>
        <w:t>working group, which was established to address gaps in day care provision, will meet parents and</w:t>
      </w:r>
      <w:r w:rsidR="00DC69F8">
        <w:rPr>
          <w:lang w:val="en-US"/>
        </w:rPr>
        <w:t xml:space="preserve"> </w:t>
      </w:r>
      <w:r>
        <w:rPr>
          <w:lang w:val="en-US"/>
        </w:rPr>
        <w:t>carers in East Antrim.</w:t>
      </w:r>
    </w:p>
    <w:p w:rsidR="001B6EC2" w:rsidRDefault="001B6EC2" w:rsidP="00DC69F8">
      <w:pPr>
        <w:pStyle w:val="NICCYBodyText"/>
        <w:rPr>
          <w:rFonts w:ascii="ITCFranklinGothicDemi" w:hAnsi="ITCFranklinGothicDemi" w:cs="ITCFranklinGothicDemi"/>
          <w:lang w:val="en-US"/>
        </w:rPr>
      </w:pPr>
      <w:r>
        <w:rPr>
          <w:rFonts w:ascii="ITCFranklinGothicDemi" w:hAnsi="ITCFranklinGothicDemi" w:cs="ITCFranklinGothicDemi"/>
          <w:lang w:val="en-US"/>
        </w:rPr>
        <w:t>(AQW 33044/11-15)</w:t>
      </w:r>
    </w:p>
    <w:p w:rsidR="00DC69F8" w:rsidRDefault="00DC69F8" w:rsidP="00DC69F8">
      <w:pPr>
        <w:pStyle w:val="NICCYBodyText"/>
        <w:rPr>
          <w:rFonts w:ascii="ITCFranklinGothicDemi" w:hAnsi="ITCFranklinGothicDemi" w:cs="ITCFranklinGothicDemi"/>
          <w:lang w:val="en-US"/>
        </w:rPr>
      </w:pPr>
    </w:p>
    <w:p w:rsidR="001B6EC2" w:rsidRDefault="001B6EC2" w:rsidP="00DC69F8">
      <w:pPr>
        <w:pStyle w:val="NICCYBodyText"/>
        <w:rPr>
          <w:lang w:val="en-US"/>
        </w:rPr>
      </w:pPr>
      <w:r w:rsidRPr="00DC69F8">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The transitions interdepartmental working group is considering gaps in the provision of post</w:t>
      </w:r>
      <w:r w:rsidR="00DC69F8">
        <w:rPr>
          <w:lang w:val="en-US"/>
        </w:rPr>
        <w:t xml:space="preserve"> </w:t>
      </w:r>
      <w:r>
        <w:rPr>
          <w:lang w:val="en-US"/>
        </w:rPr>
        <w:t>school services for young people with a severe learning disability.</w:t>
      </w:r>
      <w:r w:rsidR="00DC69F8">
        <w:rPr>
          <w:lang w:val="en-US"/>
        </w:rPr>
        <w:t xml:space="preserve">  </w:t>
      </w:r>
      <w:r>
        <w:rPr>
          <w:lang w:val="en-US"/>
        </w:rPr>
        <w:t>The group, which my Department is chairing, plan to meet with stakeholders, including parents and</w:t>
      </w:r>
      <w:r w:rsidR="00DC69F8">
        <w:rPr>
          <w:lang w:val="en-US"/>
        </w:rPr>
        <w:t xml:space="preserve"> </w:t>
      </w:r>
      <w:r>
        <w:rPr>
          <w:lang w:val="en-US"/>
        </w:rPr>
        <w:t>carers, as part of its work within the next 4 weeks.</w:t>
      </w:r>
    </w:p>
    <w:p w:rsidR="001B6EC2" w:rsidRDefault="001B6EC2" w:rsidP="00DC69F8">
      <w:pPr>
        <w:pStyle w:val="NICCYBodyText"/>
        <w:rPr>
          <w:lang w:val="en-US"/>
        </w:rPr>
      </w:pPr>
    </w:p>
    <w:p w:rsidR="001B6EC2" w:rsidRDefault="00DC69F8" w:rsidP="001B6EC2">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7138CC" w:rsidRDefault="007138CC" w:rsidP="001B6EC2">
      <w:pPr>
        <w:pStyle w:val="NICCYBodyText"/>
      </w:pPr>
    </w:p>
    <w:p w:rsidR="001B6EC2" w:rsidRPr="007138CC" w:rsidRDefault="001B6EC2" w:rsidP="00DC69F8">
      <w:pPr>
        <w:pStyle w:val="Heading2"/>
        <w:rPr>
          <w:rFonts w:eastAsiaTheme="minorEastAsia"/>
          <w:color w:val="23A4DE"/>
          <w:lang w:val="en-US"/>
        </w:rPr>
      </w:pPr>
      <w:bookmarkStart w:id="6" w:name="_Anti-Social_Behaviour_Orders"/>
      <w:bookmarkEnd w:id="6"/>
      <w:r w:rsidRPr="007138CC">
        <w:rPr>
          <w:rFonts w:eastAsiaTheme="minorEastAsia"/>
          <w:color w:val="23A4DE"/>
          <w:lang w:val="en-US"/>
        </w:rPr>
        <w:t>Anti-Social Behaviour Orders</w:t>
      </w:r>
    </w:p>
    <w:p w:rsidR="007138CC" w:rsidRDefault="001B6EC2" w:rsidP="00DC69F8">
      <w:pPr>
        <w:pStyle w:val="NICCYBodyText"/>
        <w:rPr>
          <w:lang w:val="en-US"/>
        </w:rPr>
      </w:pPr>
      <w:r>
        <w:rPr>
          <w:rFonts w:ascii="ITCFranklinGothicDemi" w:hAnsi="ITCFranklinGothicDemi" w:cs="ITCFranklinGothicDemi"/>
          <w:lang w:val="en-US"/>
        </w:rPr>
        <w:t xml:space="preserve">Lord Morrow </w:t>
      </w:r>
      <w:r>
        <w:rPr>
          <w:lang w:val="en-US"/>
        </w:rPr>
        <w:t xml:space="preserve">asked the Minister of Justice how many Anti-Social Behaviour Orders have been </w:t>
      </w:r>
    </w:p>
    <w:p w:rsidR="007138CC" w:rsidRDefault="001B6EC2" w:rsidP="007138CC">
      <w:pPr>
        <w:pStyle w:val="NICCYBodyText"/>
        <w:numPr>
          <w:ilvl w:val="0"/>
          <w:numId w:val="32"/>
        </w:numPr>
        <w:rPr>
          <w:lang w:val="en-US"/>
        </w:rPr>
      </w:pPr>
      <w:r>
        <w:rPr>
          <w:lang w:val="en-US"/>
        </w:rPr>
        <w:t xml:space="preserve">sought;and </w:t>
      </w:r>
    </w:p>
    <w:p w:rsidR="007138CC" w:rsidRDefault="001B6EC2" w:rsidP="007138CC">
      <w:pPr>
        <w:pStyle w:val="NICCYBodyText"/>
        <w:numPr>
          <w:ilvl w:val="0"/>
          <w:numId w:val="32"/>
        </w:numPr>
        <w:rPr>
          <w:lang w:val="en-US"/>
        </w:rPr>
      </w:pPr>
      <w:r>
        <w:rPr>
          <w:lang w:val="en-US"/>
        </w:rPr>
        <w:t xml:space="preserve">granted at Dungannon Court in each of the last two years to date, broken down by </w:t>
      </w:r>
      <w:r w:rsidR="007138CC">
        <w:rPr>
          <w:lang w:val="en-US"/>
        </w:rPr>
        <w:t>;</w:t>
      </w:r>
    </w:p>
    <w:p w:rsidR="007138CC" w:rsidRDefault="001B6EC2" w:rsidP="007138CC">
      <w:pPr>
        <w:pStyle w:val="NICCYBodyText"/>
        <w:ind w:left="1080"/>
        <w:rPr>
          <w:lang w:val="en-US"/>
        </w:rPr>
      </w:pPr>
      <w:r w:rsidRPr="007138CC">
        <w:rPr>
          <w:lang w:val="en-US"/>
        </w:rPr>
        <w:t>(a) Crown</w:t>
      </w:r>
      <w:r w:rsidR="007138CC">
        <w:rPr>
          <w:lang w:val="en-US"/>
        </w:rPr>
        <w:t xml:space="preserve"> </w:t>
      </w:r>
      <w:r>
        <w:rPr>
          <w:lang w:val="en-US"/>
        </w:rPr>
        <w:t xml:space="preserve">Court; </w:t>
      </w:r>
    </w:p>
    <w:p w:rsidR="007138CC" w:rsidRDefault="001B6EC2" w:rsidP="007138CC">
      <w:pPr>
        <w:pStyle w:val="NICCYBodyText"/>
        <w:ind w:left="1080"/>
        <w:rPr>
          <w:lang w:val="en-US"/>
        </w:rPr>
      </w:pPr>
      <w:r>
        <w:rPr>
          <w:lang w:val="en-US"/>
        </w:rPr>
        <w:t>(b) Magistrates Court; and</w:t>
      </w:r>
    </w:p>
    <w:p w:rsidR="001B6EC2" w:rsidRDefault="001B6EC2" w:rsidP="007138CC">
      <w:pPr>
        <w:pStyle w:val="NICCYBodyText"/>
        <w:ind w:left="1080"/>
        <w:rPr>
          <w:lang w:val="en-US"/>
        </w:rPr>
      </w:pPr>
      <w:r>
        <w:rPr>
          <w:lang w:val="en-US"/>
        </w:rPr>
        <w:t>(c) Youth Court.</w:t>
      </w:r>
    </w:p>
    <w:p w:rsidR="001B6EC2" w:rsidRDefault="001B6EC2" w:rsidP="00DC69F8">
      <w:pPr>
        <w:pStyle w:val="NICCYBodyText"/>
        <w:rPr>
          <w:rFonts w:ascii="ITCFranklinGothicDemi" w:hAnsi="ITCFranklinGothicDemi" w:cs="ITCFranklinGothicDemi"/>
          <w:lang w:val="en-US"/>
        </w:rPr>
      </w:pPr>
      <w:r>
        <w:rPr>
          <w:rFonts w:ascii="ITCFranklinGothicDemi" w:hAnsi="ITCFranklinGothicDemi" w:cs="ITCFranklinGothicDemi"/>
          <w:lang w:val="en-US"/>
        </w:rPr>
        <w:t>(AQW 33010/11-15)</w:t>
      </w:r>
    </w:p>
    <w:p w:rsidR="007138CC" w:rsidRDefault="007138CC" w:rsidP="00DC69F8">
      <w:pPr>
        <w:pStyle w:val="NICCYBodyText"/>
        <w:rPr>
          <w:rFonts w:ascii="ITCFranklinGothicDemi" w:hAnsi="ITCFranklinGothicDemi" w:cs="ITCFranklinGothicDemi"/>
          <w:lang w:val="en-US"/>
        </w:rPr>
      </w:pPr>
    </w:p>
    <w:p w:rsidR="001B6EC2" w:rsidRDefault="001B6EC2" w:rsidP="00DC69F8">
      <w:pPr>
        <w:pStyle w:val="NICCYBodyText"/>
        <w:rPr>
          <w:lang w:val="en-US"/>
        </w:rPr>
      </w:pPr>
      <w:r w:rsidRPr="007138CC">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The most up-to-date statistics from the Northern Ireland Courts and Tribunal Service show</w:t>
      </w:r>
      <w:r w:rsidR="007138CC">
        <w:rPr>
          <w:lang w:val="en-US"/>
        </w:rPr>
        <w:t xml:space="preserve"> </w:t>
      </w:r>
      <w:r>
        <w:rPr>
          <w:lang w:val="en-US"/>
        </w:rPr>
        <w:t>that there have been no applications for an Anti-Social Behaviour Order and no Anti-Social Behaviour</w:t>
      </w:r>
      <w:r w:rsidR="007138CC">
        <w:rPr>
          <w:lang w:val="en-US"/>
        </w:rPr>
        <w:t xml:space="preserve"> </w:t>
      </w:r>
      <w:r>
        <w:rPr>
          <w:lang w:val="en-US"/>
        </w:rPr>
        <w:t>Orders made at the Crown Court, Adult Magistrates’ Court or Youth Magistrates’ Court in Dungannon</w:t>
      </w:r>
      <w:r w:rsidR="007138CC">
        <w:rPr>
          <w:lang w:val="en-US"/>
        </w:rPr>
        <w:t xml:space="preserve"> </w:t>
      </w:r>
      <w:r>
        <w:rPr>
          <w:lang w:val="en-US"/>
        </w:rPr>
        <w:t>during either 2012 or 2013.</w:t>
      </w:r>
    </w:p>
    <w:p w:rsidR="007138CC" w:rsidRDefault="007138CC" w:rsidP="00DC69F8">
      <w:pPr>
        <w:pStyle w:val="NICCYBodyText"/>
        <w:rPr>
          <w:lang w:val="en-US"/>
        </w:rPr>
      </w:pPr>
    </w:p>
    <w:p w:rsidR="007138CC" w:rsidRDefault="007138CC" w:rsidP="007138CC">
      <w:pPr>
        <w:pStyle w:val="NICCYBodyText"/>
        <w:rPr>
          <w:rFonts w:ascii="ITCFranklinGothicBook" w:hAnsi="ITCFranklinGothicBook" w:cs="ITCFranklinGothicBook"/>
          <w:lang w:val="en-US"/>
        </w:rPr>
      </w:pPr>
      <w:hyperlink w:anchor="_top" w:history="1">
        <w:r w:rsidRPr="007715F2">
          <w:rPr>
            <w:rStyle w:val="Hyperlink"/>
          </w:rPr>
          <w:t>Back to</w:t>
        </w:r>
        <w:r w:rsidRPr="007715F2">
          <w:rPr>
            <w:rStyle w:val="Hyperlink"/>
          </w:rPr>
          <w:t xml:space="preserve"> </w:t>
        </w:r>
        <w:r w:rsidRPr="007715F2">
          <w:rPr>
            <w:rStyle w:val="Hyperlink"/>
          </w:rPr>
          <w:t>T</w:t>
        </w:r>
        <w:r w:rsidRPr="007715F2">
          <w:rPr>
            <w:rStyle w:val="Hyperlink"/>
          </w:rPr>
          <w:t>op</w:t>
        </w:r>
      </w:hyperlink>
    </w:p>
    <w:p w:rsidR="007138CC" w:rsidRDefault="007138CC" w:rsidP="00DC69F8">
      <w:pPr>
        <w:pStyle w:val="NICCYBodyText"/>
        <w:rPr>
          <w:lang w:val="en-US"/>
        </w:rPr>
      </w:pPr>
    </w:p>
    <w:p w:rsidR="007138CC" w:rsidRDefault="007138CC" w:rsidP="00DC69F8">
      <w:pPr>
        <w:pStyle w:val="NICCYBodyText"/>
        <w:rPr>
          <w:lang w:val="en-US"/>
        </w:rPr>
      </w:pPr>
    </w:p>
    <w:p w:rsidR="007138CC" w:rsidRDefault="007138CC" w:rsidP="00DC69F8">
      <w:pPr>
        <w:pStyle w:val="NICCYBodyText"/>
        <w:rPr>
          <w:lang w:val="en-US"/>
        </w:rPr>
      </w:pPr>
    </w:p>
    <w:p w:rsidR="007138CC" w:rsidRDefault="007138CC" w:rsidP="00DC69F8">
      <w:pPr>
        <w:pStyle w:val="NICCYBodyText"/>
        <w:rPr>
          <w:lang w:val="en-US"/>
        </w:rPr>
      </w:pPr>
    </w:p>
    <w:p w:rsidR="001B6EC2" w:rsidRPr="007138CC" w:rsidRDefault="001B6EC2" w:rsidP="007138CC">
      <w:pPr>
        <w:pStyle w:val="Heading2"/>
        <w:rPr>
          <w:rFonts w:eastAsiaTheme="minorEastAsia"/>
          <w:color w:val="23A4DE"/>
          <w:lang w:val="en-US"/>
        </w:rPr>
      </w:pPr>
      <w:bookmarkStart w:id="7" w:name="_Legal_Aid_Bill"/>
      <w:bookmarkEnd w:id="7"/>
      <w:r w:rsidRPr="007138CC">
        <w:rPr>
          <w:rFonts w:eastAsiaTheme="minorEastAsia"/>
          <w:color w:val="23A4DE"/>
          <w:lang w:val="en-US"/>
        </w:rPr>
        <w:lastRenderedPageBreak/>
        <w:t>Legal Aid Bill</w:t>
      </w:r>
    </w:p>
    <w:p w:rsidR="001B6EC2" w:rsidRDefault="001B6EC2" w:rsidP="007138CC">
      <w:pPr>
        <w:pStyle w:val="NICCYBodyText"/>
        <w:rPr>
          <w:lang w:val="en-US"/>
        </w:rPr>
      </w:pPr>
      <w:r>
        <w:rPr>
          <w:rFonts w:ascii="ITCFranklinGothicDemi" w:hAnsi="ITCFranklinGothicDemi" w:cs="ITCFranklinGothicDemi"/>
          <w:lang w:val="en-US"/>
        </w:rPr>
        <w:t xml:space="preserve">Lord Morrow </w:t>
      </w:r>
      <w:r>
        <w:rPr>
          <w:lang w:val="en-US"/>
        </w:rPr>
        <w:t>asked the Minister of Justice whether he will give further consideration to percentage</w:t>
      </w:r>
      <w:r w:rsidR="007138CC">
        <w:rPr>
          <w:lang w:val="en-US"/>
        </w:rPr>
        <w:t xml:space="preserve"> </w:t>
      </w:r>
      <w:r>
        <w:rPr>
          <w:lang w:val="en-US"/>
        </w:rPr>
        <w:t>costs being built into cases where Legal Aid has been granted in an effort to off-set the overall</w:t>
      </w:r>
      <w:r w:rsidR="007138CC">
        <w:rPr>
          <w:lang w:val="en-US"/>
        </w:rPr>
        <w:t xml:space="preserve"> </w:t>
      </w:r>
      <w:r>
        <w:rPr>
          <w:lang w:val="en-US"/>
        </w:rPr>
        <w:t>Legal Aid bill, similar to the case as detailed in the Northern Echo on 8 April 2014 in which following</w:t>
      </w:r>
      <w:r w:rsidR="007138CC">
        <w:rPr>
          <w:lang w:val="en-US"/>
        </w:rPr>
        <w:t xml:space="preserve"> </w:t>
      </w:r>
      <w:r>
        <w:rPr>
          <w:lang w:val="en-US"/>
        </w:rPr>
        <w:t>conviction a youth was sentenced to a nine month referral order, as well as paying £85 costs plus a</w:t>
      </w:r>
      <w:r w:rsidR="007138CC">
        <w:rPr>
          <w:lang w:val="en-US"/>
        </w:rPr>
        <w:t xml:space="preserve"> </w:t>
      </w:r>
      <w:r>
        <w:rPr>
          <w:lang w:val="en-US"/>
        </w:rPr>
        <w:t>£15 victim surcharge.</w:t>
      </w:r>
    </w:p>
    <w:p w:rsidR="001B6EC2" w:rsidRDefault="001B6EC2" w:rsidP="007138CC">
      <w:pPr>
        <w:pStyle w:val="NICCYBodyText"/>
        <w:rPr>
          <w:rFonts w:ascii="ITCFranklinGothicDemi" w:hAnsi="ITCFranklinGothicDemi" w:cs="ITCFranklinGothicDemi"/>
          <w:lang w:val="en-US"/>
        </w:rPr>
      </w:pPr>
      <w:r>
        <w:rPr>
          <w:rFonts w:ascii="ITCFranklinGothicDemi" w:hAnsi="ITCFranklinGothicDemi" w:cs="ITCFranklinGothicDemi"/>
          <w:lang w:val="en-US"/>
        </w:rPr>
        <w:t>(AQW 33103/11-15)</w:t>
      </w:r>
    </w:p>
    <w:p w:rsidR="007138CC" w:rsidRDefault="007138CC" w:rsidP="007138CC">
      <w:pPr>
        <w:pStyle w:val="NICCYBodyText"/>
        <w:rPr>
          <w:rFonts w:ascii="ITCFranklinGothicDemi" w:hAnsi="ITCFranklinGothicDemi" w:cs="ITCFranklinGothicDemi"/>
          <w:lang w:val="en-US"/>
        </w:rPr>
      </w:pPr>
    </w:p>
    <w:p w:rsidR="007138CC" w:rsidRDefault="001B6EC2" w:rsidP="007138CC">
      <w:pPr>
        <w:pStyle w:val="NICCYBodyText"/>
        <w:rPr>
          <w:lang w:val="en-US"/>
        </w:rPr>
      </w:pPr>
      <w:r w:rsidRPr="007138CC">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I do not propose at this stage to give further consideration to percentage costs being built</w:t>
      </w:r>
      <w:r w:rsidR="007138CC">
        <w:rPr>
          <w:lang w:val="en-US"/>
        </w:rPr>
        <w:t xml:space="preserve"> </w:t>
      </w:r>
      <w:r>
        <w:rPr>
          <w:lang w:val="en-US"/>
        </w:rPr>
        <w:t xml:space="preserve">into cases where legal aid has been granted, but I will </w:t>
      </w:r>
      <w:r w:rsidR="007138CC">
        <w:rPr>
          <w:lang w:val="en-US"/>
        </w:rPr>
        <w:t xml:space="preserve">keep the position under review.  </w:t>
      </w:r>
    </w:p>
    <w:p w:rsidR="007138CC" w:rsidRDefault="007138CC" w:rsidP="007138CC">
      <w:pPr>
        <w:pStyle w:val="NICCYBodyText"/>
        <w:rPr>
          <w:lang w:val="en-US"/>
        </w:rPr>
      </w:pPr>
    </w:p>
    <w:p w:rsidR="001B6EC2" w:rsidRDefault="001B6EC2" w:rsidP="007138CC">
      <w:pPr>
        <w:pStyle w:val="NICCYBodyText"/>
        <w:rPr>
          <w:lang w:val="en-US"/>
        </w:rPr>
      </w:pPr>
      <w:r>
        <w:rPr>
          <w:lang w:val="en-US"/>
        </w:rPr>
        <w:t>In my response</w:t>
      </w:r>
      <w:r w:rsidR="007138CC">
        <w:rPr>
          <w:lang w:val="en-US"/>
        </w:rPr>
        <w:t xml:space="preserve"> </w:t>
      </w:r>
      <w:r>
        <w:rPr>
          <w:lang w:val="en-US"/>
        </w:rPr>
        <w:t>to your earlier question, AQW/28637/11-15, I indicated that enforcing the payment of further costs</w:t>
      </w:r>
      <w:r w:rsidR="007138CC">
        <w:rPr>
          <w:lang w:val="en-US"/>
        </w:rPr>
        <w:t xml:space="preserve"> </w:t>
      </w:r>
      <w:r>
        <w:rPr>
          <w:lang w:val="en-US"/>
        </w:rPr>
        <w:t>would come at a cost to the fund which is currently unknown.</w:t>
      </w:r>
    </w:p>
    <w:p w:rsidR="001B6EC2" w:rsidRDefault="001B6EC2" w:rsidP="007138CC">
      <w:pPr>
        <w:pStyle w:val="NICCYBodyText"/>
        <w:rPr>
          <w:lang w:val="en-US"/>
        </w:rPr>
      </w:pPr>
      <w:r>
        <w:rPr>
          <w:lang w:val="en-US"/>
        </w:rPr>
        <w:t>The High Court has ruled recently that, where a defendant defaults in the payment of a monetary</w:t>
      </w:r>
      <w:r w:rsidR="007138CC">
        <w:rPr>
          <w:lang w:val="en-US"/>
        </w:rPr>
        <w:t xml:space="preserve"> </w:t>
      </w:r>
      <w:r>
        <w:rPr>
          <w:lang w:val="en-US"/>
        </w:rPr>
        <w:t>penalty he must be given the opportunity to attend a hearing to make whatever representation he</w:t>
      </w:r>
      <w:r w:rsidR="007138CC">
        <w:rPr>
          <w:lang w:val="en-US"/>
        </w:rPr>
        <w:t xml:space="preserve"> </w:t>
      </w:r>
      <w:r>
        <w:rPr>
          <w:lang w:val="en-US"/>
        </w:rPr>
        <w:t>considers appropriate when im</w:t>
      </w:r>
      <w:r w:rsidR="007138CC">
        <w:rPr>
          <w:lang w:val="en-US"/>
        </w:rPr>
        <w:t xml:space="preserve">prisonment is being considered.  </w:t>
      </w:r>
      <w:r>
        <w:rPr>
          <w:lang w:val="en-US"/>
        </w:rPr>
        <w:t>Where a defendant has insufficient</w:t>
      </w:r>
      <w:r w:rsidR="007138CC">
        <w:rPr>
          <w:lang w:val="en-US"/>
        </w:rPr>
        <w:t xml:space="preserve"> </w:t>
      </w:r>
      <w:r>
        <w:rPr>
          <w:lang w:val="en-US"/>
        </w:rPr>
        <w:t xml:space="preserve">funds to pay for his own representation at this hearing he </w:t>
      </w:r>
      <w:r w:rsidR="007138CC">
        <w:rPr>
          <w:lang w:val="en-US"/>
        </w:rPr>
        <w:t xml:space="preserve">would be entitled to legal aid.  </w:t>
      </w:r>
      <w:r>
        <w:rPr>
          <w:lang w:val="en-US"/>
        </w:rPr>
        <w:t>In many cases</w:t>
      </w:r>
      <w:r w:rsidR="007138CC">
        <w:rPr>
          <w:lang w:val="en-US"/>
        </w:rPr>
        <w:t xml:space="preserve"> </w:t>
      </w:r>
      <w:r>
        <w:rPr>
          <w:lang w:val="en-US"/>
        </w:rPr>
        <w:t>the cost of representation at the hearing could significantly outweigh the amount to be recovered.</w:t>
      </w:r>
    </w:p>
    <w:p w:rsidR="001B6EC2" w:rsidRDefault="001B6EC2" w:rsidP="001B6EC2">
      <w:pPr>
        <w:pStyle w:val="NICCYBodyText"/>
        <w:rPr>
          <w:rFonts w:ascii="ITCFranklinGothicBook" w:hAnsi="ITCFranklinGothicBook" w:cs="ITCFranklinGothicBook"/>
          <w:lang w:val="en-US"/>
        </w:rPr>
      </w:pPr>
    </w:p>
    <w:p w:rsidR="001B6EC2" w:rsidRDefault="001B6EC2" w:rsidP="001B6EC2">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1B6EC2" w:rsidRDefault="001B6EC2" w:rsidP="00F3229A">
      <w:pPr>
        <w:pStyle w:val="NICCYHeading"/>
      </w:pPr>
    </w:p>
    <w:sectPr w:rsidR="001B6EC2" w:rsidSect="002B54AF">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8CC" w:rsidRDefault="007138CC" w:rsidP="00CC53D4">
      <w:r>
        <w:separator/>
      </w:r>
    </w:p>
  </w:endnote>
  <w:endnote w:type="continuationSeparator" w:id="0">
    <w:p w:rsidR="007138CC" w:rsidRDefault="007138C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CC" w:rsidRDefault="007138CC"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138CC" w:rsidRDefault="007138CC"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CC" w:rsidRPr="00D81956" w:rsidRDefault="007138CC"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9D179C">
      <w:rPr>
        <w:rStyle w:val="PageNumber"/>
        <w:rFonts w:ascii="Arial" w:hAnsi="Arial" w:cs="Arial"/>
        <w:noProof/>
        <w:sz w:val="16"/>
        <w:szCs w:val="16"/>
      </w:rPr>
      <w:t>1</w:t>
    </w:r>
    <w:r w:rsidRPr="00D81956">
      <w:rPr>
        <w:rStyle w:val="PageNumber"/>
        <w:rFonts w:ascii="Arial" w:hAnsi="Arial" w:cs="Arial"/>
        <w:sz w:val="16"/>
        <w:szCs w:val="16"/>
      </w:rPr>
      <w:fldChar w:fldCharType="end"/>
    </w:r>
  </w:p>
  <w:p w:rsidR="007138CC" w:rsidRPr="00D81956" w:rsidRDefault="007138CC"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7138CC" w:rsidRDefault="007138CC"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7138CC" w:rsidRDefault="007138CC"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7138CC" w:rsidRDefault="007138CC"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7138CC" w:rsidRDefault="007138CC"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7138CC" w:rsidRDefault="007138CC"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8CC" w:rsidRDefault="007138CC" w:rsidP="00CC53D4">
      <w:r>
        <w:separator/>
      </w:r>
    </w:p>
  </w:footnote>
  <w:footnote w:type="continuationSeparator" w:id="0">
    <w:p w:rsidR="007138CC" w:rsidRDefault="007138C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7138CC" w:rsidTr="000D52AB">
      <w:tc>
        <w:tcPr>
          <w:tcW w:w="5027" w:type="dxa"/>
          <w:shd w:val="clear" w:color="auto" w:fill="auto"/>
        </w:tcPr>
        <w:p w:rsidR="007138CC" w:rsidRDefault="007138CC" w:rsidP="00CC53D4">
          <w:pPr>
            <w:pStyle w:val="CompanyName"/>
          </w:pPr>
        </w:p>
      </w:tc>
      <w:tc>
        <w:tcPr>
          <w:tcW w:w="4855" w:type="dxa"/>
          <w:shd w:val="clear" w:color="auto" w:fill="auto"/>
        </w:tcPr>
        <w:p w:rsidR="007138CC" w:rsidRDefault="007138CC" w:rsidP="00CC53D4">
          <w:pPr>
            <w:pStyle w:val="CompanyName"/>
          </w:pPr>
        </w:p>
      </w:tc>
    </w:tr>
  </w:tbl>
  <w:p w:rsidR="007138CC" w:rsidRDefault="007138CC"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E8"/>
    <w:multiLevelType w:val="hybridMultilevel"/>
    <w:tmpl w:val="87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F1810"/>
    <w:multiLevelType w:val="hybridMultilevel"/>
    <w:tmpl w:val="3E7466BC"/>
    <w:lvl w:ilvl="0" w:tplc="FB4AF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910CA"/>
    <w:multiLevelType w:val="hybridMultilevel"/>
    <w:tmpl w:val="C06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7441D"/>
    <w:multiLevelType w:val="hybridMultilevel"/>
    <w:tmpl w:val="666CB80E"/>
    <w:lvl w:ilvl="0" w:tplc="8AC41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9"/>
  </w:num>
  <w:num w:numId="4">
    <w:abstractNumId w:val="29"/>
  </w:num>
  <w:num w:numId="5">
    <w:abstractNumId w:val="24"/>
  </w:num>
  <w:num w:numId="6">
    <w:abstractNumId w:val="25"/>
  </w:num>
  <w:num w:numId="7">
    <w:abstractNumId w:val="20"/>
  </w:num>
  <w:num w:numId="8">
    <w:abstractNumId w:val="14"/>
  </w:num>
  <w:num w:numId="9">
    <w:abstractNumId w:val="1"/>
  </w:num>
  <w:num w:numId="10">
    <w:abstractNumId w:val="23"/>
  </w:num>
  <w:num w:numId="11">
    <w:abstractNumId w:val="15"/>
  </w:num>
  <w:num w:numId="12">
    <w:abstractNumId w:val="4"/>
  </w:num>
  <w:num w:numId="13">
    <w:abstractNumId w:val="12"/>
  </w:num>
  <w:num w:numId="14">
    <w:abstractNumId w:val="16"/>
  </w:num>
  <w:num w:numId="15">
    <w:abstractNumId w:val="18"/>
  </w:num>
  <w:num w:numId="16">
    <w:abstractNumId w:val="17"/>
  </w:num>
  <w:num w:numId="17">
    <w:abstractNumId w:val="5"/>
  </w:num>
  <w:num w:numId="18">
    <w:abstractNumId w:val="7"/>
  </w:num>
  <w:num w:numId="19">
    <w:abstractNumId w:val="21"/>
  </w:num>
  <w:num w:numId="20">
    <w:abstractNumId w:val="6"/>
  </w:num>
  <w:num w:numId="21">
    <w:abstractNumId w:val="30"/>
  </w:num>
  <w:num w:numId="22">
    <w:abstractNumId w:val="26"/>
  </w:num>
  <w:num w:numId="23">
    <w:abstractNumId w:val="8"/>
  </w:num>
  <w:num w:numId="24">
    <w:abstractNumId w:val="10"/>
  </w:num>
  <w:num w:numId="25">
    <w:abstractNumId w:val="13"/>
  </w:num>
  <w:num w:numId="26">
    <w:abstractNumId w:val="22"/>
  </w:num>
  <w:num w:numId="27">
    <w:abstractNumId w:val="2"/>
  </w:num>
  <w:num w:numId="28">
    <w:abstractNumId w:val="3"/>
  </w:num>
  <w:num w:numId="29">
    <w:abstractNumId w:val="19"/>
  </w:num>
  <w:num w:numId="30">
    <w:abstractNumId w:val="0"/>
  </w:num>
  <w:num w:numId="31">
    <w:abstractNumId w:val="31"/>
  </w:num>
  <w:num w:numId="3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4FA"/>
    <w:rsid w:val="000837F5"/>
    <w:rsid w:val="00093189"/>
    <w:rsid w:val="000B7622"/>
    <w:rsid w:val="000D2AEB"/>
    <w:rsid w:val="000D52AB"/>
    <w:rsid w:val="000E415A"/>
    <w:rsid w:val="000F1CDD"/>
    <w:rsid w:val="000F7DDE"/>
    <w:rsid w:val="00110962"/>
    <w:rsid w:val="00115282"/>
    <w:rsid w:val="001324EB"/>
    <w:rsid w:val="00133E56"/>
    <w:rsid w:val="00135AEE"/>
    <w:rsid w:val="00136B0B"/>
    <w:rsid w:val="0014006E"/>
    <w:rsid w:val="00142718"/>
    <w:rsid w:val="00152D28"/>
    <w:rsid w:val="00162F1C"/>
    <w:rsid w:val="0017007C"/>
    <w:rsid w:val="0017312A"/>
    <w:rsid w:val="00190478"/>
    <w:rsid w:val="001911A0"/>
    <w:rsid w:val="001936E2"/>
    <w:rsid w:val="001B1E34"/>
    <w:rsid w:val="001B6EC2"/>
    <w:rsid w:val="001C3FD9"/>
    <w:rsid w:val="001E0551"/>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313EA"/>
    <w:rsid w:val="00342A06"/>
    <w:rsid w:val="003505C8"/>
    <w:rsid w:val="00394F1A"/>
    <w:rsid w:val="003A1BB8"/>
    <w:rsid w:val="003B0C0B"/>
    <w:rsid w:val="003E6232"/>
    <w:rsid w:val="003F5501"/>
    <w:rsid w:val="00414AF9"/>
    <w:rsid w:val="00432B30"/>
    <w:rsid w:val="00451456"/>
    <w:rsid w:val="00483941"/>
    <w:rsid w:val="00490ABC"/>
    <w:rsid w:val="00494024"/>
    <w:rsid w:val="004C026E"/>
    <w:rsid w:val="004F785C"/>
    <w:rsid w:val="0050043B"/>
    <w:rsid w:val="00502CBF"/>
    <w:rsid w:val="0052135F"/>
    <w:rsid w:val="00534EB5"/>
    <w:rsid w:val="00542EC1"/>
    <w:rsid w:val="00546DA4"/>
    <w:rsid w:val="005525FB"/>
    <w:rsid w:val="00560EC9"/>
    <w:rsid w:val="005776FA"/>
    <w:rsid w:val="00594766"/>
    <w:rsid w:val="005C465F"/>
    <w:rsid w:val="005C4D0D"/>
    <w:rsid w:val="005E6076"/>
    <w:rsid w:val="005F4C21"/>
    <w:rsid w:val="005F5FAB"/>
    <w:rsid w:val="006013F5"/>
    <w:rsid w:val="006240F5"/>
    <w:rsid w:val="0062524B"/>
    <w:rsid w:val="00635A59"/>
    <w:rsid w:val="006373CF"/>
    <w:rsid w:val="00655558"/>
    <w:rsid w:val="006608EA"/>
    <w:rsid w:val="00671F7C"/>
    <w:rsid w:val="006754C4"/>
    <w:rsid w:val="00676A55"/>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51ADC"/>
    <w:rsid w:val="007526F9"/>
    <w:rsid w:val="0076185E"/>
    <w:rsid w:val="00764644"/>
    <w:rsid w:val="00773FE9"/>
    <w:rsid w:val="00775C69"/>
    <w:rsid w:val="007764FD"/>
    <w:rsid w:val="007902A6"/>
    <w:rsid w:val="007910C9"/>
    <w:rsid w:val="007915E7"/>
    <w:rsid w:val="007A5E2D"/>
    <w:rsid w:val="007B6113"/>
    <w:rsid w:val="007C183C"/>
    <w:rsid w:val="007D1642"/>
    <w:rsid w:val="008131FD"/>
    <w:rsid w:val="00815A2F"/>
    <w:rsid w:val="00831BDB"/>
    <w:rsid w:val="008578C9"/>
    <w:rsid w:val="008654D4"/>
    <w:rsid w:val="00873EBD"/>
    <w:rsid w:val="008822D4"/>
    <w:rsid w:val="008860ED"/>
    <w:rsid w:val="00894865"/>
    <w:rsid w:val="008A31A5"/>
    <w:rsid w:val="008A32FE"/>
    <w:rsid w:val="008B4F31"/>
    <w:rsid w:val="008E3945"/>
    <w:rsid w:val="008F3863"/>
    <w:rsid w:val="009108C4"/>
    <w:rsid w:val="00922E3B"/>
    <w:rsid w:val="00922EB4"/>
    <w:rsid w:val="00951984"/>
    <w:rsid w:val="00955B1B"/>
    <w:rsid w:val="009560AE"/>
    <w:rsid w:val="009675A2"/>
    <w:rsid w:val="00971DFA"/>
    <w:rsid w:val="00977BED"/>
    <w:rsid w:val="00997DF0"/>
    <w:rsid w:val="009A5DED"/>
    <w:rsid w:val="009C3AA7"/>
    <w:rsid w:val="009D134E"/>
    <w:rsid w:val="009D179C"/>
    <w:rsid w:val="009D7DCD"/>
    <w:rsid w:val="009E6D40"/>
    <w:rsid w:val="00A03AF5"/>
    <w:rsid w:val="00A17E57"/>
    <w:rsid w:val="00A206DA"/>
    <w:rsid w:val="00A468ED"/>
    <w:rsid w:val="00A57C15"/>
    <w:rsid w:val="00A66FCA"/>
    <w:rsid w:val="00A70F96"/>
    <w:rsid w:val="00A80E8D"/>
    <w:rsid w:val="00A870AC"/>
    <w:rsid w:val="00A92D13"/>
    <w:rsid w:val="00A971BA"/>
    <w:rsid w:val="00AA15B0"/>
    <w:rsid w:val="00AA2943"/>
    <w:rsid w:val="00AC7EF9"/>
    <w:rsid w:val="00AD4064"/>
    <w:rsid w:val="00AD6E4D"/>
    <w:rsid w:val="00B04461"/>
    <w:rsid w:val="00B13ED0"/>
    <w:rsid w:val="00B23B32"/>
    <w:rsid w:val="00B356B1"/>
    <w:rsid w:val="00B51076"/>
    <w:rsid w:val="00B5127A"/>
    <w:rsid w:val="00B5656D"/>
    <w:rsid w:val="00B63A85"/>
    <w:rsid w:val="00B906EB"/>
    <w:rsid w:val="00BA0F69"/>
    <w:rsid w:val="00BA2319"/>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A27CA"/>
    <w:rsid w:val="00CB450B"/>
    <w:rsid w:val="00CC2DCC"/>
    <w:rsid w:val="00CC488F"/>
    <w:rsid w:val="00CC53D4"/>
    <w:rsid w:val="00CC7A32"/>
    <w:rsid w:val="00CE29B6"/>
    <w:rsid w:val="00CF0D19"/>
    <w:rsid w:val="00CF702F"/>
    <w:rsid w:val="00D13D8B"/>
    <w:rsid w:val="00D26C7C"/>
    <w:rsid w:val="00D26EFB"/>
    <w:rsid w:val="00D366DD"/>
    <w:rsid w:val="00D531C5"/>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493"/>
    <w:rsid w:val="00E531E2"/>
    <w:rsid w:val="00E62C60"/>
    <w:rsid w:val="00E65508"/>
    <w:rsid w:val="00E84CEC"/>
    <w:rsid w:val="00E85371"/>
    <w:rsid w:val="00EA55B7"/>
    <w:rsid w:val="00EB7847"/>
    <w:rsid w:val="00ED0BC6"/>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2C5D-A497-4869-B82B-34559647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2014-05-12T12:55:00Z</dcterms:created>
  <dcterms:modified xsi:type="dcterms:W3CDTF">2014-05-12T13:29:00Z</dcterms:modified>
</cp:coreProperties>
</file>