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Written Assembly Questions Friday</w:t>
      </w:r>
      <w:r w:rsidR="001C3FD9">
        <w:t xml:space="preserve"> </w:t>
      </w:r>
      <w:r w:rsidR="00E84839">
        <w:t>11</w:t>
      </w:r>
      <w:r w:rsidR="009B1AF6">
        <w:t>th July, 2014</w:t>
      </w:r>
      <w:bookmarkStart w:id="0" w:name="_Support_for_Religious"/>
      <w:bookmarkEnd w:id="0"/>
    </w:p>
    <w:p w:rsidR="00E84839" w:rsidRDefault="00E84839" w:rsidP="00F875F8">
      <w:pPr>
        <w:pStyle w:val="NICCYHeading"/>
      </w:pPr>
    </w:p>
    <w:p w:rsidR="00E84839" w:rsidRDefault="00E84839" w:rsidP="0018348D">
      <w:pPr>
        <w:pStyle w:val="Heading2"/>
        <w:numPr>
          <w:ilvl w:val="0"/>
          <w:numId w:val="1"/>
        </w:numPr>
        <w:rPr>
          <w:color w:val="23A4DE"/>
          <w:lang w:val="en-US"/>
        </w:rPr>
      </w:pPr>
      <w:hyperlink w:anchor="_Survivors_and_Victims" w:history="1">
        <w:r w:rsidRPr="00E84839">
          <w:rPr>
            <w:color w:val="23A4DE"/>
            <w:lang w:val="en-US"/>
          </w:rPr>
          <w:t>Sur</w:t>
        </w:r>
        <w:r w:rsidRPr="00E84839">
          <w:rPr>
            <w:color w:val="23A4DE"/>
            <w:lang w:val="en-US"/>
          </w:rPr>
          <w:t>v</w:t>
        </w:r>
        <w:r w:rsidRPr="00E84839">
          <w:rPr>
            <w:color w:val="23A4DE"/>
            <w:lang w:val="en-US"/>
          </w:rPr>
          <w:t>iv</w:t>
        </w:r>
        <w:r w:rsidRPr="00E84839">
          <w:rPr>
            <w:color w:val="23A4DE"/>
            <w:lang w:val="en-US"/>
          </w:rPr>
          <w:t>o</w:t>
        </w:r>
        <w:r w:rsidRPr="00E84839">
          <w:rPr>
            <w:color w:val="23A4DE"/>
            <w:lang w:val="en-US"/>
          </w:rPr>
          <w:t>r</w:t>
        </w:r>
        <w:r w:rsidRPr="00E84839">
          <w:rPr>
            <w:color w:val="23A4DE"/>
            <w:lang w:val="en-US"/>
          </w:rPr>
          <w:t>s</w:t>
        </w:r>
        <w:r w:rsidRPr="00E84839">
          <w:rPr>
            <w:color w:val="23A4DE"/>
            <w:lang w:val="en-US"/>
          </w:rPr>
          <w:t xml:space="preserve"> </w:t>
        </w:r>
        <w:r w:rsidRPr="00E84839">
          <w:rPr>
            <w:color w:val="23A4DE"/>
            <w:lang w:val="en-US"/>
          </w:rPr>
          <w:t>an</w:t>
        </w:r>
        <w:r w:rsidRPr="00E84839">
          <w:rPr>
            <w:color w:val="23A4DE"/>
            <w:lang w:val="en-US"/>
          </w:rPr>
          <w:t>d</w:t>
        </w:r>
        <w:r w:rsidRPr="00E84839">
          <w:rPr>
            <w:color w:val="23A4DE"/>
            <w:lang w:val="en-US"/>
          </w:rPr>
          <w:t xml:space="preserve"> V</w:t>
        </w:r>
        <w:r w:rsidRPr="00E84839">
          <w:rPr>
            <w:color w:val="23A4DE"/>
            <w:lang w:val="en-US"/>
          </w:rPr>
          <w:t>i</w:t>
        </w:r>
        <w:r w:rsidRPr="00E84839">
          <w:rPr>
            <w:color w:val="23A4DE"/>
            <w:lang w:val="en-US"/>
          </w:rPr>
          <w:t>c</w:t>
        </w:r>
        <w:r w:rsidRPr="00E84839">
          <w:rPr>
            <w:color w:val="23A4DE"/>
            <w:lang w:val="en-US"/>
          </w:rPr>
          <w:t>t</w:t>
        </w:r>
        <w:r w:rsidRPr="00E84839">
          <w:rPr>
            <w:color w:val="23A4DE"/>
            <w:lang w:val="en-US"/>
          </w:rPr>
          <w:t>i</w:t>
        </w:r>
        <w:r w:rsidRPr="00E84839">
          <w:rPr>
            <w:color w:val="23A4DE"/>
            <w:lang w:val="en-US"/>
          </w:rPr>
          <w:t>m</w:t>
        </w:r>
        <w:r w:rsidRPr="00E84839">
          <w:rPr>
            <w:color w:val="23A4DE"/>
            <w:lang w:val="en-US"/>
          </w:rPr>
          <w:t>s</w:t>
        </w:r>
        <w:r w:rsidRPr="00E84839">
          <w:rPr>
            <w:color w:val="23A4DE"/>
            <w:lang w:val="en-US"/>
          </w:rPr>
          <w:t xml:space="preserve"> </w:t>
        </w:r>
        <w:r w:rsidRPr="00E84839">
          <w:rPr>
            <w:color w:val="23A4DE"/>
            <w:lang w:val="en-US"/>
          </w:rPr>
          <w:t>o</w:t>
        </w:r>
        <w:r w:rsidRPr="00E84839">
          <w:rPr>
            <w:color w:val="23A4DE"/>
            <w:lang w:val="en-US"/>
          </w:rPr>
          <w:t>f</w:t>
        </w:r>
        <w:r w:rsidRPr="00E84839">
          <w:rPr>
            <w:color w:val="23A4DE"/>
            <w:lang w:val="en-US"/>
          </w:rPr>
          <w:t xml:space="preserve"> Institutional Abuse</w:t>
        </w:r>
      </w:hyperlink>
    </w:p>
    <w:p w:rsidR="001C021B" w:rsidRDefault="001C021B" w:rsidP="001C021B">
      <w:pPr>
        <w:rPr>
          <w:lang w:val="en-US"/>
        </w:rPr>
      </w:pPr>
    </w:p>
    <w:p w:rsidR="001C021B" w:rsidRDefault="001C021B" w:rsidP="0018348D">
      <w:pPr>
        <w:pStyle w:val="Heading2"/>
        <w:numPr>
          <w:ilvl w:val="0"/>
          <w:numId w:val="1"/>
        </w:numPr>
        <w:rPr>
          <w:color w:val="23A4DE"/>
          <w:lang w:val="en-US"/>
        </w:rPr>
      </w:pPr>
      <w:hyperlink w:anchor="_Survivors_and_Victims_1" w:history="1">
        <w:r w:rsidRPr="001C021B">
          <w:rPr>
            <w:color w:val="23A4DE"/>
            <w:lang w:val="en-US"/>
          </w:rPr>
          <w:t>Survivors and V</w:t>
        </w:r>
        <w:r w:rsidRPr="001C021B">
          <w:rPr>
            <w:color w:val="23A4DE"/>
            <w:lang w:val="en-US"/>
          </w:rPr>
          <w:t>i</w:t>
        </w:r>
        <w:r w:rsidRPr="001C021B">
          <w:rPr>
            <w:color w:val="23A4DE"/>
            <w:lang w:val="en-US"/>
          </w:rPr>
          <w:t>ctims of Historical Abuse</w:t>
        </w:r>
      </w:hyperlink>
    </w:p>
    <w:p w:rsidR="001C021B" w:rsidRDefault="001C021B" w:rsidP="001C021B">
      <w:pPr>
        <w:rPr>
          <w:lang w:val="en-US"/>
        </w:rPr>
      </w:pPr>
    </w:p>
    <w:p w:rsidR="001C021B" w:rsidRDefault="001C021B" w:rsidP="0018348D">
      <w:pPr>
        <w:pStyle w:val="Heading2"/>
        <w:numPr>
          <w:ilvl w:val="0"/>
          <w:numId w:val="1"/>
        </w:numPr>
        <w:rPr>
          <w:color w:val="23A4DE"/>
          <w:lang w:val="en-US"/>
        </w:rPr>
      </w:pPr>
      <w:hyperlink w:anchor="_Low_Educational_Achievement" w:history="1">
        <w:r w:rsidRPr="001C021B">
          <w:rPr>
            <w:color w:val="23A4DE"/>
            <w:lang w:val="en-US"/>
          </w:rPr>
          <w:t>Low Educa</w:t>
        </w:r>
        <w:r w:rsidRPr="001C021B">
          <w:rPr>
            <w:color w:val="23A4DE"/>
            <w:lang w:val="en-US"/>
          </w:rPr>
          <w:t>t</w:t>
        </w:r>
        <w:r w:rsidRPr="001C021B">
          <w:rPr>
            <w:color w:val="23A4DE"/>
            <w:lang w:val="en-US"/>
          </w:rPr>
          <w:t>ional Achievement</w:t>
        </w:r>
      </w:hyperlink>
    </w:p>
    <w:p w:rsidR="001C021B" w:rsidRDefault="001C021B" w:rsidP="001C021B">
      <w:pPr>
        <w:rPr>
          <w:lang w:val="en-US"/>
        </w:rPr>
      </w:pPr>
    </w:p>
    <w:p w:rsidR="001C021B" w:rsidRDefault="001C021B" w:rsidP="0018348D">
      <w:pPr>
        <w:pStyle w:val="Heading2"/>
        <w:numPr>
          <w:ilvl w:val="0"/>
          <w:numId w:val="1"/>
        </w:numPr>
        <w:rPr>
          <w:color w:val="23A4DE"/>
          <w:lang w:val="en-US"/>
        </w:rPr>
      </w:pPr>
      <w:hyperlink w:anchor="_Consultation_on_Elective" w:history="1">
        <w:r w:rsidRPr="001C021B">
          <w:rPr>
            <w:color w:val="23A4DE"/>
            <w:lang w:val="en-US"/>
          </w:rPr>
          <w:t>Consultat</w:t>
        </w:r>
        <w:r w:rsidRPr="001C021B">
          <w:rPr>
            <w:color w:val="23A4DE"/>
            <w:lang w:val="en-US"/>
          </w:rPr>
          <w:t>i</w:t>
        </w:r>
        <w:r w:rsidRPr="001C021B">
          <w:rPr>
            <w:color w:val="23A4DE"/>
            <w:lang w:val="en-US"/>
          </w:rPr>
          <w:t>on on El</w:t>
        </w:r>
        <w:r w:rsidRPr="001C021B">
          <w:rPr>
            <w:color w:val="23A4DE"/>
            <w:lang w:val="en-US"/>
          </w:rPr>
          <w:t>e</w:t>
        </w:r>
        <w:r w:rsidRPr="001C021B">
          <w:rPr>
            <w:color w:val="23A4DE"/>
            <w:lang w:val="en-US"/>
          </w:rPr>
          <w:t>ctive Home Education: Education Otherwise</w:t>
        </w:r>
      </w:hyperlink>
    </w:p>
    <w:p w:rsidR="00774E6A" w:rsidRDefault="00774E6A" w:rsidP="00774E6A">
      <w:pPr>
        <w:rPr>
          <w:lang w:val="en-US"/>
        </w:rPr>
      </w:pPr>
    </w:p>
    <w:p w:rsidR="00774E6A" w:rsidRDefault="00774E6A" w:rsidP="0018348D">
      <w:pPr>
        <w:pStyle w:val="Heading2"/>
        <w:numPr>
          <w:ilvl w:val="0"/>
          <w:numId w:val="1"/>
        </w:numPr>
        <w:rPr>
          <w:color w:val="23A4DE"/>
          <w:lang w:val="en-US"/>
        </w:rPr>
      </w:pPr>
      <w:hyperlink w:anchor="_Consultation_on_Elective_1" w:history="1">
        <w:r w:rsidRPr="00774E6A">
          <w:rPr>
            <w:color w:val="23A4DE"/>
            <w:lang w:val="en-US"/>
          </w:rPr>
          <w:t>Consultation on Elective</w:t>
        </w:r>
        <w:r w:rsidRPr="00774E6A">
          <w:rPr>
            <w:color w:val="23A4DE"/>
            <w:lang w:val="en-US"/>
          </w:rPr>
          <w:t xml:space="preserve"> </w:t>
        </w:r>
        <w:r w:rsidRPr="00774E6A">
          <w:rPr>
            <w:color w:val="23A4DE"/>
            <w:lang w:val="en-US"/>
          </w:rPr>
          <w:t>H</w:t>
        </w:r>
        <w:r w:rsidRPr="00774E6A">
          <w:rPr>
            <w:color w:val="23A4DE"/>
            <w:lang w:val="en-US"/>
          </w:rPr>
          <w:t>o</w:t>
        </w:r>
        <w:r w:rsidRPr="00774E6A">
          <w:rPr>
            <w:color w:val="23A4DE"/>
            <w:lang w:val="en-US"/>
          </w:rPr>
          <w:t>me Education</w:t>
        </w:r>
      </w:hyperlink>
    </w:p>
    <w:p w:rsidR="00774E6A" w:rsidRDefault="00774E6A" w:rsidP="00774E6A">
      <w:pPr>
        <w:rPr>
          <w:lang w:val="en-US"/>
        </w:rPr>
      </w:pPr>
    </w:p>
    <w:p w:rsidR="00774E6A" w:rsidRDefault="00774E6A" w:rsidP="0018348D">
      <w:pPr>
        <w:pStyle w:val="Heading2"/>
        <w:numPr>
          <w:ilvl w:val="0"/>
          <w:numId w:val="1"/>
        </w:numPr>
        <w:rPr>
          <w:color w:val="23A4DE"/>
          <w:lang w:val="en-US"/>
        </w:rPr>
      </w:pPr>
      <w:hyperlink w:anchor="_Parental_Demand_for" w:history="1">
        <w:r w:rsidRPr="00774E6A">
          <w:rPr>
            <w:color w:val="23A4DE"/>
            <w:lang w:val="en-US"/>
          </w:rPr>
          <w:t>Parental D</w:t>
        </w:r>
        <w:r w:rsidRPr="00774E6A">
          <w:rPr>
            <w:color w:val="23A4DE"/>
            <w:lang w:val="en-US"/>
          </w:rPr>
          <w:t>e</w:t>
        </w:r>
        <w:r w:rsidRPr="00774E6A">
          <w:rPr>
            <w:color w:val="23A4DE"/>
            <w:lang w:val="en-US"/>
          </w:rPr>
          <w:t>man</w:t>
        </w:r>
        <w:r w:rsidRPr="00774E6A">
          <w:rPr>
            <w:color w:val="23A4DE"/>
            <w:lang w:val="en-US"/>
          </w:rPr>
          <w:t>d</w:t>
        </w:r>
        <w:r w:rsidRPr="00774E6A">
          <w:rPr>
            <w:color w:val="23A4DE"/>
            <w:lang w:val="en-US"/>
          </w:rPr>
          <w:t xml:space="preserve"> fo</w:t>
        </w:r>
        <w:r w:rsidRPr="00774E6A">
          <w:rPr>
            <w:color w:val="23A4DE"/>
            <w:lang w:val="en-US"/>
          </w:rPr>
          <w:t>r</w:t>
        </w:r>
        <w:r w:rsidRPr="00774E6A">
          <w:rPr>
            <w:color w:val="23A4DE"/>
            <w:lang w:val="en-US"/>
          </w:rPr>
          <w:t xml:space="preserve"> Integrated Schools</w:t>
        </w:r>
      </w:hyperlink>
    </w:p>
    <w:p w:rsidR="00774E6A" w:rsidRDefault="00774E6A" w:rsidP="00774E6A">
      <w:pPr>
        <w:rPr>
          <w:lang w:val="en-US"/>
        </w:rPr>
      </w:pPr>
    </w:p>
    <w:p w:rsidR="00774E6A" w:rsidRDefault="00774E6A" w:rsidP="0018348D">
      <w:pPr>
        <w:pStyle w:val="Heading2"/>
        <w:numPr>
          <w:ilvl w:val="0"/>
          <w:numId w:val="1"/>
        </w:numPr>
        <w:rPr>
          <w:color w:val="23A4DE"/>
          <w:lang w:val="en-US"/>
        </w:rPr>
      </w:pPr>
      <w:hyperlink w:anchor="_Digital_Technology_Skills" w:history="1">
        <w:r w:rsidRPr="00774E6A">
          <w:rPr>
            <w:color w:val="23A4DE"/>
            <w:lang w:val="en-US"/>
          </w:rPr>
          <w:t>Digital Tech</w:t>
        </w:r>
        <w:r w:rsidRPr="00774E6A">
          <w:rPr>
            <w:color w:val="23A4DE"/>
            <w:lang w:val="en-US"/>
          </w:rPr>
          <w:t>n</w:t>
        </w:r>
        <w:r w:rsidRPr="00774E6A">
          <w:rPr>
            <w:color w:val="23A4DE"/>
            <w:lang w:val="en-US"/>
          </w:rPr>
          <w:t>o</w:t>
        </w:r>
        <w:r w:rsidRPr="00774E6A">
          <w:rPr>
            <w:color w:val="23A4DE"/>
            <w:lang w:val="en-US"/>
          </w:rPr>
          <w:t>logy Skills</w:t>
        </w:r>
      </w:hyperlink>
    </w:p>
    <w:p w:rsidR="0018348D" w:rsidRDefault="0018348D" w:rsidP="0018348D">
      <w:pPr>
        <w:rPr>
          <w:lang w:val="en-US"/>
        </w:rPr>
      </w:pPr>
    </w:p>
    <w:p w:rsidR="0018348D" w:rsidRDefault="0018348D" w:rsidP="0018348D">
      <w:pPr>
        <w:pStyle w:val="Heading2"/>
        <w:numPr>
          <w:ilvl w:val="0"/>
          <w:numId w:val="1"/>
        </w:numPr>
        <w:rPr>
          <w:color w:val="23A4DE"/>
          <w:lang w:val="en-US"/>
        </w:rPr>
      </w:pPr>
      <w:hyperlink w:anchor="_Community_Relations,_Equality" w:history="1">
        <w:r w:rsidRPr="0018348D">
          <w:rPr>
            <w:color w:val="23A4DE"/>
            <w:lang w:val="en-US"/>
          </w:rPr>
          <w:t>Community</w:t>
        </w:r>
        <w:r w:rsidRPr="0018348D">
          <w:rPr>
            <w:color w:val="23A4DE"/>
            <w:lang w:val="en-US"/>
          </w:rPr>
          <w:t xml:space="preserve"> </w:t>
        </w:r>
        <w:r w:rsidRPr="0018348D">
          <w:rPr>
            <w:color w:val="23A4DE"/>
            <w:lang w:val="en-US"/>
          </w:rPr>
          <w:t>Re</w:t>
        </w:r>
        <w:r w:rsidRPr="0018348D">
          <w:rPr>
            <w:color w:val="23A4DE"/>
            <w:lang w:val="en-US"/>
          </w:rPr>
          <w:t>l</w:t>
        </w:r>
        <w:r w:rsidRPr="0018348D">
          <w:rPr>
            <w:color w:val="23A4DE"/>
            <w:lang w:val="en-US"/>
          </w:rPr>
          <w:t>ations, Equality and Diversity Programme Evaluat</w:t>
        </w:r>
        <w:r w:rsidRPr="0018348D">
          <w:rPr>
            <w:color w:val="23A4DE"/>
            <w:lang w:val="en-US"/>
          </w:rPr>
          <w:t>i</w:t>
        </w:r>
        <w:r w:rsidRPr="0018348D">
          <w:rPr>
            <w:color w:val="23A4DE"/>
            <w:lang w:val="en-US"/>
          </w:rPr>
          <w:t>on</w:t>
        </w:r>
      </w:hyperlink>
    </w:p>
    <w:p w:rsidR="0018348D" w:rsidRDefault="0018348D" w:rsidP="0018348D">
      <w:pPr>
        <w:rPr>
          <w:lang w:val="en-US"/>
        </w:rPr>
      </w:pPr>
    </w:p>
    <w:p w:rsidR="0018348D" w:rsidRDefault="0018348D" w:rsidP="0018348D">
      <w:pPr>
        <w:pStyle w:val="Heading2"/>
        <w:numPr>
          <w:ilvl w:val="0"/>
          <w:numId w:val="1"/>
        </w:numPr>
        <w:rPr>
          <w:color w:val="23A4DE"/>
          <w:lang w:val="en-US"/>
        </w:rPr>
      </w:pPr>
      <w:hyperlink w:anchor="_Educational_Support_for" w:history="1">
        <w:r w:rsidRPr="0018348D">
          <w:rPr>
            <w:color w:val="23A4DE"/>
            <w:lang w:val="en-US"/>
          </w:rPr>
          <w:t>Educa</w:t>
        </w:r>
        <w:r w:rsidRPr="0018348D">
          <w:rPr>
            <w:color w:val="23A4DE"/>
            <w:lang w:val="en-US"/>
          </w:rPr>
          <w:t>t</w:t>
        </w:r>
        <w:r w:rsidRPr="0018348D">
          <w:rPr>
            <w:color w:val="23A4DE"/>
            <w:lang w:val="en-US"/>
          </w:rPr>
          <w:t>io</w:t>
        </w:r>
        <w:r w:rsidRPr="0018348D">
          <w:rPr>
            <w:color w:val="23A4DE"/>
            <w:lang w:val="en-US"/>
          </w:rPr>
          <w:t>n</w:t>
        </w:r>
        <w:r w:rsidRPr="0018348D">
          <w:rPr>
            <w:color w:val="23A4DE"/>
            <w:lang w:val="en-US"/>
          </w:rPr>
          <w:t xml:space="preserve"> Sup</w:t>
        </w:r>
        <w:r w:rsidRPr="0018348D">
          <w:rPr>
            <w:color w:val="23A4DE"/>
            <w:lang w:val="en-US"/>
          </w:rPr>
          <w:t>p</w:t>
        </w:r>
        <w:r w:rsidRPr="0018348D">
          <w:rPr>
            <w:color w:val="23A4DE"/>
            <w:lang w:val="en-US"/>
          </w:rPr>
          <w:t>ort for Students with Muscular Dystrophy</w:t>
        </w:r>
      </w:hyperlink>
    </w:p>
    <w:p w:rsidR="001C07DB" w:rsidRDefault="001C07DB" w:rsidP="001C07DB">
      <w:pPr>
        <w:rPr>
          <w:lang w:val="en-US"/>
        </w:rPr>
      </w:pPr>
    </w:p>
    <w:p w:rsidR="001C07DB" w:rsidRDefault="001C07DB" w:rsidP="001C07DB">
      <w:pPr>
        <w:pStyle w:val="Heading2"/>
        <w:numPr>
          <w:ilvl w:val="0"/>
          <w:numId w:val="1"/>
        </w:numPr>
        <w:rPr>
          <w:color w:val="23A4DE"/>
          <w:lang w:val="en-US"/>
        </w:rPr>
      </w:pPr>
      <w:hyperlink w:anchor="_Hydrotherapy_Pool_Requirements" w:history="1">
        <w:r w:rsidRPr="001C07DB">
          <w:rPr>
            <w:color w:val="23A4DE"/>
            <w:lang w:val="en-US"/>
          </w:rPr>
          <w:t>Hydroth</w:t>
        </w:r>
        <w:r w:rsidRPr="001C07DB">
          <w:rPr>
            <w:color w:val="23A4DE"/>
            <w:lang w:val="en-US"/>
          </w:rPr>
          <w:t>e</w:t>
        </w:r>
        <w:r w:rsidRPr="001C07DB">
          <w:rPr>
            <w:color w:val="23A4DE"/>
            <w:lang w:val="en-US"/>
          </w:rPr>
          <w:t>rapy Po</w:t>
        </w:r>
        <w:r w:rsidRPr="001C07DB">
          <w:rPr>
            <w:color w:val="23A4DE"/>
            <w:lang w:val="en-US"/>
          </w:rPr>
          <w:t>o</w:t>
        </w:r>
        <w:r w:rsidRPr="001C07DB">
          <w:rPr>
            <w:color w:val="23A4DE"/>
            <w:lang w:val="en-US"/>
          </w:rPr>
          <w:t>l Requirements</w:t>
        </w:r>
      </w:hyperlink>
    </w:p>
    <w:p w:rsidR="001C07DB" w:rsidRDefault="001C07DB" w:rsidP="001C07DB">
      <w:pPr>
        <w:rPr>
          <w:lang w:val="en-US"/>
        </w:rPr>
      </w:pPr>
    </w:p>
    <w:p w:rsidR="001C07DB" w:rsidRDefault="001C07DB" w:rsidP="001C07DB">
      <w:pPr>
        <w:pStyle w:val="Heading2"/>
        <w:numPr>
          <w:ilvl w:val="0"/>
          <w:numId w:val="1"/>
        </w:numPr>
        <w:rPr>
          <w:color w:val="23A4DE"/>
          <w:lang w:val="en-US"/>
        </w:rPr>
      </w:pPr>
      <w:hyperlink w:anchor="_Review_of_Children’s" w:history="1">
        <w:r w:rsidRPr="001C07DB">
          <w:rPr>
            <w:color w:val="23A4DE"/>
            <w:lang w:val="en-US"/>
          </w:rPr>
          <w:t>Review of Chil</w:t>
        </w:r>
        <w:r w:rsidRPr="001C07DB">
          <w:rPr>
            <w:color w:val="23A4DE"/>
            <w:lang w:val="en-US"/>
          </w:rPr>
          <w:t>d</w:t>
        </w:r>
        <w:r w:rsidRPr="001C07DB">
          <w:rPr>
            <w:color w:val="23A4DE"/>
            <w:lang w:val="en-US"/>
          </w:rPr>
          <w:t>ren’s P</w:t>
        </w:r>
        <w:r w:rsidRPr="001C07DB">
          <w:rPr>
            <w:color w:val="23A4DE"/>
            <w:lang w:val="en-US"/>
          </w:rPr>
          <w:t>a</w:t>
        </w:r>
        <w:r w:rsidRPr="001C07DB">
          <w:rPr>
            <w:color w:val="23A4DE"/>
            <w:lang w:val="en-US"/>
          </w:rPr>
          <w:t>lliative Care and End of Life Care</w:t>
        </w:r>
      </w:hyperlink>
    </w:p>
    <w:p w:rsidR="001C07DB" w:rsidRDefault="001C07DB" w:rsidP="001C07DB">
      <w:pPr>
        <w:rPr>
          <w:lang w:val="en-US"/>
        </w:rPr>
      </w:pPr>
    </w:p>
    <w:p w:rsidR="001C07DB" w:rsidRDefault="001C07DB" w:rsidP="001C07DB">
      <w:pPr>
        <w:pStyle w:val="Heading2"/>
        <w:numPr>
          <w:ilvl w:val="0"/>
          <w:numId w:val="1"/>
        </w:numPr>
        <w:rPr>
          <w:color w:val="23A4DE"/>
          <w:lang w:val="en-US"/>
        </w:rPr>
      </w:pPr>
      <w:hyperlink w:anchor="_GP_Training:_Domestic" w:history="1">
        <w:r w:rsidRPr="001C07DB">
          <w:rPr>
            <w:color w:val="23A4DE"/>
            <w:lang w:val="en-US"/>
          </w:rPr>
          <w:t>GP Trainin</w:t>
        </w:r>
        <w:r w:rsidRPr="001C07DB">
          <w:rPr>
            <w:color w:val="23A4DE"/>
            <w:lang w:val="en-US"/>
          </w:rPr>
          <w:t>g</w:t>
        </w:r>
        <w:r w:rsidRPr="001C07DB">
          <w:rPr>
            <w:color w:val="23A4DE"/>
            <w:lang w:val="en-US"/>
          </w:rPr>
          <w:t>: Do</w:t>
        </w:r>
        <w:r w:rsidRPr="001C07DB">
          <w:rPr>
            <w:color w:val="23A4DE"/>
            <w:lang w:val="en-US"/>
          </w:rPr>
          <w:t>m</w:t>
        </w:r>
        <w:r w:rsidRPr="001C07DB">
          <w:rPr>
            <w:color w:val="23A4DE"/>
            <w:lang w:val="en-US"/>
          </w:rPr>
          <w:t>estic Violence</w:t>
        </w:r>
      </w:hyperlink>
    </w:p>
    <w:p w:rsidR="001C07DB" w:rsidRDefault="001C07DB" w:rsidP="001C07DB">
      <w:pPr>
        <w:rPr>
          <w:lang w:val="en-US"/>
        </w:rPr>
      </w:pPr>
    </w:p>
    <w:p w:rsidR="001C07DB" w:rsidRDefault="001C07DB" w:rsidP="001C07DB">
      <w:pPr>
        <w:pStyle w:val="Heading2"/>
        <w:numPr>
          <w:ilvl w:val="0"/>
          <w:numId w:val="1"/>
        </w:numPr>
        <w:rPr>
          <w:color w:val="23A4DE"/>
          <w:lang w:val="en-US"/>
        </w:rPr>
      </w:pPr>
      <w:hyperlink w:anchor="_Raising_Awareness_of" w:history="1">
        <w:r w:rsidRPr="00744E52">
          <w:rPr>
            <w:color w:val="23A4DE"/>
          </w:rPr>
          <w:t>Raising Aware</w:t>
        </w:r>
        <w:r w:rsidRPr="00744E52">
          <w:rPr>
            <w:color w:val="23A4DE"/>
          </w:rPr>
          <w:t>n</w:t>
        </w:r>
        <w:r w:rsidRPr="00744E52">
          <w:rPr>
            <w:color w:val="23A4DE"/>
          </w:rPr>
          <w:t>e</w:t>
        </w:r>
        <w:r w:rsidRPr="00744E52">
          <w:rPr>
            <w:color w:val="23A4DE"/>
          </w:rPr>
          <w:t>ss of Domestic Violence</w:t>
        </w:r>
      </w:hyperlink>
    </w:p>
    <w:p w:rsidR="00744E52" w:rsidRDefault="00744E52" w:rsidP="00744E52">
      <w:pPr>
        <w:rPr>
          <w:lang w:val="en-US"/>
        </w:rPr>
      </w:pPr>
    </w:p>
    <w:p w:rsidR="00744E52" w:rsidRDefault="00744E52" w:rsidP="00744E52">
      <w:pPr>
        <w:pStyle w:val="Heading2"/>
        <w:numPr>
          <w:ilvl w:val="0"/>
          <w:numId w:val="1"/>
        </w:numPr>
        <w:rPr>
          <w:color w:val="23A4DE"/>
        </w:rPr>
      </w:pPr>
      <w:hyperlink w:anchor="_Support_for_Children" w:history="1">
        <w:r w:rsidRPr="00744E52">
          <w:rPr>
            <w:color w:val="23A4DE"/>
          </w:rPr>
          <w:t xml:space="preserve">Support for Children with </w:t>
        </w:r>
        <w:r w:rsidRPr="00744E52">
          <w:rPr>
            <w:color w:val="23A4DE"/>
          </w:rPr>
          <w:t>D</w:t>
        </w:r>
        <w:r w:rsidRPr="00744E52">
          <w:rPr>
            <w:color w:val="23A4DE"/>
          </w:rPr>
          <w:t>e</w:t>
        </w:r>
        <w:r w:rsidRPr="00744E52">
          <w:rPr>
            <w:color w:val="23A4DE"/>
          </w:rPr>
          <w:t>v</w:t>
        </w:r>
        <w:r w:rsidRPr="00744E52">
          <w:rPr>
            <w:color w:val="23A4DE"/>
          </w:rPr>
          <w:t>elopmental Needs</w:t>
        </w:r>
      </w:hyperlink>
    </w:p>
    <w:p w:rsidR="004C4E64" w:rsidRDefault="004C4E64" w:rsidP="004C4E64"/>
    <w:p w:rsidR="004C4E64" w:rsidRDefault="004C4E64" w:rsidP="004C4E64">
      <w:pPr>
        <w:pStyle w:val="Heading2"/>
        <w:numPr>
          <w:ilvl w:val="0"/>
          <w:numId w:val="1"/>
        </w:numPr>
        <w:rPr>
          <w:color w:val="23A4DE"/>
        </w:rPr>
      </w:pPr>
      <w:hyperlink w:anchor="_Effective_and_Timely" w:history="1">
        <w:r w:rsidRPr="004C4E64">
          <w:rPr>
            <w:color w:val="23A4DE"/>
          </w:rPr>
          <w:t xml:space="preserve">Effective and </w:t>
        </w:r>
        <w:r w:rsidRPr="004C4E64">
          <w:rPr>
            <w:color w:val="23A4DE"/>
          </w:rPr>
          <w:t>T</w:t>
        </w:r>
        <w:r w:rsidRPr="004C4E64">
          <w:rPr>
            <w:color w:val="23A4DE"/>
          </w:rPr>
          <w:t>imely Developm</w:t>
        </w:r>
        <w:r w:rsidRPr="004C4E64">
          <w:rPr>
            <w:color w:val="23A4DE"/>
          </w:rPr>
          <w:t>e</w:t>
        </w:r>
        <w:r w:rsidRPr="004C4E64">
          <w:rPr>
            <w:color w:val="23A4DE"/>
          </w:rPr>
          <w:t>ntal Assessments</w:t>
        </w:r>
      </w:hyperlink>
    </w:p>
    <w:p w:rsidR="004C4E64" w:rsidRDefault="004C4E64" w:rsidP="004C4E64"/>
    <w:p w:rsidR="004C4E64" w:rsidRPr="007B2173" w:rsidRDefault="004C4E64" w:rsidP="007B2173">
      <w:pPr>
        <w:pStyle w:val="Heading2"/>
        <w:numPr>
          <w:ilvl w:val="0"/>
          <w:numId w:val="1"/>
        </w:numPr>
        <w:rPr>
          <w:color w:val="23A4DE"/>
        </w:rPr>
      </w:pPr>
      <w:hyperlink w:anchor="_Referral_Appointments_for" w:history="1">
        <w:r w:rsidRPr="007B2173">
          <w:rPr>
            <w:color w:val="23A4DE"/>
          </w:rPr>
          <w:t>Referral Appoin</w:t>
        </w:r>
        <w:r w:rsidRPr="007B2173">
          <w:rPr>
            <w:color w:val="23A4DE"/>
          </w:rPr>
          <w:t>t</w:t>
        </w:r>
        <w:r w:rsidRPr="007B2173">
          <w:rPr>
            <w:color w:val="23A4DE"/>
          </w:rPr>
          <w:t>ment</w:t>
        </w:r>
        <w:r w:rsidRPr="007B2173">
          <w:rPr>
            <w:color w:val="23A4DE"/>
          </w:rPr>
          <w:t>s</w:t>
        </w:r>
        <w:r w:rsidRPr="007B2173">
          <w:rPr>
            <w:color w:val="23A4DE"/>
          </w:rPr>
          <w:t xml:space="preserve"> for a Developmental Assessment</w:t>
        </w:r>
      </w:hyperlink>
    </w:p>
    <w:p w:rsidR="007B2173" w:rsidRDefault="007B2173" w:rsidP="007B2173"/>
    <w:p w:rsidR="007B2173" w:rsidRDefault="007B2173" w:rsidP="007B2173">
      <w:pPr>
        <w:pStyle w:val="Heading2"/>
        <w:numPr>
          <w:ilvl w:val="0"/>
          <w:numId w:val="1"/>
        </w:numPr>
        <w:rPr>
          <w:color w:val="23A4DE"/>
        </w:rPr>
      </w:pPr>
      <w:hyperlink w:anchor="_Transferring_Referrals_for" w:history="1">
        <w:r w:rsidRPr="007B2173">
          <w:rPr>
            <w:color w:val="23A4DE"/>
          </w:rPr>
          <w:t>Tran</w:t>
        </w:r>
        <w:r w:rsidRPr="007B2173">
          <w:rPr>
            <w:color w:val="23A4DE"/>
          </w:rPr>
          <w:t>s</w:t>
        </w:r>
        <w:r w:rsidRPr="007B2173">
          <w:rPr>
            <w:color w:val="23A4DE"/>
          </w:rPr>
          <w:t>fer</w:t>
        </w:r>
        <w:r w:rsidRPr="007B2173">
          <w:rPr>
            <w:color w:val="23A4DE"/>
          </w:rPr>
          <w:t>r</w:t>
        </w:r>
        <w:r w:rsidRPr="007B2173">
          <w:rPr>
            <w:color w:val="23A4DE"/>
          </w:rPr>
          <w:t>ing Referrals for the Child and Adolescent Mental Health Servi</w:t>
        </w:r>
        <w:r w:rsidRPr="007B2173">
          <w:rPr>
            <w:color w:val="23A4DE"/>
          </w:rPr>
          <w:t>c</w:t>
        </w:r>
        <w:r w:rsidRPr="007B2173">
          <w:rPr>
            <w:color w:val="23A4DE"/>
          </w:rPr>
          <w:t>e</w:t>
        </w:r>
      </w:hyperlink>
    </w:p>
    <w:p w:rsidR="007B2173" w:rsidRDefault="007B2173" w:rsidP="007B2173"/>
    <w:p w:rsidR="007B2173" w:rsidRDefault="007B2173" w:rsidP="007B2173">
      <w:pPr>
        <w:pStyle w:val="Heading2"/>
        <w:numPr>
          <w:ilvl w:val="0"/>
          <w:numId w:val="1"/>
        </w:numPr>
        <w:rPr>
          <w:color w:val="23A4DE"/>
        </w:rPr>
      </w:pPr>
      <w:hyperlink w:anchor="_Change_of_Address" w:history="1">
        <w:r w:rsidRPr="007B2173">
          <w:rPr>
            <w:color w:val="23A4DE"/>
          </w:rPr>
          <w:t>Change of Addr</w:t>
        </w:r>
        <w:r w:rsidRPr="007B2173">
          <w:rPr>
            <w:color w:val="23A4DE"/>
          </w:rPr>
          <w:t>e</w:t>
        </w:r>
        <w:r w:rsidRPr="007B2173">
          <w:rPr>
            <w:color w:val="23A4DE"/>
          </w:rPr>
          <w:t xml:space="preserve">ss </w:t>
        </w:r>
        <w:r w:rsidRPr="007B2173">
          <w:rPr>
            <w:color w:val="23A4DE"/>
          </w:rPr>
          <w:t>o</w:t>
        </w:r>
        <w:r w:rsidRPr="007B2173">
          <w:rPr>
            <w:color w:val="23A4DE"/>
          </w:rPr>
          <w:t xml:space="preserve">f </w:t>
        </w:r>
        <w:r w:rsidRPr="007B2173">
          <w:rPr>
            <w:color w:val="23A4DE"/>
          </w:rPr>
          <w:t>M</w:t>
        </w:r>
        <w:r w:rsidRPr="007B2173">
          <w:rPr>
            <w:color w:val="23A4DE"/>
          </w:rPr>
          <w:t>ental Health Patients</w:t>
        </w:r>
      </w:hyperlink>
    </w:p>
    <w:p w:rsidR="007B2173" w:rsidRDefault="007B2173" w:rsidP="007B2173"/>
    <w:p w:rsidR="007B2173" w:rsidRDefault="007B2173" w:rsidP="007B2173">
      <w:pPr>
        <w:pStyle w:val="Heading2"/>
        <w:numPr>
          <w:ilvl w:val="0"/>
          <w:numId w:val="1"/>
        </w:numPr>
        <w:rPr>
          <w:color w:val="23A4DE"/>
        </w:rPr>
      </w:pPr>
      <w:hyperlink w:anchor="_Children’s_Palliative_Care" w:history="1">
        <w:r w:rsidRPr="007B2173">
          <w:rPr>
            <w:color w:val="23A4DE"/>
          </w:rPr>
          <w:t>Childr</w:t>
        </w:r>
        <w:r w:rsidRPr="007B2173">
          <w:rPr>
            <w:color w:val="23A4DE"/>
          </w:rPr>
          <w:t>e</w:t>
        </w:r>
        <w:r w:rsidRPr="007B2173">
          <w:rPr>
            <w:color w:val="23A4DE"/>
          </w:rPr>
          <w:t>n’s Pallia</w:t>
        </w:r>
        <w:r w:rsidRPr="007B2173">
          <w:rPr>
            <w:color w:val="23A4DE"/>
          </w:rPr>
          <w:t>t</w:t>
        </w:r>
        <w:r w:rsidRPr="007B2173">
          <w:rPr>
            <w:color w:val="23A4DE"/>
          </w:rPr>
          <w:t xml:space="preserve">ive </w:t>
        </w:r>
        <w:r w:rsidRPr="007B2173">
          <w:rPr>
            <w:color w:val="23A4DE"/>
          </w:rPr>
          <w:t>C</w:t>
        </w:r>
        <w:r w:rsidRPr="007B2173">
          <w:rPr>
            <w:color w:val="23A4DE"/>
          </w:rPr>
          <w:t>a</w:t>
        </w:r>
        <w:r w:rsidRPr="007B2173">
          <w:rPr>
            <w:color w:val="23A4DE"/>
          </w:rPr>
          <w:t>re Review’s Recommendations</w:t>
        </w:r>
      </w:hyperlink>
    </w:p>
    <w:p w:rsidR="004064D7" w:rsidRDefault="004064D7" w:rsidP="004064D7"/>
    <w:p w:rsidR="004064D7" w:rsidRDefault="004064D7" w:rsidP="004064D7">
      <w:pPr>
        <w:pStyle w:val="Heading2"/>
        <w:numPr>
          <w:ilvl w:val="0"/>
          <w:numId w:val="1"/>
        </w:numPr>
        <w:rPr>
          <w:color w:val="23A4DE"/>
        </w:rPr>
      </w:pPr>
      <w:hyperlink w:anchor="_SEA_and_SAI" w:history="1">
        <w:r w:rsidRPr="004064D7">
          <w:rPr>
            <w:color w:val="23A4DE"/>
          </w:rPr>
          <w:t>SEA a</w:t>
        </w:r>
        <w:r w:rsidRPr="004064D7">
          <w:rPr>
            <w:color w:val="23A4DE"/>
          </w:rPr>
          <w:t>n</w:t>
        </w:r>
        <w:r w:rsidRPr="004064D7">
          <w:rPr>
            <w:color w:val="23A4DE"/>
          </w:rPr>
          <w:t>d SAI I</w:t>
        </w:r>
        <w:r w:rsidRPr="004064D7">
          <w:rPr>
            <w:color w:val="23A4DE"/>
          </w:rPr>
          <w:t>n</w:t>
        </w:r>
        <w:r w:rsidRPr="004064D7">
          <w:rPr>
            <w:color w:val="23A4DE"/>
          </w:rPr>
          <w:t>quiries</w:t>
        </w:r>
      </w:hyperlink>
    </w:p>
    <w:p w:rsidR="0049756B" w:rsidRDefault="0049756B" w:rsidP="0049756B"/>
    <w:p w:rsidR="0049756B" w:rsidRDefault="0049756B" w:rsidP="0049756B">
      <w:pPr>
        <w:pStyle w:val="Heading2"/>
        <w:numPr>
          <w:ilvl w:val="0"/>
          <w:numId w:val="1"/>
        </w:numPr>
        <w:rPr>
          <w:color w:val="23A4DE"/>
        </w:rPr>
      </w:pPr>
      <w:hyperlink w:anchor="_SEA_and_SAI_1" w:history="1">
        <w:r w:rsidRPr="0049756B">
          <w:rPr>
            <w:color w:val="23A4DE"/>
          </w:rPr>
          <w:t>S</w:t>
        </w:r>
        <w:r w:rsidRPr="0049756B">
          <w:rPr>
            <w:color w:val="23A4DE"/>
          </w:rPr>
          <w:t>E</w:t>
        </w:r>
        <w:r w:rsidRPr="0049756B">
          <w:rPr>
            <w:color w:val="23A4DE"/>
          </w:rPr>
          <w:t xml:space="preserve">A and SAI </w:t>
        </w:r>
        <w:r w:rsidRPr="0049756B">
          <w:rPr>
            <w:color w:val="23A4DE"/>
          </w:rPr>
          <w:t>I</w:t>
        </w:r>
        <w:r w:rsidRPr="0049756B">
          <w:rPr>
            <w:color w:val="23A4DE"/>
          </w:rPr>
          <w:t>nquiries</w:t>
        </w:r>
      </w:hyperlink>
    </w:p>
    <w:p w:rsidR="00157446" w:rsidRDefault="00157446" w:rsidP="00157446"/>
    <w:p w:rsidR="00157446" w:rsidRDefault="00157446" w:rsidP="00157446">
      <w:pPr>
        <w:pStyle w:val="Heading2"/>
        <w:numPr>
          <w:ilvl w:val="0"/>
          <w:numId w:val="1"/>
        </w:numPr>
        <w:rPr>
          <w:color w:val="23A4DE"/>
        </w:rPr>
      </w:pPr>
      <w:hyperlink w:anchor="_Joint_Strategy_on" w:history="1">
        <w:r w:rsidRPr="00157446">
          <w:rPr>
            <w:color w:val="23A4DE"/>
          </w:rPr>
          <w:t>Joint Strategy on</w:t>
        </w:r>
        <w:r w:rsidRPr="00157446">
          <w:rPr>
            <w:color w:val="23A4DE"/>
          </w:rPr>
          <w:t xml:space="preserve"> </w:t>
        </w:r>
        <w:r w:rsidRPr="00157446">
          <w:rPr>
            <w:color w:val="23A4DE"/>
          </w:rPr>
          <w:t>Domes</w:t>
        </w:r>
        <w:r w:rsidRPr="00157446">
          <w:rPr>
            <w:color w:val="23A4DE"/>
          </w:rPr>
          <w:t>t</w:t>
        </w:r>
        <w:r w:rsidRPr="00157446">
          <w:rPr>
            <w:color w:val="23A4DE"/>
          </w:rPr>
          <w:t>ic and Sexual Violence and Abuse</w:t>
        </w:r>
      </w:hyperlink>
    </w:p>
    <w:p w:rsidR="00157446" w:rsidRDefault="00157446" w:rsidP="00157446"/>
    <w:p w:rsidR="00157446" w:rsidRDefault="00157446" w:rsidP="00157446">
      <w:pPr>
        <w:pStyle w:val="Heading2"/>
        <w:numPr>
          <w:ilvl w:val="0"/>
          <w:numId w:val="1"/>
        </w:numPr>
        <w:rPr>
          <w:color w:val="23A4DE"/>
        </w:rPr>
      </w:pPr>
      <w:hyperlink w:anchor="_Availability_of_Incubators" w:history="1">
        <w:r w:rsidRPr="00157446">
          <w:rPr>
            <w:color w:val="23A4DE"/>
          </w:rPr>
          <w:t>Availa</w:t>
        </w:r>
        <w:r w:rsidRPr="00157446">
          <w:rPr>
            <w:color w:val="23A4DE"/>
          </w:rPr>
          <w:t>b</w:t>
        </w:r>
        <w:r w:rsidRPr="00157446">
          <w:rPr>
            <w:color w:val="23A4DE"/>
          </w:rPr>
          <w:t>ilit</w:t>
        </w:r>
        <w:r w:rsidRPr="00157446">
          <w:rPr>
            <w:color w:val="23A4DE"/>
          </w:rPr>
          <w:t>y</w:t>
        </w:r>
        <w:r w:rsidRPr="00157446">
          <w:rPr>
            <w:color w:val="23A4DE"/>
          </w:rPr>
          <w:t xml:space="preserve"> of Inc</w:t>
        </w:r>
        <w:r w:rsidRPr="00157446">
          <w:rPr>
            <w:color w:val="23A4DE"/>
          </w:rPr>
          <w:t>u</w:t>
        </w:r>
        <w:r w:rsidRPr="00157446">
          <w:rPr>
            <w:color w:val="23A4DE"/>
          </w:rPr>
          <w:t>bators</w:t>
        </w:r>
      </w:hyperlink>
    </w:p>
    <w:p w:rsidR="00E921A4" w:rsidRDefault="00E921A4" w:rsidP="00E921A4"/>
    <w:p w:rsidR="00E921A4" w:rsidRDefault="00E921A4" w:rsidP="00E921A4">
      <w:pPr>
        <w:pStyle w:val="Heading2"/>
        <w:numPr>
          <w:ilvl w:val="0"/>
          <w:numId w:val="1"/>
        </w:numPr>
        <w:rPr>
          <w:color w:val="23A4DE"/>
        </w:rPr>
      </w:pPr>
      <w:hyperlink w:anchor="_Occupancy_Rates_of" w:history="1">
        <w:r w:rsidRPr="00E921A4">
          <w:rPr>
            <w:color w:val="23A4DE"/>
          </w:rPr>
          <w:t>Occu</w:t>
        </w:r>
        <w:r w:rsidRPr="00E921A4">
          <w:rPr>
            <w:color w:val="23A4DE"/>
          </w:rPr>
          <w:t>p</w:t>
        </w:r>
        <w:r w:rsidRPr="00E921A4">
          <w:rPr>
            <w:color w:val="23A4DE"/>
          </w:rPr>
          <w:t>ancy Ra</w:t>
        </w:r>
        <w:r w:rsidRPr="00E921A4">
          <w:rPr>
            <w:color w:val="23A4DE"/>
          </w:rPr>
          <w:t>t</w:t>
        </w:r>
        <w:r w:rsidRPr="00E921A4">
          <w:rPr>
            <w:color w:val="23A4DE"/>
          </w:rPr>
          <w:t xml:space="preserve">es of </w:t>
        </w:r>
        <w:r w:rsidRPr="00E921A4">
          <w:rPr>
            <w:color w:val="23A4DE"/>
          </w:rPr>
          <w:t>I</w:t>
        </w:r>
        <w:r w:rsidRPr="00E921A4">
          <w:rPr>
            <w:color w:val="23A4DE"/>
          </w:rPr>
          <w:t>ncubators</w:t>
        </w:r>
      </w:hyperlink>
    </w:p>
    <w:p w:rsidR="00582988" w:rsidRDefault="00582988" w:rsidP="00582988"/>
    <w:p w:rsidR="00582988" w:rsidRDefault="00582988" w:rsidP="00582988">
      <w:pPr>
        <w:pStyle w:val="Heading2"/>
        <w:numPr>
          <w:ilvl w:val="0"/>
          <w:numId w:val="1"/>
        </w:numPr>
        <w:rPr>
          <w:color w:val="23A4DE"/>
        </w:rPr>
      </w:pPr>
      <w:hyperlink w:anchor="_Preventing_and_Combating" w:history="1">
        <w:r w:rsidRPr="00582988">
          <w:rPr>
            <w:color w:val="23A4DE"/>
          </w:rPr>
          <w:t>Preven</w:t>
        </w:r>
        <w:r w:rsidRPr="00582988">
          <w:rPr>
            <w:color w:val="23A4DE"/>
          </w:rPr>
          <w:t>t</w:t>
        </w:r>
        <w:r w:rsidRPr="00582988">
          <w:rPr>
            <w:color w:val="23A4DE"/>
          </w:rPr>
          <w:t>i</w:t>
        </w:r>
        <w:r w:rsidRPr="00582988">
          <w:rPr>
            <w:color w:val="23A4DE"/>
          </w:rPr>
          <w:t>ng and Comba</w:t>
        </w:r>
        <w:r w:rsidRPr="00582988">
          <w:rPr>
            <w:color w:val="23A4DE"/>
          </w:rPr>
          <w:t>t</w:t>
        </w:r>
        <w:r w:rsidRPr="00582988">
          <w:rPr>
            <w:color w:val="23A4DE"/>
          </w:rPr>
          <w:t>ing Violence Against Women and Domestic Violence Treaty</w:t>
        </w:r>
      </w:hyperlink>
    </w:p>
    <w:p w:rsidR="00582988" w:rsidRDefault="00582988" w:rsidP="00582988"/>
    <w:p w:rsidR="00582988" w:rsidRPr="00582988" w:rsidRDefault="00582988" w:rsidP="00582988">
      <w:pPr>
        <w:pStyle w:val="Heading2"/>
        <w:numPr>
          <w:ilvl w:val="0"/>
          <w:numId w:val="1"/>
        </w:numPr>
        <w:rPr>
          <w:color w:val="23A4DE"/>
        </w:rPr>
      </w:pPr>
      <w:hyperlink w:anchor="_Tackling_Low_Educational" w:history="1">
        <w:r w:rsidRPr="00582988">
          <w:rPr>
            <w:color w:val="23A4DE"/>
          </w:rPr>
          <w:t>Tackling Low Educ</w:t>
        </w:r>
        <w:r w:rsidRPr="00582988">
          <w:rPr>
            <w:color w:val="23A4DE"/>
          </w:rPr>
          <w:t>a</w:t>
        </w:r>
        <w:r w:rsidRPr="00582988">
          <w:rPr>
            <w:color w:val="23A4DE"/>
          </w:rPr>
          <w:t>tional Achievement</w:t>
        </w:r>
      </w:hyperlink>
    </w:p>
    <w:p w:rsidR="00582988" w:rsidRDefault="00582988" w:rsidP="00F875F8">
      <w:pPr>
        <w:pStyle w:val="NICCYHeading"/>
        <w:rPr>
          <w:rFonts w:eastAsia="Times New Roman"/>
          <w:b w:val="0"/>
          <w:color w:val="262626" w:themeColor="text1" w:themeTint="D9"/>
          <w:sz w:val="24"/>
          <w:szCs w:val="24"/>
        </w:rPr>
      </w:pPr>
    </w:p>
    <w:p w:rsidR="00E84839" w:rsidRDefault="00E84839" w:rsidP="00F875F8">
      <w:pPr>
        <w:pStyle w:val="NICCYHeading"/>
      </w:pPr>
      <w:r>
        <w:lastRenderedPageBreak/>
        <w:t xml:space="preserve">Office of the First </w:t>
      </w:r>
      <w:r w:rsidRPr="00E84839">
        <w:t>Minister and deputy First Minister</w:t>
      </w:r>
    </w:p>
    <w:p w:rsidR="00E84839" w:rsidRPr="00E84839" w:rsidRDefault="00E84839" w:rsidP="00E84839">
      <w:pPr>
        <w:pStyle w:val="Heading2"/>
        <w:rPr>
          <w:color w:val="23A4DE"/>
          <w:lang w:val="en-US"/>
        </w:rPr>
      </w:pPr>
      <w:bookmarkStart w:id="1" w:name="_Survivors_and_Victims"/>
      <w:bookmarkEnd w:id="1"/>
      <w:r w:rsidRPr="00E84839">
        <w:rPr>
          <w:color w:val="23A4DE"/>
          <w:lang w:val="en-US"/>
        </w:rPr>
        <w:t>Survivors and Victims of Institutional Abuse</w:t>
      </w:r>
    </w:p>
    <w:p w:rsidR="00E84839" w:rsidRDefault="00E84839" w:rsidP="00E84839">
      <w:pPr>
        <w:pStyle w:val="NICCYBodyText"/>
        <w:rPr>
          <w:lang w:val="en-US"/>
        </w:rPr>
      </w:pPr>
      <w:r w:rsidRPr="00E84839">
        <w:rPr>
          <w:rFonts w:ascii="ITCFranklinGothicDemi" w:hAnsi="ITCFranklinGothicDemi" w:cs="ITCFranklinGothicDemi"/>
          <w:b/>
          <w:lang w:val="en-US"/>
        </w:rPr>
        <w:t>Mr Agnew</w:t>
      </w:r>
      <w:r>
        <w:rPr>
          <w:rFonts w:ascii="ITCFranklinGothicDemi" w:hAnsi="ITCFranklinGothicDemi" w:cs="ITCFranklinGothicDemi"/>
          <w:lang w:val="en-US"/>
        </w:rPr>
        <w:t xml:space="preserve"> </w:t>
      </w:r>
      <w:r>
        <w:rPr>
          <w:lang w:val="en-US"/>
        </w:rPr>
        <w:t>asked the First Minister and deputy First Minister what mechanisms they will put in place for redress for survivors and victims of institutional abuse, including potential compensation.</w:t>
      </w:r>
    </w:p>
    <w:p w:rsidR="00E84839" w:rsidRDefault="00E84839" w:rsidP="00E84839">
      <w:pPr>
        <w:pStyle w:val="NICCYBodyText"/>
        <w:rPr>
          <w:rFonts w:ascii="ITCFranklinGothicDemi" w:hAnsi="ITCFranklinGothicDemi" w:cs="ITCFranklinGothicDemi"/>
          <w:lang w:val="en-US"/>
        </w:rPr>
      </w:pPr>
      <w:r>
        <w:rPr>
          <w:rFonts w:ascii="ITCFranklinGothicDemi" w:hAnsi="ITCFranklinGothicDemi" w:cs="ITCFranklinGothicDemi"/>
          <w:lang w:val="en-US"/>
        </w:rPr>
        <w:t>(AQW 34899/11-15)</w:t>
      </w:r>
    </w:p>
    <w:p w:rsidR="00E84839" w:rsidRDefault="00E84839" w:rsidP="00E84839">
      <w:pPr>
        <w:pStyle w:val="NICCYBodyText"/>
        <w:rPr>
          <w:rFonts w:ascii="ITCFranklinGothicDemi" w:hAnsi="ITCFranklinGothicDemi" w:cs="ITCFranklinGothicDemi"/>
          <w:lang w:val="en-US"/>
        </w:rPr>
      </w:pPr>
    </w:p>
    <w:p w:rsidR="00E84839" w:rsidRDefault="00E84839" w:rsidP="00E84839">
      <w:pPr>
        <w:pStyle w:val="NICCYBodyText"/>
        <w:rPr>
          <w:lang w:val="en-US"/>
        </w:rPr>
      </w:pPr>
      <w:r w:rsidRPr="00E84839">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 xml:space="preserve">The Terms of Reference say that the Historical Institutional Abuse Inquiry, in its report, will make recommendations and findings on four matters, including “The requirement or desirability for redress to be provided by the institution and/or the Executive to meet the particular needs of victims”.  They go on to say “However, the nature or level of any potential redress – financial or the provision of services – is a matter that the Executive will discuss and agree following receipt of the Inquiry and Investigation report”.  </w:t>
      </w:r>
    </w:p>
    <w:p w:rsidR="00E84839" w:rsidRDefault="00E84839" w:rsidP="00E84839">
      <w:pPr>
        <w:pStyle w:val="NICCYBodyText"/>
        <w:rPr>
          <w:lang w:val="en-US"/>
        </w:rPr>
      </w:pPr>
    </w:p>
    <w:p w:rsidR="00E84839" w:rsidRDefault="00E84839" w:rsidP="00E84839">
      <w:pPr>
        <w:pStyle w:val="NICCYBodyText"/>
        <w:rPr>
          <w:lang w:val="en-US"/>
        </w:rPr>
      </w:pPr>
      <w:r>
        <w:rPr>
          <w:lang w:val="en-US"/>
        </w:rPr>
        <w:t>We will not pre-empt the work of the Inquiry or any future decisions that the Executive may make by speculating now about redress.</w:t>
      </w:r>
    </w:p>
    <w:p w:rsidR="00E84839" w:rsidRDefault="00E84839" w:rsidP="00E84839">
      <w:pPr>
        <w:rPr>
          <w:rFonts w:ascii="ITCFranklinGothicBook" w:hAnsi="ITCFranklinGothicBook" w:cs="ITCFranklinGothicBook"/>
          <w:sz w:val="20"/>
          <w:szCs w:val="20"/>
          <w:lang w:val="en-US"/>
        </w:rPr>
      </w:pPr>
    </w:p>
    <w:p w:rsidR="00E84839" w:rsidRDefault="00E84839" w:rsidP="00E84839">
      <w:pPr>
        <w:pStyle w:val="NICCYBodyText"/>
      </w:pPr>
      <w:hyperlink w:anchor="_top" w:history="1">
        <w:r w:rsidRPr="007715F2">
          <w:rPr>
            <w:rStyle w:val="Hyperlink"/>
          </w:rPr>
          <w:t>Back</w:t>
        </w:r>
        <w:r w:rsidRPr="007715F2">
          <w:rPr>
            <w:rStyle w:val="Hyperlink"/>
          </w:rPr>
          <w:t xml:space="preserve"> </w:t>
        </w:r>
        <w:r w:rsidRPr="007715F2">
          <w:rPr>
            <w:rStyle w:val="Hyperlink"/>
          </w:rPr>
          <w:t>to Top</w:t>
        </w:r>
      </w:hyperlink>
    </w:p>
    <w:p w:rsidR="00E84839" w:rsidRDefault="00E84839" w:rsidP="00E84839">
      <w:pPr>
        <w:rPr>
          <w:rFonts w:ascii="ITCFranklinGothicBook" w:hAnsi="ITCFranklinGothicBook" w:cs="ITCFranklinGothicBook"/>
          <w:sz w:val="20"/>
          <w:szCs w:val="20"/>
          <w:lang w:val="en-US"/>
        </w:rPr>
      </w:pPr>
    </w:p>
    <w:p w:rsidR="00E84839" w:rsidRPr="00E84839" w:rsidRDefault="00E84839" w:rsidP="00E84839">
      <w:pPr>
        <w:pStyle w:val="Heading2"/>
        <w:rPr>
          <w:color w:val="23A4DE"/>
          <w:lang w:val="en-US"/>
        </w:rPr>
      </w:pPr>
      <w:bookmarkStart w:id="2" w:name="_Survivors_and_Victims_1"/>
      <w:bookmarkEnd w:id="2"/>
      <w:r w:rsidRPr="00E84839">
        <w:rPr>
          <w:color w:val="23A4DE"/>
          <w:lang w:val="en-US"/>
        </w:rPr>
        <w:t>Survivors and Victims of Historical Abuse</w:t>
      </w:r>
    </w:p>
    <w:p w:rsidR="00E84839" w:rsidRDefault="00E84839" w:rsidP="00E84839">
      <w:pPr>
        <w:pStyle w:val="NICCYBodyText"/>
        <w:rPr>
          <w:lang w:val="en-US"/>
        </w:rPr>
      </w:pPr>
      <w:r w:rsidRPr="00E84839">
        <w:rPr>
          <w:rFonts w:ascii="ITCFranklinGothicDemi" w:hAnsi="ITCFranklinGothicDemi" w:cs="ITCFranklinGothicDemi"/>
          <w:b/>
          <w:lang w:val="en-US"/>
        </w:rPr>
        <w:t>Mr Agnew</w:t>
      </w:r>
      <w:r>
        <w:rPr>
          <w:rFonts w:ascii="ITCFranklinGothicDemi" w:hAnsi="ITCFranklinGothicDemi" w:cs="ITCFranklinGothicDemi"/>
          <w:lang w:val="en-US"/>
        </w:rPr>
        <w:t xml:space="preserve"> </w:t>
      </w:r>
      <w:r>
        <w:rPr>
          <w:lang w:val="en-US"/>
        </w:rPr>
        <w:t>asked the First Minister and deputy First Minister what consideration has been given to</w:t>
      </w:r>
      <w:r w:rsidR="001C021B">
        <w:rPr>
          <w:lang w:val="en-US"/>
        </w:rPr>
        <w:t xml:space="preserve"> </w:t>
      </w:r>
      <w:r>
        <w:rPr>
          <w:lang w:val="en-US"/>
        </w:rPr>
        <w:t>interim compensation payments to survivors and victims of historical abuse in advance of Sir Anthony</w:t>
      </w:r>
      <w:r w:rsidR="001C021B">
        <w:rPr>
          <w:lang w:val="en-US"/>
        </w:rPr>
        <w:t xml:space="preserve"> </w:t>
      </w:r>
      <w:r>
        <w:rPr>
          <w:lang w:val="en-US"/>
        </w:rPr>
        <w:t>Hart’s report, given the report has been delayed by one year and the age and ill health of a number of</w:t>
      </w:r>
      <w:r w:rsidR="001C021B">
        <w:rPr>
          <w:lang w:val="en-US"/>
        </w:rPr>
        <w:t xml:space="preserve"> </w:t>
      </w:r>
      <w:r>
        <w:rPr>
          <w:lang w:val="en-US"/>
        </w:rPr>
        <w:t>the victims.</w:t>
      </w:r>
    </w:p>
    <w:p w:rsidR="00E84839" w:rsidRDefault="00E84839" w:rsidP="00E84839">
      <w:pPr>
        <w:pStyle w:val="NICCYBodyText"/>
        <w:rPr>
          <w:rFonts w:ascii="ITCFranklinGothicDemi" w:hAnsi="ITCFranklinGothicDemi" w:cs="ITCFranklinGothicDemi"/>
          <w:lang w:val="en-US"/>
        </w:rPr>
      </w:pPr>
      <w:r>
        <w:rPr>
          <w:rFonts w:ascii="ITCFranklinGothicDemi" w:hAnsi="ITCFranklinGothicDemi" w:cs="ITCFranklinGothicDemi"/>
          <w:lang w:val="en-US"/>
        </w:rPr>
        <w:t>(AQW 34980/11-15)</w:t>
      </w:r>
    </w:p>
    <w:p w:rsidR="001C021B" w:rsidRDefault="001C021B" w:rsidP="00E84839">
      <w:pPr>
        <w:pStyle w:val="NICCYBodyText"/>
        <w:rPr>
          <w:rFonts w:ascii="ITCFranklinGothicDemi" w:hAnsi="ITCFranklinGothicDemi" w:cs="ITCFranklinGothicDemi"/>
          <w:lang w:val="en-US"/>
        </w:rPr>
      </w:pPr>
    </w:p>
    <w:p w:rsidR="00E84839" w:rsidRDefault="00E84839" w:rsidP="00E84839">
      <w:pPr>
        <w:pStyle w:val="NICCYBodyText"/>
        <w:rPr>
          <w:lang w:val="en-US"/>
        </w:rPr>
      </w:pPr>
      <w:r w:rsidRPr="001C021B">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We do not underestimate the complexities of dealing with</w:t>
      </w:r>
      <w:r w:rsidR="001C021B">
        <w:rPr>
          <w:lang w:val="en-US"/>
        </w:rPr>
        <w:t xml:space="preserve"> </w:t>
      </w:r>
      <w:r>
        <w:rPr>
          <w:lang w:val="en-US"/>
        </w:rPr>
        <w:t>institutional abuse and every opportunity must be provided for those impacted by the allegations of</w:t>
      </w:r>
      <w:r w:rsidR="001C021B">
        <w:rPr>
          <w:lang w:val="en-US"/>
        </w:rPr>
        <w:t xml:space="preserve"> </w:t>
      </w:r>
      <w:r>
        <w:rPr>
          <w:lang w:val="en-US"/>
        </w:rPr>
        <w:t>abuse to be heard in an open forum.</w:t>
      </w:r>
    </w:p>
    <w:p w:rsidR="001C021B" w:rsidRDefault="001C021B" w:rsidP="00E84839">
      <w:pPr>
        <w:pStyle w:val="NICCYBodyText"/>
        <w:rPr>
          <w:lang w:val="en-US"/>
        </w:rPr>
      </w:pPr>
    </w:p>
    <w:p w:rsidR="00E84839" w:rsidRDefault="00E84839" w:rsidP="00E84839">
      <w:pPr>
        <w:pStyle w:val="NICCYBodyText"/>
        <w:rPr>
          <w:lang w:val="en-US"/>
        </w:rPr>
      </w:pPr>
      <w:r>
        <w:rPr>
          <w:lang w:val="en-US"/>
        </w:rPr>
        <w:t>The Historical Institutional Abuse Inquiry Chairman has reluctantly made a very persuasive and</w:t>
      </w:r>
      <w:r w:rsidR="001C021B">
        <w:rPr>
          <w:lang w:val="en-US"/>
        </w:rPr>
        <w:t xml:space="preserve"> </w:t>
      </w:r>
      <w:r>
        <w:rPr>
          <w:lang w:val="en-US"/>
        </w:rPr>
        <w:t>compelling case for a one y</w:t>
      </w:r>
      <w:r w:rsidR="001C021B">
        <w:rPr>
          <w:lang w:val="en-US"/>
        </w:rPr>
        <w:t xml:space="preserve">ear extension to the timeframe.  </w:t>
      </w:r>
      <w:r>
        <w:rPr>
          <w:lang w:val="en-US"/>
        </w:rPr>
        <w:t>However, it would be neither realistic</w:t>
      </w:r>
      <w:r w:rsidR="001C021B">
        <w:rPr>
          <w:lang w:val="en-US"/>
        </w:rPr>
        <w:t xml:space="preserve"> </w:t>
      </w:r>
      <w:r>
        <w:rPr>
          <w:lang w:val="en-US"/>
        </w:rPr>
        <w:t>nor reasonable to expect the Inquiry to reach conclusions without completing its work of gathering</w:t>
      </w:r>
      <w:r w:rsidR="001C021B">
        <w:rPr>
          <w:lang w:val="en-US"/>
        </w:rPr>
        <w:t xml:space="preserve"> </w:t>
      </w:r>
      <w:r>
        <w:rPr>
          <w:lang w:val="en-US"/>
        </w:rPr>
        <w:t xml:space="preserve">and considering all the evidence and distilling the findings </w:t>
      </w:r>
      <w:r>
        <w:rPr>
          <w:lang w:val="en-US"/>
        </w:rPr>
        <w:lastRenderedPageBreak/>
        <w:t>by which its recommendations would be</w:t>
      </w:r>
      <w:r w:rsidR="001C021B">
        <w:rPr>
          <w:lang w:val="en-US"/>
        </w:rPr>
        <w:t xml:space="preserve"> </w:t>
      </w:r>
      <w:r>
        <w:rPr>
          <w:lang w:val="en-US"/>
        </w:rPr>
        <w:t>informed.</w:t>
      </w:r>
      <w:r w:rsidR="001C021B">
        <w:rPr>
          <w:lang w:val="en-US"/>
        </w:rPr>
        <w:t xml:space="preserve">  </w:t>
      </w:r>
      <w:r>
        <w:rPr>
          <w:lang w:val="en-US"/>
        </w:rPr>
        <w:t>For the Inquiry Panel to reach conclusions in an interim report, without hearing and investigating all of</w:t>
      </w:r>
      <w:r w:rsidR="001C021B">
        <w:rPr>
          <w:lang w:val="en-US"/>
        </w:rPr>
        <w:t xml:space="preserve"> </w:t>
      </w:r>
      <w:r>
        <w:rPr>
          <w:lang w:val="en-US"/>
        </w:rPr>
        <w:t>the evidence, its credibility would be called into question by those it had yet to see.</w:t>
      </w:r>
    </w:p>
    <w:p w:rsidR="001C021B" w:rsidRDefault="001C021B" w:rsidP="00E84839">
      <w:pPr>
        <w:pStyle w:val="NICCYBodyText"/>
        <w:rPr>
          <w:lang w:val="en-US"/>
        </w:rPr>
      </w:pPr>
    </w:p>
    <w:p w:rsidR="00E84839" w:rsidRDefault="00E84839" w:rsidP="00E84839">
      <w:pPr>
        <w:pStyle w:val="NICCYBodyText"/>
        <w:rPr>
          <w:lang w:val="en-US"/>
        </w:rPr>
      </w:pPr>
      <w:r>
        <w:rPr>
          <w:lang w:val="en-US"/>
        </w:rPr>
        <w:t>In addition, the Historical Institutional Abuse Inquiry Terms of Reference state “the nature or level</w:t>
      </w:r>
      <w:r w:rsidR="001C021B">
        <w:rPr>
          <w:lang w:val="en-US"/>
        </w:rPr>
        <w:t xml:space="preserve"> </w:t>
      </w:r>
      <w:r>
        <w:rPr>
          <w:lang w:val="en-US"/>
        </w:rPr>
        <w:t>of any potential redress – financial or the provision of services – is a matter that the Executive will</w:t>
      </w:r>
      <w:r w:rsidR="001C021B">
        <w:rPr>
          <w:lang w:val="en-US"/>
        </w:rPr>
        <w:t xml:space="preserve"> </w:t>
      </w:r>
      <w:r>
        <w:rPr>
          <w:lang w:val="en-US"/>
        </w:rPr>
        <w:t>discuss and agree following receipt of the Inquiry and Investigation report”.</w:t>
      </w:r>
    </w:p>
    <w:p w:rsidR="001C021B" w:rsidRDefault="001C021B" w:rsidP="00E84839">
      <w:pPr>
        <w:pStyle w:val="NICCYBodyText"/>
        <w:rPr>
          <w:lang w:val="en-US"/>
        </w:rPr>
      </w:pPr>
    </w:p>
    <w:p w:rsidR="00E84839" w:rsidRDefault="00E84839" w:rsidP="00E84839">
      <w:pPr>
        <w:pStyle w:val="NICCYBodyText"/>
        <w:rPr>
          <w:lang w:val="en-US"/>
        </w:rPr>
      </w:pPr>
      <w:r>
        <w:rPr>
          <w:lang w:val="en-US"/>
        </w:rPr>
        <w:t>We will not pre-empt the work of the Inquiry or any future decisions that the Executive may make by</w:t>
      </w:r>
      <w:r w:rsidR="001C021B">
        <w:rPr>
          <w:lang w:val="en-US"/>
        </w:rPr>
        <w:t xml:space="preserve"> </w:t>
      </w:r>
      <w:r>
        <w:rPr>
          <w:lang w:val="en-US"/>
        </w:rPr>
        <w:t>speculating now about redress.</w:t>
      </w:r>
    </w:p>
    <w:p w:rsidR="00E84839" w:rsidRDefault="00E84839" w:rsidP="00E84839">
      <w:pPr>
        <w:rPr>
          <w:rFonts w:ascii="ITCFranklinGothicDemi" w:hAnsi="ITCFranklinGothicDemi" w:cs="ITCFranklinGothicDemi"/>
          <w:lang w:val="en-US"/>
        </w:rPr>
      </w:pPr>
    </w:p>
    <w:p w:rsidR="001C021B" w:rsidRDefault="001C021B" w:rsidP="001C021B">
      <w:pPr>
        <w:pStyle w:val="NICCYBodyText"/>
      </w:pPr>
      <w:hyperlink w:anchor="_top" w:history="1">
        <w:r w:rsidRPr="007715F2">
          <w:rPr>
            <w:rStyle w:val="Hyperlink"/>
          </w:rPr>
          <w:t xml:space="preserve">Back </w:t>
        </w:r>
        <w:r w:rsidRPr="007715F2">
          <w:rPr>
            <w:rStyle w:val="Hyperlink"/>
          </w:rPr>
          <w:t>t</w:t>
        </w:r>
        <w:r w:rsidRPr="007715F2">
          <w:rPr>
            <w:rStyle w:val="Hyperlink"/>
          </w:rPr>
          <w:t>o Top</w:t>
        </w:r>
      </w:hyperlink>
    </w:p>
    <w:p w:rsidR="00E84839" w:rsidRDefault="00E84839" w:rsidP="00E84839">
      <w:pPr>
        <w:rPr>
          <w:rFonts w:ascii="ITCFranklinGothicDemi" w:hAnsi="ITCFranklinGothicDemi" w:cs="ITCFranklinGothicDemi"/>
          <w:lang w:val="en-US"/>
        </w:rPr>
      </w:pPr>
    </w:p>
    <w:p w:rsidR="00E84839" w:rsidRPr="001C021B" w:rsidRDefault="00E84839" w:rsidP="001C021B">
      <w:pPr>
        <w:pStyle w:val="Heading2"/>
        <w:rPr>
          <w:color w:val="23A4DE"/>
          <w:lang w:val="en-US"/>
        </w:rPr>
      </w:pPr>
      <w:bookmarkStart w:id="3" w:name="_Low_Educational_Achievement"/>
      <w:bookmarkEnd w:id="3"/>
      <w:r w:rsidRPr="001C021B">
        <w:rPr>
          <w:color w:val="23A4DE"/>
          <w:lang w:val="en-US"/>
        </w:rPr>
        <w:t>Low Educational Achievement</w:t>
      </w:r>
    </w:p>
    <w:p w:rsidR="00E84839" w:rsidRDefault="00E84839" w:rsidP="001C021B">
      <w:pPr>
        <w:pStyle w:val="NICCYBodyText"/>
        <w:rPr>
          <w:lang w:val="en-US"/>
        </w:rPr>
      </w:pPr>
      <w:r w:rsidRPr="001C021B">
        <w:rPr>
          <w:rFonts w:ascii="ITCFranklinGothicDemi" w:hAnsi="ITCFranklinGothicDemi" w:cs="ITCFranklinGothicDemi"/>
          <w:b/>
          <w:lang w:val="en-US"/>
        </w:rPr>
        <w:t>Mr Weir</w:t>
      </w:r>
      <w:r>
        <w:rPr>
          <w:rFonts w:ascii="ITCFranklinGothicDemi" w:hAnsi="ITCFranklinGothicDemi" w:cs="ITCFranklinGothicDemi"/>
          <w:lang w:val="en-US"/>
        </w:rPr>
        <w:t xml:space="preserve"> </w:t>
      </w:r>
      <w:r>
        <w:rPr>
          <w:lang w:val="en-US"/>
        </w:rPr>
        <w:t>asked the First Minister and deputy First Minister to detail the departmental projects or</w:t>
      </w:r>
      <w:r w:rsidR="001C021B">
        <w:rPr>
          <w:lang w:val="en-US"/>
        </w:rPr>
        <w:t xml:space="preserve"> </w:t>
      </w:r>
      <w:r>
        <w:rPr>
          <w:lang w:val="en-US"/>
        </w:rPr>
        <w:t>funding schemes available to community organisations to help tackle low educational achievement.</w:t>
      </w:r>
    </w:p>
    <w:p w:rsidR="00E84839" w:rsidRDefault="00E84839" w:rsidP="001C021B">
      <w:pPr>
        <w:pStyle w:val="NICCYBodyText"/>
        <w:rPr>
          <w:rFonts w:ascii="ITCFranklinGothicDemi" w:hAnsi="ITCFranklinGothicDemi" w:cs="ITCFranklinGothicDemi"/>
          <w:lang w:val="en-US"/>
        </w:rPr>
      </w:pPr>
      <w:r>
        <w:rPr>
          <w:rFonts w:ascii="ITCFranklinGothicDemi" w:hAnsi="ITCFranklinGothicDemi" w:cs="ITCFranklinGothicDemi"/>
          <w:lang w:val="en-US"/>
        </w:rPr>
        <w:t>(AQW 35004/11-15)</w:t>
      </w:r>
    </w:p>
    <w:p w:rsidR="001C021B" w:rsidRDefault="001C021B" w:rsidP="001C021B">
      <w:pPr>
        <w:pStyle w:val="NICCYBodyText"/>
        <w:rPr>
          <w:rFonts w:ascii="ITCFranklinGothicDemi" w:hAnsi="ITCFranklinGothicDemi" w:cs="ITCFranklinGothicDemi"/>
          <w:lang w:val="en-US"/>
        </w:rPr>
      </w:pPr>
    </w:p>
    <w:p w:rsidR="00E84839" w:rsidRDefault="00E84839" w:rsidP="001C021B">
      <w:pPr>
        <w:pStyle w:val="NICCYBodyText"/>
        <w:rPr>
          <w:lang w:val="en-US"/>
        </w:rPr>
      </w:pPr>
      <w:r w:rsidRPr="001C021B">
        <w:rPr>
          <w:rFonts w:ascii="ITCFranklinGothicDemi" w:hAnsi="ITCFranklinGothicDemi" w:cs="ITCFranklinGothicDemi"/>
          <w:b/>
          <w:lang w:val="en-US"/>
        </w:rPr>
        <w:t>Mr P Robinson and Mr M McGuinness:</w:t>
      </w:r>
      <w:r>
        <w:rPr>
          <w:rFonts w:ascii="ITCFranklinGothicDemi" w:hAnsi="ITCFranklinGothicDemi" w:cs="ITCFranklinGothicDemi"/>
          <w:lang w:val="en-US"/>
        </w:rPr>
        <w:t xml:space="preserve"> </w:t>
      </w:r>
      <w:r>
        <w:rPr>
          <w:lang w:val="en-US"/>
        </w:rPr>
        <w:t>A number of projects funded by the Social Investment Fund are</w:t>
      </w:r>
      <w:r w:rsidR="001C021B">
        <w:rPr>
          <w:lang w:val="en-US"/>
        </w:rPr>
        <w:t xml:space="preserve"> </w:t>
      </w:r>
      <w:r>
        <w:rPr>
          <w:lang w:val="en-US"/>
        </w:rPr>
        <w:t>designed to address unemployment, provide training, or build or refurbish facilities for the provision of</w:t>
      </w:r>
      <w:r w:rsidR="001C021B">
        <w:rPr>
          <w:lang w:val="en-US"/>
        </w:rPr>
        <w:t xml:space="preserve"> </w:t>
      </w:r>
      <w:r>
        <w:rPr>
          <w:lang w:val="en-US"/>
        </w:rPr>
        <w:t>training, and therefore are likely to contribute to tackling low educational achievement.</w:t>
      </w:r>
      <w:r w:rsidR="001C021B">
        <w:rPr>
          <w:lang w:val="en-US"/>
        </w:rPr>
        <w:t xml:space="preserve">  </w:t>
      </w:r>
      <w:r>
        <w:rPr>
          <w:lang w:val="en-US"/>
        </w:rPr>
        <w:t>A full list of projects is available at:- http://www.ofmdfmni.gov.uk/index/delivering-social-change/socialinvestment-</w:t>
      </w:r>
    </w:p>
    <w:p w:rsidR="00E84839" w:rsidRDefault="00E84839" w:rsidP="001C021B">
      <w:pPr>
        <w:pStyle w:val="NICCYBodyText"/>
        <w:rPr>
          <w:lang w:val="en-US"/>
        </w:rPr>
      </w:pPr>
      <w:r>
        <w:rPr>
          <w:lang w:val="en-US"/>
        </w:rPr>
        <w:t>fund/sif-projects.htm</w:t>
      </w:r>
    </w:p>
    <w:p w:rsidR="001C021B" w:rsidRDefault="001C021B" w:rsidP="001C021B">
      <w:pPr>
        <w:pStyle w:val="NICCYBodyText"/>
        <w:rPr>
          <w:lang w:val="en-US"/>
        </w:rPr>
      </w:pPr>
    </w:p>
    <w:p w:rsidR="00E84839" w:rsidRDefault="00E84839" w:rsidP="001C021B">
      <w:pPr>
        <w:pStyle w:val="NICCYBodyText"/>
        <w:rPr>
          <w:lang w:val="en-US"/>
        </w:rPr>
      </w:pPr>
      <w:r>
        <w:rPr>
          <w:lang w:val="en-US"/>
        </w:rPr>
        <w:t>At this point, within our Department, there are no funding schemes open to community organisations to</w:t>
      </w:r>
      <w:r w:rsidR="001C021B">
        <w:rPr>
          <w:lang w:val="en-US"/>
        </w:rPr>
        <w:t xml:space="preserve"> </w:t>
      </w:r>
      <w:r>
        <w:rPr>
          <w:lang w:val="en-US"/>
        </w:rPr>
        <w:t>specifically tackle low educational achievement</w:t>
      </w:r>
    </w:p>
    <w:p w:rsidR="00E84839" w:rsidRDefault="00E84839" w:rsidP="00E84839">
      <w:pPr>
        <w:rPr>
          <w:rFonts w:ascii="ITCFranklinGothicBook" w:hAnsi="ITCFranklinGothicBook" w:cs="ITCFranklinGothicBook"/>
          <w:sz w:val="20"/>
          <w:szCs w:val="20"/>
          <w:lang w:val="en-US"/>
        </w:rPr>
      </w:pPr>
    </w:p>
    <w:p w:rsidR="001C021B" w:rsidRDefault="001C021B" w:rsidP="001C021B">
      <w:pPr>
        <w:pStyle w:val="NICCYBodyText"/>
      </w:pPr>
      <w:hyperlink w:anchor="_top" w:history="1">
        <w:r w:rsidRPr="007715F2">
          <w:rPr>
            <w:rStyle w:val="Hyperlink"/>
          </w:rPr>
          <w:t>Back</w:t>
        </w:r>
        <w:r w:rsidRPr="007715F2">
          <w:rPr>
            <w:rStyle w:val="Hyperlink"/>
          </w:rPr>
          <w:t xml:space="preserve"> </w:t>
        </w:r>
        <w:r w:rsidRPr="007715F2">
          <w:rPr>
            <w:rStyle w:val="Hyperlink"/>
          </w:rPr>
          <w:t>t</w:t>
        </w:r>
        <w:r w:rsidRPr="007715F2">
          <w:rPr>
            <w:rStyle w:val="Hyperlink"/>
          </w:rPr>
          <w:t>o</w:t>
        </w:r>
        <w:r w:rsidRPr="007715F2">
          <w:rPr>
            <w:rStyle w:val="Hyperlink"/>
          </w:rPr>
          <w:t xml:space="preserve"> Top</w:t>
        </w:r>
      </w:hyperlink>
    </w:p>
    <w:p w:rsidR="001C021B" w:rsidRDefault="001C021B" w:rsidP="00E84839">
      <w:pPr>
        <w:rPr>
          <w:rFonts w:ascii="ITCFranklinGothicBook" w:hAnsi="ITCFranklinGothicBook" w:cs="ITCFranklinGothicBook"/>
          <w:sz w:val="20"/>
          <w:szCs w:val="20"/>
          <w:lang w:val="en-US"/>
        </w:rPr>
      </w:pPr>
    </w:p>
    <w:p w:rsidR="001C021B" w:rsidRDefault="001C021B" w:rsidP="00E84839">
      <w:pPr>
        <w:rPr>
          <w:rFonts w:ascii="ITCFranklinGothicBook" w:hAnsi="ITCFranklinGothicBook" w:cs="ITCFranklinGothicBook"/>
          <w:sz w:val="20"/>
          <w:szCs w:val="20"/>
          <w:lang w:val="en-US"/>
        </w:rPr>
      </w:pPr>
    </w:p>
    <w:p w:rsidR="001C021B" w:rsidRDefault="001C021B" w:rsidP="00E84839">
      <w:pPr>
        <w:rPr>
          <w:rFonts w:ascii="ITCFranklinGothicBook" w:hAnsi="ITCFranklinGothicBook" w:cs="ITCFranklinGothicBook"/>
          <w:sz w:val="20"/>
          <w:szCs w:val="20"/>
          <w:lang w:val="en-US"/>
        </w:rPr>
      </w:pPr>
    </w:p>
    <w:p w:rsidR="001C021B" w:rsidRDefault="001C021B" w:rsidP="00E84839">
      <w:pPr>
        <w:rPr>
          <w:rFonts w:ascii="ITCFranklinGothicBook" w:hAnsi="ITCFranklinGothicBook" w:cs="ITCFranklinGothicBook"/>
          <w:sz w:val="20"/>
          <w:szCs w:val="20"/>
          <w:lang w:val="en-US"/>
        </w:rPr>
      </w:pPr>
    </w:p>
    <w:p w:rsidR="001C021B" w:rsidRDefault="001C021B" w:rsidP="00E84839">
      <w:pPr>
        <w:rPr>
          <w:rFonts w:ascii="ITCFranklinGothicBook" w:hAnsi="ITCFranklinGothicBook" w:cs="ITCFranklinGothicBook"/>
          <w:sz w:val="20"/>
          <w:szCs w:val="20"/>
          <w:lang w:val="en-US"/>
        </w:rPr>
      </w:pPr>
    </w:p>
    <w:p w:rsidR="001C021B" w:rsidRDefault="001C021B" w:rsidP="00E84839">
      <w:pPr>
        <w:rPr>
          <w:rFonts w:ascii="ITCFranklinGothicBook" w:hAnsi="ITCFranklinGothicBook" w:cs="ITCFranklinGothicBook"/>
          <w:sz w:val="20"/>
          <w:szCs w:val="20"/>
          <w:lang w:val="en-US"/>
        </w:rPr>
      </w:pPr>
    </w:p>
    <w:p w:rsidR="001C021B" w:rsidRDefault="001C021B" w:rsidP="001C021B">
      <w:pPr>
        <w:pStyle w:val="NICCYHeading"/>
        <w:rPr>
          <w:lang w:val="en-US"/>
        </w:rPr>
      </w:pPr>
      <w:r>
        <w:rPr>
          <w:lang w:val="en-US"/>
        </w:rPr>
        <w:lastRenderedPageBreak/>
        <w:t>Department of Education</w:t>
      </w:r>
    </w:p>
    <w:p w:rsidR="00E84839" w:rsidRPr="001C021B" w:rsidRDefault="00E84839" w:rsidP="001C021B">
      <w:pPr>
        <w:pStyle w:val="Heading2"/>
        <w:rPr>
          <w:color w:val="23A4DE"/>
          <w:lang w:val="en-US"/>
        </w:rPr>
      </w:pPr>
      <w:bookmarkStart w:id="4" w:name="_Consultation_on_Elective"/>
      <w:bookmarkEnd w:id="4"/>
      <w:r w:rsidRPr="001C021B">
        <w:rPr>
          <w:color w:val="23A4DE"/>
          <w:lang w:val="en-US"/>
        </w:rPr>
        <w:t>Consultation on Elective Home Education: Education Otherwise</w:t>
      </w:r>
    </w:p>
    <w:p w:rsidR="00E84839" w:rsidRDefault="00E84839" w:rsidP="001C021B">
      <w:pPr>
        <w:pStyle w:val="NICCYBodyText"/>
        <w:rPr>
          <w:lang w:val="en-US"/>
        </w:rPr>
      </w:pPr>
      <w:r w:rsidRPr="001C021B">
        <w:rPr>
          <w:rFonts w:ascii="ITCFranklinGothicDemi" w:hAnsi="ITCFranklinGothicDemi" w:cs="ITCFranklinGothicDemi"/>
          <w:b/>
          <w:lang w:val="en-US"/>
        </w:rPr>
        <w:t>Mr Allister</w:t>
      </w:r>
      <w:r>
        <w:rPr>
          <w:rFonts w:ascii="ITCFranklinGothicDemi" w:hAnsi="ITCFranklinGothicDemi" w:cs="ITCFranklinGothicDemi"/>
          <w:lang w:val="en-US"/>
        </w:rPr>
        <w:t xml:space="preserve"> </w:t>
      </w:r>
      <w:r>
        <w:rPr>
          <w:lang w:val="en-US"/>
        </w:rPr>
        <w:t>asked the Minister of Education why only four organisations have been invited to respond to</w:t>
      </w:r>
      <w:r w:rsidR="001C021B">
        <w:rPr>
          <w:lang w:val="en-US"/>
        </w:rPr>
        <w:t xml:space="preserve"> </w:t>
      </w:r>
      <w:r>
        <w:rPr>
          <w:lang w:val="en-US"/>
        </w:rPr>
        <w:t>the Elective Home Education consultation; and why Education Otherwise was not invited to respond.</w:t>
      </w:r>
    </w:p>
    <w:p w:rsidR="00E84839" w:rsidRDefault="00E84839" w:rsidP="001C021B">
      <w:pPr>
        <w:pStyle w:val="NICCYBodyText"/>
        <w:rPr>
          <w:rFonts w:ascii="ITCFranklinGothicDemi" w:hAnsi="ITCFranklinGothicDemi" w:cs="ITCFranklinGothicDemi"/>
          <w:lang w:val="en-US"/>
        </w:rPr>
      </w:pPr>
      <w:r>
        <w:rPr>
          <w:rFonts w:ascii="ITCFranklinGothicDemi" w:hAnsi="ITCFranklinGothicDemi" w:cs="ITCFranklinGothicDemi"/>
          <w:lang w:val="en-US"/>
        </w:rPr>
        <w:t>(AQW 34315/11-15)</w:t>
      </w:r>
    </w:p>
    <w:p w:rsidR="001C021B" w:rsidRDefault="001C021B" w:rsidP="001C021B">
      <w:pPr>
        <w:pStyle w:val="NICCYBodyText"/>
        <w:rPr>
          <w:rFonts w:ascii="ITCFranklinGothicDemi" w:hAnsi="ITCFranklinGothicDemi" w:cs="ITCFranklinGothicDemi"/>
          <w:lang w:val="en-US"/>
        </w:rPr>
      </w:pPr>
    </w:p>
    <w:p w:rsidR="00E84839" w:rsidRDefault="00E84839" w:rsidP="001C021B">
      <w:pPr>
        <w:pStyle w:val="NICCYBodyText"/>
        <w:rPr>
          <w:lang w:val="en-US"/>
        </w:rPr>
      </w:pPr>
      <w:r w:rsidRPr="001C021B">
        <w:rPr>
          <w:rFonts w:ascii="ITCFranklinGothicDemi" w:hAnsi="ITCFranklinGothicDemi" w:cs="ITCFranklinGothicDemi"/>
          <w:b/>
          <w:lang w:val="en-US"/>
        </w:rPr>
        <w:t>Mr O’Dowd (The Minister of Education):</w:t>
      </w:r>
      <w:r>
        <w:rPr>
          <w:rFonts w:ascii="ITCFranklinGothicDemi" w:hAnsi="ITCFranklinGothicDemi" w:cs="ITCFranklinGothicDemi"/>
          <w:lang w:val="en-US"/>
        </w:rPr>
        <w:t xml:space="preserve"> </w:t>
      </w:r>
      <w:r>
        <w:rPr>
          <w:lang w:val="en-US"/>
        </w:rPr>
        <w:t>The Education and Library Boards (the Boards) have advised</w:t>
      </w:r>
      <w:r w:rsidR="001C021B">
        <w:rPr>
          <w:lang w:val="en-US"/>
        </w:rPr>
        <w:t xml:space="preserve"> </w:t>
      </w:r>
      <w:r>
        <w:rPr>
          <w:lang w:val="en-US"/>
        </w:rPr>
        <w:t>that consultation on the draft home education guidance document has been undertaken in line with</w:t>
      </w:r>
      <w:r w:rsidR="001C021B">
        <w:rPr>
          <w:lang w:val="en-US"/>
        </w:rPr>
        <w:t xml:space="preserve"> </w:t>
      </w:r>
      <w:r>
        <w:rPr>
          <w:lang w:val="en-US"/>
        </w:rPr>
        <w:t>the Consultation Strategy document (developed by all five boards). This was published alongside the</w:t>
      </w:r>
      <w:r w:rsidR="001C021B">
        <w:rPr>
          <w:lang w:val="en-US"/>
        </w:rPr>
        <w:t xml:space="preserve"> </w:t>
      </w:r>
      <w:r>
        <w:rPr>
          <w:lang w:val="en-US"/>
        </w:rPr>
        <w:t>draft guidance document, and sets out the range of methods through which the Boards have sought to</w:t>
      </w:r>
      <w:r w:rsidR="001C021B">
        <w:rPr>
          <w:lang w:val="en-US"/>
        </w:rPr>
        <w:t xml:space="preserve"> </w:t>
      </w:r>
      <w:r>
        <w:rPr>
          <w:lang w:val="en-US"/>
        </w:rPr>
        <w:t>facilitate engagement and consultation with all those who have an interest in elective home education.</w:t>
      </w:r>
      <w:r w:rsidR="001C021B">
        <w:rPr>
          <w:lang w:val="en-US"/>
        </w:rPr>
        <w:t xml:space="preserve">  </w:t>
      </w:r>
      <w:r>
        <w:rPr>
          <w:lang w:val="en-US"/>
        </w:rPr>
        <w:t>This included a range of stakeholder organisations in the wider education community such as the</w:t>
      </w:r>
      <w:r w:rsidR="001C021B">
        <w:rPr>
          <w:lang w:val="en-US"/>
        </w:rPr>
        <w:t xml:space="preserve"> </w:t>
      </w:r>
      <w:r>
        <w:rPr>
          <w:lang w:val="en-US"/>
        </w:rPr>
        <w:t>Commissioner for Children and Young People (NICCY); the Children’s Law Centre (CLC); and the Special</w:t>
      </w:r>
    </w:p>
    <w:p w:rsidR="00E84839" w:rsidRDefault="00E84839" w:rsidP="001C021B">
      <w:pPr>
        <w:pStyle w:val="NICCYBodyText"/>
        <w:rPr>
          <w:lang w:val="en-US"/>
        </w:rPr>
      </w:pPr>
      <w:r>
        <w:rPr>
          <w:lang w:val="en-US"/>
        </w:rPr>
        <w:t>Educational Needs Advice Centre (SENAC).</w:t>
      </w:r>
      <w:r w:rsidR="001C021B">
        <w:rPr>
          <w:lang w:val="en-US"/>
        </w:rPr>
        <w:t xml:space="preserve">  </w:t>
      </w:r>
      <w:r>
        <w:rPr>
          <w:lang w:val="en-US"/>
        </w:rPr>
        <w:t xml:space="preserve">In addition, 343 Section 75 </w:t>
      </w:r>
      <w:proofErr w:type="spellStart"/>
      <w:r>
        <w:rPr>
          <w:lang w:val="en-US"/>
        </w:rPr>
        <w:t>Consultees</w:t>
      </w:r>
      <w:proofErr w:type="spellEnd"/>
      <w:r>
        <w:rPr>
          <w:lang w:val="en-US"/>
        </w:rPr>
        <w:t xml:space="preserve"> were contacted by</w:t>
      </w:r>
      <w:r w:rsidR="001C021B">
        <w:rPr>
          <w:lang w:val="en-US"/>
        </w:rPr>
        <w:t xml:space="preserve"> </w:t>
      </w:r>
      <w:r>
        <w:rPr>
          <w:lang w:val="en-US"/>
        </w:rPr>
        <w:t>the Boards to advise of the consultation process.</w:t>
      </w:r>
    </w:p>
    <w:p w:rsidR="001C021B" w:rsidRDefault="001C021B" w:rsidP="001C021B">
      <w:pPr>
        <w:pStyle w:val="NICCYBodyText"/>
        <w:rPr>
          <w:lang w:val="en-US"/>
        </w:rPr>
      </w:pPr>
    </w:p>
    <w:p w:rsidR="00E84839" w:rsidRDefault="00E84839" w:rsidP="001C021B">
      <w:pPr>
        <w:pStyle w:val="NICCYBodyText"/>
        <w:rPr>
          <w:lang w:val="en-US"/>
        </w:rPr>
      </w:pPr>
      <w:r>
        <w:rPr>
          <w:lang w:val="en-US"/>
        </w:rPr>
        <w:t>The Boards have advised that they identified Home Education in the north of Ireland (</w:t>
      </w:r>
      <w:proofErr w:type="spellStart"/>
      <w:r>
        <w:rPr>
          <w:lang w:val="en-US"/>
        </w:rPr>
        <w:t>HEdNI</w:t>
      </w:r>
      <w:proofErr w:type="spellEnd"/>
      <w:r>
        <w:rPr>
          <w:lang w:val="en-US"/>
        </w:rPr>
        <w:t>) at the</w:t>
      </w:r>
      <w:r w:rsidR="001C021B">
        <w:rPr>
          <w:lang w:val="en-US"/>
        </w:rPr>
        <w:t xml:space="preserve"> </w:t>
      </w:r>
      <w:r>
        <w:rPr>
          <w:lang w:val="en-US"/>
        </w:rPr>
        <w:t>outset as the main regional representative group and, whilst Education Otherwise was not identified</w:t>
      </w:r>
      <w:r w:rsidR="001C021B">
        <w:rPr>
          <w:lang w:val="en-US"/>
        </w:rPr>
        <w:t xml:space="preserve"> </w:t>
      </w:r>
      <w:r>
        <w:rPr>
          <w:lang w:val="en-US"/>
        </w:rPr>
        <w:t>at that point, I understand the Boards subsequently provided a copy of the consultation documents to</w:t>
      </w:r>
      <w:r w:rsidR="001C021B">
        <w:rPr>
          <w:lang w:val="en-US"/>
        </w:rPr>
        <w:t xml:space="preserve"> </w:t>
      </w:r>
      <w:r>
        <w:rPr>
          <w:lang w:val="en-US"/>
        </w:rPr>
        <w:t>Education Otherwise for consideration and comment.</w:t>
      </w:r>
    </w:p>
    <w:p w:rsidR="001C021B" w:rsidRDefault="001C021B" w:rsidP="001C021B">
      <w:pPr>
        <w:pStyle w:val="NICCYBodyText"/>
        <w:rPr>
          <w:lang w:val="en-US"/>
        </w:rPr>
      </w:pPr>
    </w:p>
    <w:p w:rsidR="00E84839" w:rsidRDefault="00E84839" w:rsidP="001C021B">
      <w:pPr>
        <w:pStyle w:val="NICCYBodyText"/>
        <w:rPr>
          <w:lang w:val="en-US"/>
        </w:rPr>
      </w:pPr>
      <w:r>
        <w:rPr>
          <w:lang w:val="en-US"/>
        </w:rPr>
        <w:t>The consultation process has sought to provide an opportunity for views and ideas to be provided to</w:t>
      </w:r>
      <w:r w:rsidR="001C021B">
        <w:rPr>
          <w:lang w:val="en-US"/>
        </w:rPr>
        <w:t xml:space="preserve"> </w:t>
      </w:r>
      <w:r>
        <w:rPr>
          <w:lang w:val="en-US"/>
        </w:rPr>
        <w:t>the Boards - by organisations and members of the public - on how they best strike the balance between</w:t>
      </w:r>
      <w:r w:rsidR="001C021B">
        <w:rPr>
          <w:lang w:val="en-US"/>
        </w:rPr>
        <w:t xml:space="preserve"> </w:t>
      </w:r>
      <w:r>
        <w:rPr>
          <w:lang w:val="en-US"/>
        </w:rPr>
        <w:t>ensuring that the rights and needs of children themselves are appropriately protected and facilitating</w:t>
      </w:r>
      <w:r w:rsidR="001C021B">
        <w:rPr>
          <w:lang w:val="en-US"/>
        </w:rPr>
        <w:t xml:space="preserve"> </w:t>
      </w:r>
      <w:r>
        <w:rPr>
          <w:lang w:val="en-US"/>
        </w:rPr>
        <w:t>parental preference for home education.</w:t>
      </w:r>
      <w:r w:rsidR="001C021B">
        <w:rPr>
          <w:lang w:val="en-US"/>
        </w:rPr>
        <w:t xml:space="preserve">  </w:t>
      </w:r>
      <w:r>
        <w:rPr>
          <w:lang w:val="en-US"/>
        </w:rPr>
        <w:t>As part of the Boards’ consultation I have made clear that I expect the Boards to ensure engagement</w:t>
      </w:r>
    </w:p>
    <w:p w:rsidR="00E84839" w:rsidRDefault="00E84839" w:rsidP="001C021B">
      <w:pPr>
        <w:pStyle w:val="NICCYBodyText"/>
        <w:rPr>
          <w:lang w:val="en-US"/>
        </w:rPr>
      </w:pPr>
      <w:r>
        <w:rPr>
          <w:lang w:val="en-US"/>
        </w:rPr>
        <w:t>with as wide a range of stakeholders as possible and to ensure also that the feedback they receive is</w:t>
      </w:r>
      <w:r w:rsidR="001C021B">
        <w:rPr>
          <w:lang w:val="en-US"/>
        </w:rPr>
        <w:t xml:space="preserve"> </w:t>
      </w:r>
      <w:r>
        <w:rPr>
          <w:lang w:val="en-US"/>
        </w:rPr>
        <w:t>considered very carefully in reviewing the draft guidance.</w:t>
      </w:r>
    </w:p>
    <w:p w:rsidR="00E84839" w:rsidRDefault="00E84839" w:rsidP="00E84839">
      <w:pPr>
        <w:rPr>
          <w:rFonts w:ascii="ITCFranklinGothicDemi" w:hAnsi="ITCFranklinGothicDemi" w:cs="ITCFranklinGothicDemi"/>
          <w:lang w:val="en-US"/>
        </w:rPr>
      </w:pPr>
    </w:p>
    <w:p w:rsidR="001C021B" w:rsidRDefault="001C021B" w:rsidP="001C021B">
      <w:pPr>
        <w:pStyle w:val="NICCYBodyText"/>
      </w:pPr>
      <w:hyperlink w:anchor="_top" w:history="1">
        <w:r w:rsidRPr="007715F2">
          <w:rPr>
            <w:rStyle w:val="Hyperlink"/>
          </w:rPr>
          <w:t>Bac</w:t>
        </w:r>
        <w:r w:rsidRPr="007715F2">
          <w:rPr>
            <w:rStyle w:val="Hyperlink"/>
          </w:rPr>
          <w:t>k</w:t>
        </w:r>
        <w:r w:rsidRPr="007715F2">
          <w:rPr>
            <w:rStyle w:val="Hyperlink"/>
          </w:rPr>
          <w:t xml:space="preserve"> </w:t>
        </w:r>
        <w:r w:rsidRPr="007715F2">
          <w:rPr>
            <w:rStyle w:val="Hyperlink"/>
          </w:rPr>
          <w:t>t</w:t>
        </w:r>
        <w:r w:rsidRPr="007715F2">
          <w:rPr>
            <w:rStyle w:val="Hyperlink"/>
          </w:rPr>
          <w:t>o Top</w:t>
        </w:r>
      </w:hyperlink>
    </w:p>
    <w:p w:rsidR="001C021B" w:rsidRDefault="001C021B" w:rsidP="00E84839">
      <w:pPr>
        <w:rPr>
          <w:rFonts w:ascii="ITCFranklinGothicDemi" w:hAnsi="ITCFranklinGothicDemi" w:cs="ITCFranklinGothicDemi"/>
          <w:lang w:val="en-US"/>
        </w:rPr>
      </w:pPr>
    </w:p>
    <w:p w:rsidR="00E84839" w:rsidRDefault="00E84839" w:rsidP="00E84839">
      <w:pPr>
        <w:rPr>
          <w:rFonts w:ascii="ITCFranklinGothicDemi" w:hAnsi="ITCFranklinGothicDemi" w:cs="ITCFranklinGothicDemi"/>
          <w:lang w:val="en-US"/>
        </w:rPr>
      </w:pPr>
    </w:p>
    <w:p w:rsidR="00E84839" w:rsidRPr="001C021B" w:rsidRDefault="00E84839" w:rsidP="001C021B">
      <w:pPr>
        <w:pStyle w:val="Heading2"/>
        <w:rPr>
          <w:color w:val="23A4DE"/>
          <w:lang w:val="en-US"/>
        </w:rPr>
      </w:pPr>
      <w:bookmarkStart w:id="5" w:name="_Consultation_on_Elective_1"/>
      <w:bookmarkEnd w:id="5"/>
      <w:r w:rsidRPr="001C021B">
        <w:rPr>
          <w:color w:val="23A4DE"/>
          <w:lang w:val="en-US"/>
        </w:rPr>
        <w:lastRenderedPageBreak/>
        <w:t>Consultation on Elective Home Education</w:t>
      </w:r>
    </w:p>
    <w:p w:rsidR="001C021B" w:rsidRDefault="00E84839" w:rsidP="001C021B">
      <w:pPr>
        <w:pStyle w:val="NICCYBodyText"/>
        <w:rPr>
          <w:lang w:val="en-US"/>
        </w:rPr>
      </w:pPr>
      <w:r w:rsidRPr="001C021B">
        <w:rPr>
          <w:rFonts w:ascii="ITCFranklinGothicDemi" w:hAnsi="ITCFranklinGothicDemi" w:cs="ITCFranklinGothicDemi"/>
          <w:b/>
          <w:lang w:val="en-US"/>
        </w:rPr>
        <w:t>Lord Morrow</w:t>
      </w:r>
      <w:r>
        <w:rPr>
          <w:rFonts w:ascii="ITCFranklinGothicDemi" w:hAnsi="ITCFranklinGothicDemi" w:cs="ITCFranklinGothicDemi"/>
          <w:lang w:val="en-US"/>
        </w:rPr>
        <w:t xml:space="preserve"> </w:t>
      </w:r>
      <w:r>
        <w:rPr>
          <w:lang w:val="en-US"/>
        </w:rPr>
        <w:t xml:space="preserve">asked the Minister of Education </w:t>
      </w:r>
    </w:p>
    <w:p w:rsidR="001C021B" w:rsidRDefault="00E84839" w:rsidP="001C021B">
      <w:pPr>
        <w:pStyle w:val="NICCYBodyText"/>
        <w:rPr>
          <w:lang w:val="en-US"/>
        </w:rPr>
      </w:pPr>
      <w:r>
        <w:rPr>
          <w:lang w:val="en-US"/>
        </w:rPr>
        <w:t>(</w:t>
      </w:r>
      <w:proofErr w:type="spellStart"/>
      <w:r>
        <w:rPr>
          <w:lang w:val="en-US"/>
        </w:rPr>
        <w:t>i</w:t>
      </w:r>
      <w:proofErr w:type="spellEnd"/>
      <w:r>
        <w:rPr>
          <w:lang w:val="en-US"/>
        </w:rPr>
        <w:t xml:space="preserve">) </w:t>
      </w:r>
      <w:proofErr w:type="gramStart"/>
      <w:r>
        <w:rPr>
          <w:lang w:val="en-US"/>
        </w:rPr>
        <w:t>which</w:t>
      </w:r>
      <w:proofErr w:type="gramEnd"/>
      <w:r>
        <w:rPr>
          <w:lang w:val="en-US"/>
        </w:rPr>
        <w:t xml:space="preserve"> organisations were invited to respond to the</w:t>
      </w:r>
      <w:r w:rsidR="001C021B">
        <w:rPr>
          <w:lang w:val="en-US"/>
        </w:rPr>
        <w:t xml:space="preserve"> </w:t>
      </w:r>
      <w:r>
        <w:rPr>
          <w:lang w:val="en-US"/>
        </w:rPr>
        <w:t xml:space="preserve">consultation on elective home education; </w:t>
      </w:r>
    </w:p>
    <w:p w:rsidR="001C021B" w:rsidRDefault="00E84839" w:rsidP="001C021B">
      <w:pPr>
        <w:pStyle w:val="NICCYBodyText"/>
        <w:rPr>
          <w:lang w:val="en-US"/>
        </w:rPr>
      </w:pPr>
      <w:r>
        <w:rPr>
          <w:lang w:val="en-US"/>
        </w:rPr>
        <w:t xml:space="preserve">(ii) </w:t>
      </w:r>
      <w:proofErr w:type="gramStart"/>
      <w:r>
        <w:rPr>
          <w:lang w:val="en-US"/>
        </w:rPr>
        <w:t>why</w:t>
      </w:r>
      <w:proofErr w:type="gramEnd"/>
      <w:r>
        <w:rPr>
          <w:lang w:val="en-US"/>
        </w:rPr>
        <w:t xml:space="preserve"> they were selected; </w:t>
      </w:r>
    </w:p>
    <w:p w:rsidR="001C021B" w:rsidRDefault="00E84839" w:rsidP="001C021B">
      <w:pPr>
        <w:pStyle w:val="NICCYBodyText"/>
        <w:rPr>
          <w:lang w:val="en-US"/>
        </w:rPr>
      </w:pPr>
      <w:r>
        <w:rPr>
          <w:lang w:val="en-US"/>
        </w:rPr>
        <w:t xml:space="preserve">(iii) </w:t>
      </w:r>
      <w:proofErr w:type="gramStart"/>
      <w:r>
        <w:rPr>
          <w:lang w:val="en-US"/>
        </w:rPr>
        <w:t>who</w:t>
      </w:r>
      <w:proofErr w:type="gramEnd"/>
      <w:r>
        <w:rPr>
          <w:lang w:val="en-US"/>
        </w:rPr>
        <w:t xml:space="preserve"> made the decisions in</w:t>
      </w:r>
      <w:r w:rsidR="001C021B">
        <w:rPr>
          <w:lang w:val="en-US"/>
        </w:rPr>
        <w:t xml:space="preserve"> </w:t>
      </w:r>
      <w:r>
        <w:rPr>
          <w:lang w:val="en-US"/>
        </w:rPr>
        <w:t xml:space="preserve">respect of the those invited to respond; </w:t>
      </w:r>
    </w:p>
    <w:p w:rsidR="00E84839" w:rsidRDefault="00E84839" w:rsidP="001C021B">
      <w:pPr>
        <w:pStyle w:val="NICCYBodyText"/>
        <w:rPr>
          <w:lang w:val="en-US"/>
        </w:rPr>
      </w:pPr>
      <w:r>
        <w:rPr>
          <w:lang w:val="en-US"/>
        </w:rPr>
        <w:t xml:space="preserve">(iv) </w:t>
      </w:r>
      <w:proofErr w:type="gramStart"/>
      <w:r>
        <w:rPr>
          <w:lang w:val="en-US"/>
        </w:rPr>
        <w:t>will</w:t>
      </w:r>
      <w:proofErr w:type="gramEnd"/>
      <w:r>
        <w:rPr>
          <w:lang w:val="en-US"/>
        </w:rPr>
        <w:t xml:space="preserve"> these organisations form the Stakeholder Group; and</w:t>
      </w:r>
    </w:p>
    <w:p w:rsidR="00E84839" w:rsidRDefault="00E84839" w:rsidP="001C021B">
      <w:pPr>
        <w:pStyle w:val="NICCYBodyText"/>
        <w:rPr>
          <w:lang w:val="en-US"/>
        </w:rPr>
      </w:pPr>
      <w:r>
        <w:rPr>
          <w:lang w:val="en-US"/>
        </w:rPr>
        <w:t xml:space="preserve">(v) </w:t>
      </w:r>
      <w:proofErr w:type="gramStart"/>
      <w:r>
        <w:rPr>
          <w:lang w:val="en-US"/>
        </w:rPr>
        <w:t>whether</w:t>
      </w:r>
      <w:proofErr w:type="gramEnd"/>
      <w:r>
        <w:rPr>
          <w:lang w:val="en-US"/>
        </w:rPr>
        <w:t xml:space="preserve"> other organisations with a specific interest in elective home education can apply to join the</w:t>
      </w:r>
      <w:r w:rsidR="00774E6A">
        <w:rPr>
          <w:lang w:val="en-US"/>
        </w:rPr>
        <w:t xml:space="preserve"> </w:t>
      </w:r>
      <w:r>
        <w:rPr>
          <w:lang w:val="en-US"/>
        </w:rPr>
        <w:t>Stakeholder Group.</w:t>
      </w:r>
    </w:p>
    <w:p w:rsidR="00E84839" w:rsidRDefault="00E84839" w:rsidP="001C021B">
      <w:pPr>
        <w:pStyle w:val="NICCYBodyText"/>
        <w:rPr>
          <w:rFonts w:ascii="ITCFranklinGothicDemi" w:hAnsi="ITCFranklinGothicDemi" w:cs="ITCFranklinGothicDemi"/>
          <w:lang w:val="en-US"/>
        </w:rPr>
      </w:pPr>
      <w:r>
        <w:rPr>
          <w:rFonts w:ascii="ITCFranklinGothicDemi" w:hAnsi="ITCFranklinGothicDemi" w:cs="ITCFranklinGothicDemi"/>
          <w:lang w:val="en-US"/>
        </w:rPr>
        <w:t>(AQW 34577/11-15)</w:t>
      </w:r>
    </w:p>
    <w:p w:rsidR="00774E6A" w:rsidRDefault="00774E6A" w:rsidP="001C021B">
      <w:pPr>
        <w:pStyle w:val="NICCYBodyText"/>
        <w:rPr>
          <w:rFonts w:ascii="ITCFranklinGothicDemi" w:hAnsi="ITCFranklinGothicDemi" w:cs="ITCFranklinGothicDemi"/>
          <w:lang w:val="en-US"/>
        </w:rPr>
      </w:pPr>
    </w:p>
    <w:p w:rsidR="00E84839" w:rsidRDefault="00E84839" w:rsidP="001C021B">
      <w:pPr>
        <w:pStyle w:val="NICCYBodyText"/>
        <w:rPr>
          <w:lang w:val="en-US"/>
        </w:rPr>
      </w:pPr>
      <w:r w:rsidRPr="00774E6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Education and Library Boards (the Boards) have advised that consultation on their</w:t>
      </w:r>
      <w:r w:rsidR="00774E6A">
        <w:rPr>
          <w:lang w:val="en-US"/>
        </w:rPr>
        <w:t xml:space="preserve"> </w:t>
      </w:r>
      <w:r>
        <w:rPr>
          <w:lang w:val="en-US"/>
        </w:rPr>
        <w:t>draft elective home education guidance document has been undertaken in line with the Consultation</w:t>
      </w:r>
      <w:r w:rsidR="00774E6A">
        <w:rPr>
          <w:lang w:val="en-US"/>
        </w:rPr>
        <w:t xml:space="preserve"> </w:t>
      </w:r>
      <w:r>
        <w:rPr>
          <w:lang w:val="en-US"/>
        </w:rPr>
        <w:t>Strategy document (developed by all five boards) which was published alongside the draft guidance</w:t>
      </w:r>
      <w:r w:rsidR="00774E6A">
        <w:rPr>
          <w:lang w:val="en-US"/>
        </w:rPr>
        <w:t xml:space="preserve"> document.  </w:t>
      </w:r>
      <w:r>
        <w:rPr>
          <w:lang w:val="en-US"/>
        </w:rPr>
        <w:t>This details the range of methods through which the Boards have sought to facilitate</w:t>
      </w:r>
      <w:r w:rsidR="00774E6A">
        <w:rPr>
          <w:lang w:val="en-US"/>
        </w:rPr>
        <w:t xml:space="preserve"> </w:t>
      </w:r>
      <w:r>
        <w:rPr>
          <w:lang w:val="en-US"/>
        </w:rPr>
        <w:t>engagement and consultation with all those who have an interest in elective home education.</w:t>
      </w:r>
    </w:p>
    <w:p w:rsidR="00774E6A" w:rsidRDefault="00774E6A" w:rsidP="001C021B">
      <w:pPr>
        <w:pStyle w:val="NICCYBodyText"/>
        <w:rPr>
          <w:lang w:val="en-US"/>
        </w:rPr>
      </w:pPr>
    </w:p>
    <w:p w:rsidR="00774E6A" w:rsidRDefault="00E84839" w:rsidP="001C021B">
      <w:pPr>
        <w:pStyle w:val="NICCYBodyText"/>
        <w:rPr>
          <w:lang w:val="en-US"/>
        </w:rPr>
      </w:pPr>
      <w:r>
        <w:rPr>
          <w:lang w:val="en-US"/>
        </w:rPr>
        <w:t>I understand that the North Eastern Education and Library Board (NEELB), on behalf of the five Boards,</w:t>
      </w:r>
      <w:r w:rsidR="00774E6A">
        <w:rPr>
          <w:lang w:val="en-US"/>
        </w:rPr>
        <w:t xml:space="preserve"> </w:t>
      </w:r>
      <w:r>
        <w:rPr>
          <w:lang w:val="en-US"/>
        </w:rPr>
        <w:t>identified and contacted a range of key stakeholder organisations in the wider education community</w:t>
      </w:r>
      <w:r w:rsidR="00774E6A">
        <w:rPr>
          <w:lang w:val="en-US"/>
        </w:rPr>
        <w:t xml:space="preserve"> </w:t>
      </w:r>
      <w:r>
        <w:rPr>
          <w:lang w:val="en-US"/>
        </w:rPr>
        <w:t>which included the Commissioner for Children and Young People (NICCY); the Children’s Law Centre</w:t>
      </w:r>
      <w:r w:rsidR="00774E6A">
        <w:rPr>
          <w:lang w:val="en-US"/>
        </w:rPr>
        <w:t xml:space="preserve"> </w:t>
      </w:r>
      <w:r>
        <w:rPr>
          <w:lang w:val="en-US"/>
        </w:rPr>
        <w:t>(CLC); Home Education in the north (</w:t>
      </w:r>
      <w:proofErr w:type="spellStart"/>
      <w:r>
        <w:rPr>
          <w:lang w:val="en-US"/>
        </w:rPr>
        <w:t>HEdNI</w:t>
      </w:r>
      <w:proofErr w:type="spellEnd"/>
      <w:r>
        <w:rPr>
          <w:lang w:val="en-US"/>
        </w:rPr>
        <w:t>) and the Special Educational Needs Advice Centre (SENAC),</w:t>
      </w:r>
      <w:r w:rsidR="00774E6A">
        <w:rPr>
          <w:lang w:val="en-US"/>
        </w:rPr>
        <w:t xml:space="preserve"> </w:t>
      </w:r>
      <w:r>
        <w:rPr>
          <w:lang w:val="en-US"/>
        </w:rPr>
        <w:t>to advise of the consultati</w:t>
      </w:r>
      <w:r w:rsidR="00774E6A">
        <w:rPr>
          <w:lang w:val="en-US"/>
        </w:rPr>
        <w:t xml:space="preserve">on process and invite feedback.  </w:t>
      </w:r>
      <w:r>
        <w:rPr>
          <w:lang w:val="en-US"/>
        </w:rPr>
        <w:t xml:space="preserve">In addition, 343 Section 75 </w:t>
      </w:r>
      <w:proofErr w:type="spellStart"/>
      <w:r>
        <w:rPr>
          <w:lang w:val="en-US"/>
        </w:rPr>
        <w:t>Consultees</w:t>
      </w:r>
      <w:proofErr w:type="spellEnd"/>
      <w:r>
        <w:rPr>
          <w:lang w:val="en-US"/>
        </w:rPr>
        <w:t xml:space="preserve"> were</w:t>
      </w:r>
      <w:r w:rsidR="00774E6A">
        <w:rPr>
          <w:lang w:val="en-US"/>
        </w:rPr>
        <w:t xml:space="preserve"> </w:t>
      </w:r>
      <w:r>
        <w:rPr>
          <w:lang w:val="en-US"/>
        </w:rPr>
        <w:t>contacted by the Boards in this regard.</w:t>
      </w:r>
      <w:r w:rsidR="00774E6A">
        <w:rPr>
          <w:lang w:val="en-US"/>
        </w:rPr>
        <w:t xml:space="preserve">  </w:t>
      </w:r>
      <w:r>
        <w:rPr>
          <w:lang w:val="en-US"/>
        </w:rPr>
        <w:t>The Boards have advised that there is no formal “Stakeholder Group.”</w:t>
      </w:r>
    </w:p>
    <w:p w:rsidR="00E84839" w:rsidRDefault="00E84839" w:rsidP="001C021B">
      <w:pPr>
        <w:pStyle w:val="NICCYBodyText"/>
        <w:rPr>
          <w:lang w:val="en-US"/>
        </w:rPr>
      </w:pPr>
      <w:r>
        <w:rPr>
          <w:lang w:val="en-US"/>
        </w:rPr>
        <w:br/>
        <w:t>As part of the Board’s consultation I have made clear that I expect the Boards to ensure engagement</w:t>
      </w:r>
      <w:r w:rsidR="00774E6A">
        <w:rPr>
          <w:lang w:val="en-US"/>
        </w:rPr>
        <w:t xml:space="preserve"> </w:t>
      </w:r>
      <w:r>
        <w:rPr>
          <w:lang w:val="en-US"/>
        </w:rPr>
        <w:t>with as wide a range of stakeholders as possible including young people and their families and to</w:t>
      </w:r>
      <w:r w:rsidR="00774E6A">
        <w:rPr>
          <w:lang w:val="en-US"/>
        </w:rPr>
        <w:t xml:space="preserve"> </w:t>
      </w:r>
      <w:r>
        <w:rPr>
          <w:lang w:val="en-US"/>
        </w:rPr>
        <w:t>ensure also that the feedback they receive is considered very carefully in reviewing the draft guidance.</w:t>
      </w:r>
    </w:p>
    <w:p w:rsidR="00E84839" w:rsidRDefault="00E84839" w:rsidP="00E84839">
      <w:pPr>
        <w:rPr>
          <w:rFonts w:ascii="ITCFranklinGothicBook" w:hAnsi="ITCFranklinGothicBook" w:cs="ITCFranklinGothicBook"/>
          <w:sz w:val="20"/>
          <w:szCs w:val="20"/>
          <w:lang w:val="en-US"/>
        </w:rPr>
      </w:pPr>
    </w:p>
    <w:p w:rsidR="00774E6A" w:rsidRDefault="00774E6A" w:rsidP="00774E6A">
      <w:pPr>
        <w:pStyle w:val="NICCYBodyText"/>
      </w:pPr>
      <w:hyperlink w:anchor="_top" w:history="1">
        <w:r w:rsidRPr="007715F2">
          <w:rPr>
            <w:rStyle w:val="Hyperlink"/>
          </w:rPr>
          <w:t>Back to Top</w:t>
        </w:r>
      </w:hyperlink>
    </w:p>
    <w:p w:rsidR="00774E6A" w:rsidRDefault="00774E6A" w:rsidP="00E84839">
      <w:pPr>
        <w:rPr>
          <w:rFonts w:ascii="ITCFranklinGothicBook" w:hAnsi="ITCFranklinGothicBook" w:cs="ITCFranklinGothicBook"/>
          <w:sz w:val="20"/>
          <w:szCs w:val="20"/>
          <w:lang w:val="en-US"/>
        </w:rPr>
      </w:pPr>
    </w:p>
    <w:p w:rsidR="00774E6A" w:rsidRDefault="00774E6A" w:rsidP="00E84839">
      <w:pPr>
        <w:rPr>
          <w:rFonts w:ascii="ITCFranklinGothicBook" w:hAnsi="ITCFranklinGothicBook" w:cs="ITCFranklinGothicBook"/>
          <w:sz w:val="20"/>
          <w:szCs w:val="20"/>
          <w:lang w:val="en-US"/>
        </w:rPr>
      </w:pPr>
    </w:p>
    <w:p w:rsidR="00774E6A" w:rsidRDefault="00774E6A" w:rsidP="00E84839">
      <w:pPr>
        <w:rPr>
          <w:rFonts w:ascii="ITCFranklinGothicBook" w:hAnsi="ITCFranklinGothicBook" w:cs="ITCFranklinGothicBook"/>
          <w:sz w:val="20"/>
          <w:szCs w:val="20"/>
          <w:lang w:val="en-US"/>
        </w:rPr>
      </w:pPr>
    </w:p>
    <w:p w:rsidR="00E84839" w:rsidRDefault="00E84839" w:rsidP="00E84839">
      <w:pPr>
        <w:rPr>
          <w:rFonts w:ascii="ITCFranklinGothicBook" w:hAnsi="ITCFranklinGothicBook" w:cs="ITCFranklinGothicBook"/>
          <w:sz w:val="20"/>
          <w:szCs w:val="20"/>
          <w:lang w:val="en-US"/>
        </w:rPr>
      </w:pPr>
    </w:p>
    <w:p w:rsidR="00E84839" w:rsidRPr="00774E6A" w:rsidRDefault="00E84839" w:rsidP="00774E6A">
      <w:pPr>
        <w:pStyle w:val="Heading2"/>
        <w:rPr>
          <w:color w:val="23A4DE"/>
          <w:lang w:val="en-US"/>
        </w:rPr>
      </w:pPr>
      <w:bookmarkStart w:id="6" w:name="_Parental_Demand_for"/>
      <w:bookmarkEnd w:id="6"/>
      <w:r w:rsidRPr="00774E6A">
        <w:rPr>
          <w:color w:val="23A4DE"/>
          <w:lang w:val="en-US"/>
        </w:rPr>
        <w:lastRenderedPageBreak/>
        <w:t>Parental Demand for Integrated Schools</w:t>
      </w:r>
    </w:p>
    <w:p w:rsidR="00E84839" w:rsidRDefault="00E84839" w:rsidP="00774E6A">
      <w:pPr>
        <w:pStyle w:val="NICCYBodyText"/>
        <w:rPr>
          <w:lang w:val="en-US"/>
        </w:rPr>
      </w:pPr>
      <w:r w:rsidRPr="00774E6A">
        <w:rPr>
          <w:rFonts w:ascii="ITCFranklinGothicDemi" w:hAnsi="ITCFranklinGothicDemi" w:cs="ITCFranklinGothicDemi"/>
          <w:b/>
          <w:lang w:val="en-US"/>
        </w:rPr>
        <w:t>Mr Lunn</w:t>
      </w:r>
      <w:r>
        <w:rPr>
          <w:rFonts w:ascii="ITCFranklinGothicDemi" w:hAnsi="ITCFranklinGothicDemi" w:cs="ITCFranklinGothicDemi"/>
          <w:lang w:val="en-US"/>
        </w:rPr>
        <w:t xml:space="preserve"> </w:t>
      </w:r>
      <w:r>
        <w:rPr>
          <w:lang w:val="en-US"/>
        </w:rPr>
        <w:t>asked the Minister of Education what community projects or programmes of work are used to</w:t>
      </w:r>
      <w:r w:rsidR="00774E6A">
        <w:rPr>
          <w:lang w:val="en-US"/>
        </w:rPr>
        <w:t xml:space="preserve"> </w:t>
      </w:r>
      <w:r>
        <w:rPr>
          <w:lang w:val="en-US"/>
        </w:rPr>
        <w:t>measure parental demand for integrated schools, in areas that do not have integrated provision.</w:t>
      </w:r>
    </w:p>
    <w:p w:rsidR="00E84839" w:rsidRDefault="00E84839" w:rsidP="00774E6A">
      <w:pPr>
        <w:pStyle w:val="NICCYBodyText"/>
        <w:rPr>
          <w:rFonts w:ascii="ITCFranklinGothicDemi" w:hAnsi="ITCFranklinGothicDemi" w:cs="ITCFranklinGothicDemi"/>
          <w:lang w:val="en-US"/>
        </w:rPr>
      </w:pPr>
      <w:r>
        <w:rPr>
          <w:rFonts w:ascii="ITCFranklinGothicDemi" w:hAnsi="ITCFranklinGothicDemi" w:cs="ITCFranklinGothicDemi"/>
          <w:lang w:val="en-US"/>
        </w:rPr>
        <w:t>(AQW 34891/11-15)</w:t>
      </w:r>
    </w:p>
    <w:p w:rsidR="00774E6A" w:rsidRDefault="00774E6A" w:rsidP="00774E6A">
      <w:pPr>
        <w:pStyle w:val="NICCYBodyText"/>
        <w:rPr>
          <w:rFonts w:ascii="ITCFranklinGothicDemi" w:hAnsi="ITCFranklinGothicDemi" w:cs="ITCFranklinGothicDemi"/>
          <w:lang w:val="en-US"/>
        </w:rPr>
      </w:pPr>
    </w:p>
    <w:p w:rsidR="00E84839" w:rsidRDefault="00E84839" w:rsidP="00774E6A">
      <w:pPr>
        <w:pStyle w:val="NICCYBodyText"/>
        <w:rPr>
          <w:lang w:val="en-US"/>
        </w:rPr>
      </w:pPr>
      <w:r w:rsidRPr="00774E6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My Department does not fund community projects on the basis of parental demand for</w:t>
      </w:r>
      <w:r w:rsidR="00774E6A">
        <w:rPr>
          <w:lang w:val="en-US"/>
        </w:rPr>
        <w:t xml:space="preserve"> integrated education.  </w:t>
      </w:r>
      <w:r>
        <w:rPr>
          <w:lang w:val="en-US"/>
        </w:rPr>
        <w:t>However, I take my Department’s statutory duty to encourage and facilitate the</w:t>
      </w:r>
      <w:r w:rsidR="00774E6A">
        <w:rPr>
          <w:lang w:val="en-US"/>
        </w:rPr>
        <w:t xml:space="preserve"> </w:t>
      </w:r>
      <w:r>
        <w:rPr>
          <w:lang w:val="en-US"/>
        </w:rPr>
        <w:t>development of integrated education very seriously and will continue to encourage growth in this area.</w:t>
      </w:r>
    </w:p>
    <w:p w:rsidR="00774E6A" w:rsidRDefault="00774E6A" w:rsidP="00774E6A">
      <w:pPr>
        <w:pStyle w:val="NICCYBodyText"/>
        <w:rPr>
          <w:lang w:val="en-US"/>
        </w:rPr>
      </w:pPr>
    </w:p>
    <w:p w:rsidR="00E84839" w:rsidRDefault="00E84839" w:rsidP="00774E6A">
      <w:pPr>
        <w:pStyle w:val="NICCYBodyText"/>
        <w:rPr>
          <w:lang w:val="en-US"/>
        </w:rPr>
      </w:pPr>
      <w:r>
        <w:rPr>
          <w:lang w:val="en-US"/>
        </w:rPr>
        <w:t>I have commissioned the Education and Library Boards (ELBs), working in conjunction with the Council</w:t>
      </w:r>
      <w:r w:rsidR="00774E6A">
        <w:rPr>
          <w:lang w:val="en-US"/>
        </w:rPr>
        <w:t xml:space="preserve"> </w:t>
      </w:r>
      <w:r>
        <w:rPr>
          <w:lang w:val="en-US"/>
        </w:rPr>
        <w:t>for Catholic Maintained Schools (CCMS) and engaging with other sectors, including the N I Council for</w:t>
      </w:r>
      <w:r w:rsidR="00774E6A">
        <w:rPr>
          <w:lang w:val="en-US"/>
        </w:rPr>
        <w:t xml:space="preserve"> </w:t>
      </w:r>
      <w:r>
        <w:rPr>
          <w:lang w:val="en-US"/>
        </w:rPr>
        <w:t>Integrated Education (NICIE), to co-ordinate strategic planning in each board area to shape the future</w:t>
      </w:r>
      <w:r w:rsidR="00774E6A">
        <w:rPr>
          <w:lang w:val="en-US"/>
        </w:rPr>
        <w:t xml:space="preserve"> </w:t>
      </w:r>
      <w:r>
        <w:rPr>
          <w:lang w:val="en-US"/>
        </w:rPr>
        <w:t>provision of education in that area.</w:t>
      </w:r>
      <w:r w:rsidR="00774E6A">
        <w:rPr>
          <w:lang w:val="en-US"/>
        </w:rPr>
        <w:t xml:space="preserve">  </w:t>
      </w:r>
      <w:r>
        <w:rPr>
          <w:lang w:val="en-US"/>
        </w:rPr>
        <w:t>Given the respective roles of the organisations involved, it is clear that planning for new integrated</w:t>
      </w:r>
    </w:p>
    <w:p w:rsidR="00E84839" w:rsidRDefault="00E84839" w:rsidP="00774E6A">
      <w:pPr>
        <w:pStyle w:val="NICCYBodyText"/>
        <w:rPr>
          <w:rFonts w:ascii="ITCFranklinGothicDemi" w:hAnsi="ITCFranklinGothicDemi" w:cs="ITCFranklinGothicDemi"/>
          <w:lang w:val="en-US"/>
        </w:rPr>
      </w:pPr>
      <w:r>
        <w:rPr>
          <w:lang w:val="en-US"/>
        </w:rPr>
        <w:t>education provision is dependent on collaboration between NICIE, the ELBs and the CCMS.</w:t>
      </w:r>
    </w:p>
    <w:p w:rsidR="00E84839" w:rsidRDefault="00E84839" w:rsidP="00E84839">
      <w:pPr>
        <w:autoSpaceDE w:val="0"/>
        <w:autoSpaceDN w:val="0"/>
        <w:adjustRightInd w:val="0"/>
        <w:rPr>
          <w:rFonts w:ascii="ITCFranklinGothicDemi" w:hAnsi="ITCFranklinGothicDemi" w:cs="ITCFranklinGothicDemi"/>
          <w:lang w:val="en-US"/>
        </w:rPr>
      </w:pPr>
    </w:p>
    <w:p w:rsidR="00774E6A" w:rsidRDefault="00774E6A" w:rsidP="00774E6A">
      <w:pPr>
        <w:pStyle w:val="NICCYBodyText"/>
      </w:pPr>
      <w:hyperlink w:anchor="_top" w:history="1">
        <w:r w:rsidRPr="007715F2">
          <w:rPr>
            <w:rStyle w:val="Hyperlink"/>
          </w:rPr>
          <w:t>Ba</w:t>
        </w:r>
        <w:r w:rsidRPr="007715F2">
          <w:rPr>
            <w:rStyle w:val="Hyperlink"/>
          </w:rPr>
          <w:t>c</w:t>
        </w:r>
        <w:r w:rsidRPr="007715F2">
          <w:rPr>
            <w:rStyle w:val="Hyperlink"/>
          </w:rPr>
          <w:t>k to</w:t>
        </w:r>
        <w:r w:rsidRPr="007715F2">
          <w:rPr>
            <w:rStyle w:val="Hyperlink"/>
          </w:rPr>
          <w:t xml:space="preserve"> </w:t>
        </w:r>
        <w:r w:rsidRPr="007715F2">
          <w:rPr>
            <w:rStyle w:val="Hyperlink"/>
          </w:rPr>
          <w:t>Top</w:t>
        </w:r>
      </w:hyperlink>
    </w:p>
    <w:p w:rsidR="00774E6A" w:rsidRDefault="00774E6A" w:rsidP="00E84839">
      <w:pPr>
        <w:autoSpaceDE w:val="0"/>
        <w:autoSpaceDN w:val="0"/>
        <w:adjustRightInd w:val="0"/>
        <w:rPr>
          <w:rFonts w:ascii="ITCFranklinGothicDemi" w:hAnsi="ITCFranklinGothicDemi" w:cs="ITCFranklinGothicDemi"/>
          <w:lang w:val="en-US"/>
        </w:rPr>
      </w:pPr>
    </w:p>
    <w:p w:rsidR="00E84839" w:rsidRPr="00774E6A" w:rsidRDefault="00774E6A" w:rsidP="00774E6A">
      <w:pPr>
        <w:pStyle w:val="Heading2"/>
        <w:rPr>
          <w:color w:val="23A4DE"/>
          <w:lang w:val="en-US"/>
        </w:rPr>
      </w:pPr>
      <w:bookmarkStart w:id="7" w:name="_Digital_Technology_Skills"/>
      <w:bookmarkEnd w:id="7"/>
      <w:r>
        <w:rPr>
          <w:color w:val="23A4DE"/>
          <w:lang w:val="en-US"/>
        </w:rPr>
        <w:t>Digital Technology Skills</w:t>
      </w:r>
    </w:p>
    <w:p w:rsidR="00774E6A" w:rsidRDefault="00E84839" w:rsidP="00774E6A">
      <w:pPr>
        <w:pStyle w:val="NICCYBodyText"/>
        <w:rPr>
          <w:lang w:val="en-US"/>
        </w:rPr>
      </w:pPr>
      <w:r w:rsidRPr="00774E6A">
        <w:rPr>
          <w:rFonts w:ascii="ITCFranklinGothicDemi" w:hAnsi="ITCFranklinGothicDemi" w:cs="ITCFranklinGothicDemi"/>
          <w:b/>
          <w:lang w:val="en-US"/>
        </w:rPr>
        <w:t>Ms Lo</w:t>
      </w:r>
      <w:r>
        <w:rPr>
          <w:rFonts w:ascii="ITCFranklinGothicDemi" w:hAnsi="ITCFranklinGothicDemi" w:cs="ITCFranklinGothicDemi"/>
          <w:lang w:val="en-US"/>
        </w:rPr>
        <w:t xml:space="preserve"> </w:t>
      </w:r>
      <w:r>
        <w:rPr>
          <w:lang w:val="en-US"/>
        </w:rPr>
        <w:t>asked the Minister of Education what measures his Department is taking to promote digital</w:t>
      </w:r>
      <w:r w:rsidR="00774E6A">
        <w:rPr>
          <w:lang w:val="en-US"/>
        </w:rPr>
        <w:t xml:space="preserve"> </w:t>
      </w:r>
      <w:r>
        <w:rPr>
          <w:lang w:val="en-US"/>
        </w:rPr>
        <w:t xml:space="preserve">technology skills within </w:t>
      </w:r>
    </w:p>
    <w:p w:rsidR="00774E6A" w:rsidRDefault="00E84839" w:rsidP="00774E6A">
      <w:pPr>
        <w:pStyle w:val="NICCYBodyText"/>
        <w:rPr>
          <w:lang w:val="en-US"/>
        </w:rPr>
      </w:pPr>
      <w:r>
        <w:rPr>
          <w:lang w:val="en-US"/>
        </w:rPr>
        <w:t>(</w:t>
      </w:r>
      <w:proofErr w:type="spellStart"/>
      <w:r>
        <w:rPr>
          <w:lang w:val="en-US"/>
        </w:rPr>
        <w:t>i</w:t>
      </w:r>
      <w:proofErr w:type="spellEnd"/>
      <w:r>
        <w:rPr>
          <w:lang w:val="en-US"/>
        </w:rPr>
        <w:t xml:space="preserve">) </w:t>
      </w:r>
      <w:proofErr w:type="gramStart"/>
      <w:r>
        <w:rPr>
          <w:lang w:val="en-US"/>
        </w:rPr>
        <w:t>primary</w:t>
      </w:r>
      <w:proofErr w:type="gramEnd"/>
      <w:r>
        <w:rPr>
          <w:lang w:val="en-US"/>
        </w:rPr>
        <w:t>; and</w:t>
      </w:r>
    </w:p>
    <w:p w:rsidR="00E84839" w:rsidRDefault="00E84839" w:rsidP="00774E6A">
      <w:pPr>
        <w:pStyle w:val="NICCYBodyText"/>
        <w:rPr>
          <w:lang w:val="en-US"/>
        </w:rPr>
      </w:pPr>
      <w:r>
        <w:rPr>
          <w:lang w:val="en-US"/>
        </w:rPr>
        <w:t xml:space="preserve">(ii) </w:t>
      </w:r>
      <w:proofErr w:type="gramStart"/>
      <w:r>
        <w:rPr>
          <w:lang w:val="en-US"/>
        </w:rPr>
        <w:t>post-primary</w:t>
      </w:r>
      <w:proofErr w:type="gramEnd"/>
      <w:r>
        <w:rPr>
          <w:lang w:val="en-US"/>
        </w:rPr>
        <w:t xml:space="preserve"> schools.</w:t>
      </w:r>
    </w:p>
    <w:p w:rsidR="00E84839" w:rsidRDefault="00E84839" w:rsidP="00774E6A">
      <w:pPr>
        <w:pStyle w:val="NICCYBodyText"/>
        <w:rPr>
          <w:rFonts w:ascii="ITCFranklinGothicDemi" w:hAnsi="ITCFranklinGothicDemi" w:cs="ITCFranklinGothicDemi"/>
          <w:lang w:val="en-US"/>
        </w:rPr>
      </w:pPr>
      <w:r>
        <w:rPr>
          <w:rFonts w:ascii="ITCFranklinGothicDemi" w:hAnsi="ITCFranklinGothicDemi" w:cs="ITCFranklinGothicDemi"/>
          <w:lang w:val="en-US"/>
        </w:rPr>
        <w:t>(AQW 34993/11-15)</w:t>
      </w:r>
    </w:p>
    <w:p w:rsidR="00774E6A" w:rsidRDefault="00774E6A" w:rsidP="00774E6A">
      <w:pPr>
        <w:pStyle w:val="NICCYBodyText"/>
        <w:rPr>
          <w:rFonts w:ascii="ITCFranklinGothicDemi" w:hAnsi="ITCFranklinGothicDemi" w:cs="ITCFranklinGothicDemi"/>
          <w:lang w:val="en-US"/>
        </w:rPr>
      </w:pPr>
    </w:p>
    <w:p w:rsidR="00774E6A" w:rsidRDefault="00E84839" w:rsidP="00774E6A">
      <w:pPr>
        <w:pStyle w:val="NICCYBodyText"/>
        <w:rPr>
          <w:lang w:val="en-US"/>
        </w:rPr>
      </w:pPr>
      <w:r w:rsidRPr="00774E6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curriculum has been designed to provide flexibility for schools to develop experiences</w:t>
      </w:r>
      <w:r w:rsidR="00774E6A">
        <w:rPr>
          <w:lang w:val="en-US"/>
        </w:rPr>
        <w:t xml:space="preserve"> </w:t>
      </w:r>
      <w:r>
        <w:rPr>
          <w:lang w:val="en-US"/>
        </w:rPr>
        <w:t xml:space="preserve">that </w:t>
      </w:r>
      <w:r w:rsidR="00774E6A">
        <w:rPr>
          <w:lang w:val="en-US"/>
        </w:rPr>
        <w:t xml:space="preserve">suit the needs of their pupils.  </w:t>
      </w:r>
      <w:r>
        <w:rPr>
          <w:lang w:val="en-US"/>
        </w:rPr>
        <w:t>Embedding mandatory, cross curricular skills and keeping prescribed</w:t>
      </w:r>
      <w:r w:rsidR="00774E6A">
        <w:rPr>
          <w:lang w:val="en-US"/>
        </w:rPr>
        <w:t xml:space="preserve"> </w:t>
      </w:r>
      <w:r>
        <w:rPr>
          <w:lang w:val="en-US"/>
        </w:rPr>
        <w:t>content to a minimum, allows schools to choose the most appropriate approach to take to ensure that</w:t>
      </w:r>
      <w:r w:rsidR="00774E6A">
        <w:rPr>
          <w:lang w:val="en-US"/>
        </w:rPr>
        <w:t xml:space="preserve"> </w:t>
      </w:r>
      <w:r>
        <w:rPr>
          <w:lang w:val="en-US"/>
        </w:rPr>
        <w:t>pupils are engaged and challenged, to reach their full potential.</w:t>
      </w:r>
      <w:r w:rsidR="00774E6A">
        <w:rPr>
          <w:lang w:val="en-US"/>
        </w:rPr>
        <w:t xml:space="preserve">  </w:t>
      </w:r>
      <w:r>
        <w:rPr>
          <w:lang w:val="en-US"/>
        </w:rPr>
        <w:t>ICT is a cross curricular skill, which is an integral part of all Areas of Learning which make up the</w:t>
      </w:r>
      <w:r w:rsidR="00774E6A">
        <w:rPr>
          <w:lang w:val="en-US"/>
        </w:rPr>
        <w:t xml:space="preserve"> curriculum.  </w:t>
      </w:r>
    </w:p>
    <w:p w:rsidR="00774E6A" w:rsidRDefault="00774E6A" w:rsidP="00774E6A">
      <w:pPr>
        <w:pStyle w:val="NICCYBodyText"/>
        <w:rPr>
          <w:lang w:val="en-US"/>
        </w:rPr>
      </w:pPr>
    </w:p>
    <w:p w:rsidR="00774E6A" w:rsidRDefault="00774E6A" w:rsidP="00774E6A">
      <w:pPr>
        <w:pStyle w:val="NICCYBodyText"/>
        <w:rPr>
          <w:lang w:val="en-US"/>
        </w:rPr>
      </w:pPr>
    </w:p>
    <w:p w:rsidR="00E84839" w:rsidRDefault="00E84839" w:rsidP="00774E6A">
      <w:pPr>
        <w:pStyle w:val="NICCYBodyText"/>
        <w:rPr>
          <w:lang w:val="en-US"/>
        </w:rPr>
      </w:pPr>
      <w:r>
        <w:rPr>
          <w:lang w:val="en-US"/>
        </w:rPr>
        <w:lastRenderedPageBreak/>
        <w:t>Computer Coding/Science is a specific and more specialised subject and the flexibility</w:t>
      </w:r>
    </w:p>
    <w:p w:rsidR="00E84839" w:rsidRDefault="00E84839" w:rsidP="00774E6A">
      <w:pPr>
        <w:pStyle w:val="NICCYBodyText"/>
        <w:rPr>
          <w:lang w:val="en-US"/>
        </w:rPr>
      </w:pPr>
      <w:proofErr w:type="gramStart"/>
      <w:r>
        <w:rPr>
          <w:lang w:val="en-US"/>
        </w:rPr>
        <w:t>in</w:t>
      </w:r>
      <w:proofErr w:type="gramEnd"/>
      <w:r>
        <w:rPr>
          <w:lang w:val="en-US"/>
        </w:rPr>
        <w:t xml:space="preserve"> place within the curriculum enables schools to teach Computer Coding/Science in any Key Stage,</w:t>
      </w:r>
      <w:r w:rsidR="00774E6A">
        <w:rPr>
          <w:lang w:val="en-US"/>
        </w:rPr>
        <w:t xml:space="preserve"> </w:t>
      </w:r>
      <w:r>
        <w:rPr>
          <w:lang w:val="en-US"/>
        </w:rPr>
        <w:t>including at primary school level, if they feel it appropriate.</w:t>
      </w:r>
    </w:p>
    <w:p w:rsidR="00774E6A" w:rsidRDefault="00774E6A" w:rsidP="00774E6A">
      <w:pPr>
        <w:pStyle w:val="NICCYBodyText"/>
        <w:rPr>
          <w:lang w:val="en-US"/>
        </w:rPr>
      </w:pPr>
    </w:p>
    <w:p w:rsidR="00E84839" w:rsidRDefault="00E84839" w:rsidP="00774E6A">
      <w:pPr>
        <w:pStyle w:val="NICCYBodyText"/>
        <w:rPr>
          <w:lang w:val="en-US"/>
        </w:rPr>
      </w:pPr>
      <w:r>
        <w:rPr>
          <w:lang w:val="en-US"/>
        </w:rPr>
        <w:t>My Department participates on the ICT Working Group established in response to the ICT sector’s</w:t>
      </w:r>
      <w:r w:rsidR="00774E6A">
        <w:rPr>
          <w:lang w:val="en-US"/>
        </w:rPr>
        <w:t xml:space="preserve"> </w:t>
      </w:r>
      <w:r>
        <w:rPr>
          <w:lang w:val="en-US"/>
        </w:rPr>
        <w:t>concerns in relation to skills shorta</w:t>
      </w:r>
      <w:r w:rsidR="00774E6A">
        <w:rPr>
          <w:lang w:val="en-US"/>
        </w:rPr>
        <w:t xml:space="preserve">ges and skills mismatches here.  </w:t>
      </w:r>
      <w:r>
        <w:rPr>
          <w:lang w:val="en-US"/>
        </w:rPr>
        <w:t>As a member of this group, we</w:t>
      </w:r>
      <w:r w:rsidR="00774E6A">
        <w:rPr>
          <w:lang w:val="en-US"/>
        </w:rPr>
        <w:t xml:space="preserve"> </w:t>
      </w:r>
      <w:r>
        <w:rPr>
          <w:lang w:val="en-US"/>
        </w:rPr>
        <w:t>have been exploring ways to increase pupil awareness of potential career opportunities in the ICT</w:t>
      </w:r>
      <w:r w:rsidR="00774E6A">
        <w:rPr>
          <w:lang w:val="en-US"/>
        </w:rPr>
        <w:t xml:space="preserve"> </w:t>
      </w:r>
      <w:r>
        <w:rPr>
          <w:lang w:val="en-US"/>
        </w:rPr>
        <w:t>sector with the aim of increasing the numbers of pupils studying computer science at GCSE and GCE.</w:t>
      </w:r>
    </w:p>
    <w:p w:rsidR="00774E6A" w:rsidRDefault="00774E6A" w:rsidP="00774E6A">
      <w:pPr>
        <w:pStyle w:val="NICCYBodyText"/>
        <w:rPr>
          <w:lang w:val="en-US"/>
        </w:rPr>
      </w:pPr>
    </w:p>
    <w:p w:rsidR="00E84839" w:rsidRDefault="00E84839" w:rsidP="00774E6A">
      <w:pPr>
        <w:pStyle w:val="NICCYBodyText"/>
        <w:rPr>
          <w:lang w:val="en-US"/>
        </w:rPr>
      </w:pPr>
      <w:r>
        <w:rPr>
          <w:lang w:val="en-US"/>
        </w:rPr>
        <w:t>I have commissioned the development and delivery of a bespoke computer programme of practical</w:t>
      </w:r>
      <w:r w:rsidR="00774E6A">
        <w:rPr>
          <w:lang w:val="en-US"/>
        </w:rPr>
        <w:t xml:space="preserve"> </w:t>
      </w:r>
      <w:r>
        <w:rPr>
          <w:lang w:val="en-US"/>
        </w:rPr>
        <w:t xml:space="preserve">pupil engagement activity </w:t>
      </w:r>
      <w:r w:rsidR="00774E6A">
        <w:rPr>
          <w:lang w:val="en-US"/>
        </w:rPr>
        <w:t xml:space="preserve">covering Key Stage 2 – Post 16.  </w:t>
      </w:r>
      <w:r>
        <w:rPr>
          <w:lang w:val="en-US"/>
        </w:rPr>
        <w:t>The programme, ‘IT’s Your Choice – A</w:t>
      </w:r>
      <w:r w:rsidR="00774E6A">
        <w:rPr>
          <w:lang w:val="en-US"/>
        </w:rPr>
        <w:t xml:space="preserve"> </w:t>
      </w:r>
      <w:r>
        <w:rPr>
          <w:lang w:val="en-US"/>
        </w:rPr>
        <w:t>Computer Programming Continuum for Schools’, has been designed with the assistance of the sector,</w:t>
      </w:r>
      <w:r w:rsidR="00774E6A">
        <w:rPr>
          <w:lang w:val="en-US"/>
        </w:rPr>
        <w:t xml:space="preserve"> </w:t>
      </w:r>
      <w:r>
        <w:rPr>
          <w:lang w:val="en-US"/>
        </w:rPr>
        <w:t>will engage over 10,000 pupils annually, and was launched into schools in September 2013.</w:t>
      </w:r>
    </w:p>
    <w:p w:rsidR="00774E6A" w:rsidRDefault="00774E6A" w:rsidP="00774E6A">
      <w:pPr>
        <w:pStyle w:val="NICCYBodyText"/>
        <w:rPr>
          <w:lang w:val="en-US"/>
        </w:rPr>
      </w:pPr>
    </w:p>
    <w:p w:rsidR="00E84839" w:rsidRDefault="00E84839" w:rsidP="00774E6A">
      <w:pPr>
        <w:pStyle w:val="NICCYBodyText"/>
        <w:rPr>
          <w:lang w:val="en-US"/>
        </w:rPr>
      </w:pPr>
      <w:r>
        <w:rPr>
          <w:lang w:val="en-US"/>
        </w:rPr>
        <w:t>The Council for Curriculum Examinations and Assessment (CCEA) has also developed a new GCE</w:t>
      </w:r>
      <w:r w:rsidR="00774E6A">
        <w:rPr>
          <w:lang w:val="en-US"/>
        </w:rPr>
        <w:t xml:space="preserve"> </w:t>
      </w:r>
      <w:r>
        <w:rPr>
          <w:lang w:val="en-US"/>
        </w:rPr>
        <w:t>qualification in ‘Software and Systems Development’ as part of its expanded portfolio of ‘Applied’</w:t>
      </w:r>
      <w:r w:rsidR="00774E6A">
        <w:rPr>
          <w:lang w:val="en-US"/>
        </w:rPr>
        <w:t xml:space="preserve"> </w:t>
      </w:r>
      <w:r>
        <w:rPr>
          <w:lang w:val="en-US"/>
        </w:rPr>
        <w:t>qualifications and is also currently reviewing the need to develop a progression route from GCSE to the</w:t>
      </w:r>
      <w:r w:rsidR="00774E6A">
        <w:rPr>
          <w:lang w:val="en-US"/>
        </w:rPr>
        <w:t xml:space="preserve"> </w:t>
      </w:r>
      <w:r>
        <w:rPr>
          <w:lang w:val="en-US"/>
        </w:rPr>
        <w:t>new GCE in Software and Systems Development.</w:t>
      </w:r>
    </w:p>
    <w:p w:rsidR="00774E6A" w:rsidRDefault="00774E6A" w:rsidP="00774E6A">
      <w:pPr>
        <w:pStyle w:val="NICCYBodyText"/>
        <w:rPr>
          <w:lang w:val="en-US"/>
        </w:rPr>
      </w:pPr>
    </w:p>
    <w:p w:rsidR="00E84839" w:rsidRDefault="00E84839" w:rsidP="00774E6A">
      <w:pPr>
        <w:pStyle w:val="NICCYBodyText"/>
        <w:rPr>
          <w:lang w:val="en-US"/>
        </w:rPr>
      </w:pPr>
      <w:r>
        <w:rPr>
          <w:lang w:val="en-US"/>
        </w:rPr>
        <w:t>My Department will continue to examine the current provision and range of school computing/ICT</w:t>
      </w:r>
      <w:r w:rsidR="00774E6A">
        <w:rPr>
          <w:lang w:val="en-US"/>
        </w:rPr>
        <w:t xml:space="preserve"> </w:t>
      </w:r>
      <w:r>
        <w:rPr>
          <w:lang w:val="en-US"/>
        </w:rPr>
        <w:t>qualifications to ensure it meets the needs of our economy and to develop awareness programmes</w:t>
      </w:r>
      <w:r w:rsidR="00774E6A">
        <w:rPr>
          <w:lang w:val="en-US"/>
        </w:rPr>
        <w:t xml:space="preserve"> </w:t>
      </w:r>
      <w:r>
        <w:rPr>
          <w:lang w:val="en-US"/>
        </w:rPr>
        <w:t>aimed at encouraging more pupils to choose to study relevant subjects such as Computer Science and</w:t>
      </w:r>
      <w:r w:rsidR="00774E6A">
        <w:rPr>
          <w:lang w:val="en-US"/>
        </w:rPr>
        <w:t xml:space="preserve"> </w:t>
      </w:r>
      <w:proofErr w:type="spellStart"/>
      <w:r>
        <w:rPr>
          <w:lang w:val="en-US"/>
        </w:rPr>
        <w:t>Maths</w:t>
      </w:r>
      <w:proofErr w:type="spellEnd"/>
      <w:r>
        <w:rPr>
          <w:lang w:val="en-US"/>
        </w:rPr>
        <w:t xml:space="preserve"> at A level.</w:t>
      </w: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774E6A" w:rsidRDefault="00774E6A" w:rsidP="00774E6A">
      <w:pPr>
        <w:pStyle w:val="NICCYBodyText"/>
      </w:pPr>
      <w:hyperlink w:anchor="_top" w:history="1">
        <w:r w:rsidRPr="007715F2">
          <w:rPr>
            <w:rStyle w:val="Hyperlink"/>
          </w:rPr>
          <w:t>Back to Top</w:t>
        </w:r>
      </w:hyperlink>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774E6A" w:rsidRDefault="00774E6A" w:rsidP="00E84839">
      <w:pPr>
        <w:autoSpaceDE w:val="0"/>
        <w:autoSpaceDN w:val="0"/>
        <w:adjustRightInd w:val="0"/>
        <w:rPr>
          <w:rFonts w:ascii="ITCFranklinGothicBook" w:hAnsi="ITCFranklinGothicBook" w:cs="ITCFranklinGothicBook"/>
          <w:sz w:val="20"/>
          <w:szCs w:val="20"/>
          <w:lang w:val="en-US"/>
        </w:rPr>
      </w:pPr>
    </w:p>
    <w:p w:rsidR="00E84839" w:rsidRPr="00774E6A" w:rsidRDefault="00E84839" w:rsidP="00774E6A">
      <w:pPr>
        <w:pStyle w:val="Heading2"/>
        <w:rPr>
          <w:color w:val="23A4DE"/>
          <w:lang w:val="en-US"/>
        </w:rPr>
      </w:pPr>
      <w:bookmarkStart w:id="8" w:name="_Community_Relations,_Equality"/>
      <w:bookmarkEnd w:id="8"/>
      <w:r w:rsidRPr="00774E6A">
        <w:rPr>
          <w:color w:val="23A4DE"/>
          <w:lang w:val="en-US"/>
        </w:rPr>
        <w:lastRenderedPageBreak/>
        <w:t>Community Relations, Equality and Diversity Programme Evaluation</w:t>
      </w:r>
    </w:p>
    <w:p w:rsidR="00E84839" w:rsidRDefault="00E84839" w:rsidP="00774E6A">
      <w:pPr>
        <w:pStyle w:val="NICCYBodyText"/>
        <w:rPr>
          <w:lang w:val="en-US"/>
        </w:rPr>
      </w:pPr>
      <w:r w:rsidRPr="00774E6A">
        <w:rPr>
          <w:rFonts w:ascii="ITCFranklinGothicDemi" w:hAnsi="ITCFranklinGothicDemi" w:cs="ITCFranklinGothicDemi"/>
          <w:b/>
          <w:lang w:val="en-US"/>
        </w:rPr>
        <w:t>Mr Lunn</w:t>
      </w:r>
      <w:r>
        <w:rPr>
          <w:rFonts w:ascii="ITCFranklinGothicDemi" w:hAnsi="ITCFranklinGothicDemi" w:cs="ITCFranklinGothicDemi"/>
          <w:lang w:val="en-US"/>
        </w:rPr>
        <w:t xml:space="preserve"> </w:t>
      </w:r>
      <w:r>
        <w:rPr>
          <w:lang w:val="en-US"/>
        </w:rPr>
        <w:t>asked the Minister of Education when the Community Relations, Equality and Diversity</w:t>
      </w:r>
      <w:r w:rsidR="00774E6A">
        <w:rPr>
          <w:lang w:val="en-US"/>
        </w:rPr>
        <w:t xml:space="preserve"> </w:t>
      </w:r>
      <w:r>
        <w:rPr>
          <w:lang w:val="en-US"/>
        </w:rPr>
        <w:t>programme will be evaluated.</w:t>
      </w:r>
    </w:p>
    <w:p w:rsidR="00E84839" w:rsidRDefault="00E84839" w:rsidP="00774E6A">
      <w:pPr>
        <w:pStyle w:val="NICCYBodyText"/>
        <w:rPr>
          <w:rFonts w:ascii="ITCFranklinGothicDemi" w:hAnsi="ITCFranklinGothicDemi" w:cs="ITCFranklinGothicDemi"/>
          <w:lang w:val="en-US"/>
        </w:rPr>
      </w:pPr>
      <w:r>
        <w:rPr>
          <w:rFonts w:ascii="ITCFranklinGothicDemi" w:hAnsi="ITCFranklinGothicDemi" w:cs="ITCFranklinGothicDemi"/>
          <w:lang w:val="en-US"/>
        </w:rPr>
        <w:t>(AQW 34998/11-15)</w:t>
      </w:r>
    </w:p>
    <w:p w:rsidR="00774E6A" w:rsidRDefault="00774E6A" w:rsidP="00774E6A">
      <w:pPr>
        <w:pStyle w:val="NICCYBodyText"/>
        <w:rPr>
          <w:rFonts w:ascii="ITCFranklinGothicDemi" w:hAnsi="ITCFranklinGothicDemi" w:cs="ITCFranklinGothicDemi"/>
          <w:lang w:val="en-US"/>
        </w:rPr>
      </w:pPr>
    </w:p>
    <w:p w:rsidR="00E84839" w:rsidRDefault="00E84839" w:rsidP="00774E6A">
      <w:pPr>
        <w:pStyle w:val="NICCYBodyText"/>
        <w:rPr>
          <w:lang w:val="en-US"/>
        </w:rPr>
      </w:pPr>
      <w:r w:rsidRPr="00774E6A">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 series of focus groups involving teachers, youth workers and young people took place in</w:t>
      </w:r>
      <w:r w:rsidR="00774E6A">
        <w:rPr>
          <w:lang w:val="en-US"/>
        </w:rPr>
        <w:t xml:space="preserve"> </w:t>
      </w:r>
      <w:r>
        <w:rPr>
          <w:lang w:val="en-US"/>
        </w:rPr>
        <w:t>2012 as part of the evaluation of the effectiveness policy.</w:t>
      </w:r>
      <w:r w:rsidR="00774E6A">
        <w:rPr>
          <w:lang w:val="en-US"/>
        </w:rPr>
        <w:t xml:space="preserve">  </w:t>
      </w:r>
      <w:r>
        <w:rPr>
          <w:lang w:val="en-US"/>
        </w:rPr>
        <w:t>The Department also commissioned a module in the 2012 Young Life and Times on young people’s</w:t>
      </w:r>
    </w:p>
    <w:p w:rsidR="00E84839" w:rsidRDefault="00E84839" w:rsidP="00774E6A">
      <w:pPr>
        <w:pStyle w:val="NICCYBodyText"/>
        <w:rPr>
          <w:lang w:val="en-US"/>
        </w:rPr>
      </w:pPr>
      <w:r>
        <w:rPr>
          <w:lang w:val="en-US"/>
        </w:rPr>
        <w:t>experience of the policy, an exercise which is to be repeated in the 2014 Young Life &amp; Times Survey.</w:t>
      </w:r>
    </w:p>
    <w:p w:rsidR="0018348D" w:rsidRDefault="0018348D" w:rsidP="00774E6A">
      <w:pPr>
        <w:pStyle w:val="NICCYBodyText"/>
        <w:rPr>
          <w:lang w:val="en-US"/>
        </w:rPr>
      </w:pPr>
    </w:p>
    <w:p w:rsidR="00E84839" w:rsidRDefault="00E84839" w:rsidP="00774E6A">
      <w:pPr>
        <w:pStyle w:val="NICCYBodyText"/>
        <w:rPr>
          <w:lang w:val="en-US"/>
        </w:rPr>
      </w:pPr>
      <w:r>
        <w:rPr>
          <w:lang w:val="en-US"/>
        </w:rPr>
        <w:t>An independent review of the Community Relations, Equality and Diversity policy, to be undertaken by</w:t>
      </w:r>
      <w:r w:rsidR="0018348D">
        <w:rPr>
          <w:lang w:val="en-US"/>
        </w:rPr>
        <w:t xml:space="preserve"> </w:t>
      </w:r>
      <w:r>
        <w:rPr>
          <w:lang w:val="en-US"/>
        </w:rPr>
        <w:t>the Education Training Inspectorate, is scheduled for autumn 2014.</w:t>
      </w: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18348D" w:rsidRDefault="0018348D" w:rsidP="001C07DB">
      <w:pPr>
        <w:pStyle w:val="NICCYBodyText"/>
      </w:pPr>
      <w:hyperlink w:anchor="_top" w:history="1">
        <w:r w:rsidRPr="007715F2">
          <w:rPr>
            <w:rStyle w:val="Hyperlink"/>
          </w:rPr>
          <w:t>Ba</w:t>
        </w:r>
        <w:r w:rsidRPr="007715F2">
          <w:rPr>
            <w:rStyle w:val="Hyperlink"/>
          </w:rPr>
          <w:t>c</w:t>
        </w:r>
        <w:r w:rsidRPr="007715F2">
          <w:rPr>
            <w:rStyle w:val="Hyperlink"/>
          </w:rPr>
          <w:t xml:space="preserve">k to </w:t>
        </w:r>
        <w:r w:rsidRPr="007715F2">
          <w:rPr>
            <w:rStyle w:val="Hyperlink"/>
          </w:rPr>
          <w:t>T</w:t>
        </w:r>
        <w:r w:rsidRPr="007715F2">
          <w:rPr>
            <w:rStyle w:val="Hyperlink"/>
          </w:rPr>
          <w:t>op</w:t>
        </w:r>
      </w:hyperlink>
    </w:p>
    <w:p w:rsidR="0018348D" w:rsidRDefault="0018348D" w:rsidP="001C07DB">
      <w:pPr>
        <w:autoSpaceDE w:val="0"/>
        <w:autoSpaceDN w:val="0"/>
        <w:adjustRightInd w:val="0"/>
        <w:rPr>
          <w:rFonts w:ascii="ITCFranklinGothicBook" w:hAnsi="ITCFranklinGothicBook" w:cs="ITCFranklinGothicBook"/>
          <w:sz w:val="20"/>
          <w:szCs w:val="20"/>
          <w:lang w:val="en-US"/>
        </w:rPr>
      </w:pPr>
    </w:p>
    <w:p w:rsidR="00E84839" w:rsidRPr="0018348D" w:rsidRDefault="0018348D" w:rsidP="001C07DB">
      <w:pPr>
        <w:pStyle w:val="Heading2"/>
        <w:rPr>
          <w:rFonts w:ascii="ITCFranklinGothicBook" w:hAnsi="ITCFranklinGothicBook" w:cs="ITCFranklinGothicBook"/>
          <w:color w:val="23A4DE"/>
          <w:sz w:val="20"/>
          <w:szCs w:val="20"/>
          <w:lang w:val="en-US"/>
        </w:rPr>
      </w:pPr>
      <w:bookmarkStart w:id="9" w:name="_Educational_Support_for"/>
      <w:bookmarkEnd w:id="9"/>
      <w:r w:rsidRPr="0018348D">
        <w:rPr>
          <w:rFonts w:eastAsiaTheme="minorEastAsia"/>
          <w:color w:val="23A4DE"/>
          <w:lang w:val="en-US"/>
        </w:rPr>
        <w:t>Educational Support for Students with Muscular Dystrophy</w:t>
      </w:r>
    </w:p>
    <w:p w:rsidR="00E84839" w:rsidRDefault="00E84839" w:rsidP="0018348D">
      <w:pPr>
        <w:pStyle w:val="NICCYBodyText"/>
        <w:rPr>
          <w:lang w:val="en-US"/>
        </w:rPr>
      </w:pPr>
      <w:r w:rsidRPr="0018348D">
        <w:rPr>
          <w:rFonts w:ascii="ITCFranklinGothicDemi" w:hAnsi="ITCFranklinGothicDemi" w:cs="ITCFranklinGothicDemi"/>
          <w:b/>
          <w:lang w:val="en-US"/>
        </w:rPr>
        <w:t>Mrs McKevitt</w:t>
      </w:r>
      <w:r>
        <w:rPr>
          <w:rFonts w:ascii="ITCFranklinGothicDemi" w:hAnsi="ITCFranklinGothicDemi" w:cs="ITCFranklinGothicDemi"/>
          <w:lang w:val="en-US"/>
        </w:rPr>
        <w:t xml:space="preserve"> </w:t>
      </w:r>
      <w:r>
        <w:rPr>
          <w:lang w:val="en-US"/>
        </w:rPr>
        <w:t>asked the Minister of Education whether there are trained professionals in each</w:t>
      </w:r>
      <w:r w:rsidR="0018348D">
        <w:rPr>
          <w:lang w:val="en-US"/>
        </w:rPr>
        <w:t xml:space="preserve"> </w:t>
      </w:r>
      <w:r>
        <w:rPr>
          <w:lang w:val="en-US"/>
        </w:rPr>
        <w:t>Education and Library Board available to oversee the provision of educational support to students with</w:t>
      </w:r>
      <w:r w:rsidR="0018348D">
        <w:rPr>
          <w:lang w:val="en-US"/>
        </w:rPr>
        <w:t xml:space="preserve"> </w:t>
      </w:r>
      <w:r>
        <w:rPr>
          <w:lang w:val="en-US"/>
        </w:rPr>
        <w:t>a muscular dystrophy condition who attend mainstream education.</w:t>
      </w:r>
    </w:p>
    <w:p w:rsidR="00E84839" w:rsidRDefault="00E84839" w:rsidP="0018348D">
      <w:pPr>
        <w:pStyle w:val="NICCYBodyText"/>
        <w:rPr>
          <w:rFonts w:ascii="ITCFranklinGothicDemi" w:hAnsi="ITCFranklinGothicDemi" w:cs="ITCFranklinGothicDemi"/>
          <w:lang w:val="en-US"/>
        </w:rPr>
      </w:pPr>
      <w:r>
        <w:rPr>
          <w:rFonts w:ascii="ITCFranklinGothicDemi" w:hAnsi="ITCFranklinGothicDemi" w:cs="ITCFranklinGothicDemi"/>
          <w:lang w:val="en-US"/>
        </w:rPr>
        <w:t>(AQW 35015/11-15)</w:t>
      </w:r>
    </w:p>
    <w:p w:rsidR="0018348D" w:rsidRDefault="0018348D" w:rsidP="0018348D">
      <w:pPr>
        <w:pStyle w:val="NICCYBodyText"/>
        <w:rPr>
          <w:rFonts w:ascii="ITCFranklinGothicDemi" w:hAnsi="ITCFranklinGothicDemi" w:cs="ITCFranklinGothicDemi"/>
          <w:lang w:val="en-US"/>
        </w:rPr>
      </w:pPr>
    </w:p>
    <w:p w:rsidR="00E84839" w:rsidRDefault="00E84839" w:rsidP="0018348D">
      <w:pPr>
        <w:pStyle w:val="NICCYBodyText"/>
        <w:rPr>
          <w:lang w:val="en-US"/>
        </w:rPr>
      </w:pPr>
      <w:r w:rsidRPr="0018348D">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As muscular dystrophy is a medical condition primary responsibility for the care of pupils</w:t>
      </w:r>
      <w:r w:rsidR="0018348D">
        <w:rPr>
          <w:lang w:val="en-US"/>
        </w:rPr>
        <w:t xml:space="preserve"> </w:t>
      </w:r>
      <w:r>
        <w:rPr>
          <w:lang w:val="en-US"/>
        </w:rPr>
        <w:t>res</w:t>
      </w:r>
      <w:r w:rsidR="0018348D">
        <w:rPr>
          <w:lang w:val="en-US"/>
        </w:rPr>
        <w:t xml:space="preserve">ts with the local health trust.  </w:t>
      </w:r>
      <w:r>
        <w:rPr>
          <w:lang w:val="en-US"/>
        </w:rPr>
        <w:t>Health professionals provide an individual Care Plan for a child which</w:t>
      </w:r>
      <w:r w:rsidR="0018348D">
        <w:rPr>
          <w:lang w:val="en-US"/>
        </w:rPr>
        <w:t xml:space="preserve"> </w:t>
      </w:r>
      <w:r>
        <w:rPr>
          <w:lang w:val="en-US"/>
        </w:rPr>
        <w:t>will specify how the child</w:t>
      </w:r>
      <w:r w:rsidR="0018348D">
        <w:rPr>
          <w:lang w:val="en-US"/>
        </w:rPr>
        <w:t xml:space="preserve">’s medical needs are to be met.  </w:t>
      </w:r>
      <w:r>
        <w:rPr>
          <w:lang w:val="en-US"/>
        </w:rPr>
        <w:t>Health professionals will also train school</w:t>
      </w:r>
      <w:r w:rsidR="0018348D">
        <w:rPr>
          <w:lang w:val="en-US"/>
        </w:rPr>
        <w:t xml:space="preserve"> </w:t>
      </w:r>
      <w:r>
        <w:rPr>
          <w:lang w:val="en-US"/>
        </w:rPr>
        <w:t>staff so that they are competent in dealing with all aspects of the Care Plan.</w:t>
      </w:r>
    </w:p>
    <w:p w:rsidR="0018348D" w:rsidRDefault="0018348D" w:rsidP="0018348D">
      <w:pPr>
        <w:pStyle w:val="NICCYBodyText"/>
        <w:rPr>
          <w:lang w:val="en-US"/>
        </w:rPr>
      </w:pPr>
    </w:p>
    <w:p w:rsidR="00E84839" w:rsidRDefault="00E84839" w:rsidP="0018348D">
      <w:pPr>
        <w:pStyle w:val="NICCYBodyText"/>
        <w:rPr>
          <w:lang w:val="en-US"/>
        </w:rPr>
      </w:pPr>
      <w:r>
        <w:rPr>
          <w:lang w:val="en-US"/>
        </w:rPr>
        <w:t>The Education and Library Boards (ELBs) have advised that school Principals, teachers and allied</w:t>
      </w:r>
      <w:r w:rsidR="0018348D">
        <w:rPr>
          <w:lang w:val="en-US"/>
        </w:rPr>
        <w:t xml:space="preserve"> </w:t>
      </w:r>
      <w:r>
        <w:rPr>
          <w:lang w:val="en-US"/>
        </w:rPr>
        <w:t>health professionals work together as active partners to ensure the educational and allied health</w:t>
      </w:r>
      <w:r w:rsidR="0018348D">
        <w:rPr>
          <w:lang w:val="en-US"/>
        </w:rPr>
        <w:t xml:space="preserve"> </w:t>
      </w:r>
      <w:r>
        <w:rPr>
          <w:lang w:val="en-US"/>
        </w:rPr>
        <w:t>needs of the pupils are successfully met.</w:t>
      </w:r>
      <w:r w:rsidR="0018348D">
        <w:rPr>
          <w:lang w:val="en-US"/>
        </w:rPr>
        <w:t xml:space="preserve">  </w:t>
      </w:r>
      <w:r>
        <w:rPr>
          <w:lang w:val="en-US"/>
        </w:rPr>
        <w:t>At the core of ELB support services is an understanding that the needs of each pupil will be unique</w:t>
      </w:r>
      <w:r w:rsidR="0018348D">
        <w:rPr>
          <w:lang w:val="en-US"/>
        </w:rPr>
        <w:t xml:space="preserve"> </w:t>
      </w:r>
      <w:r>
        <w:rPr>
          <w:lang w:val="en-US"/>
        </w:rPr>
        <w:t>depending on the specific p</w:t>
      </w:r>
      <w:r w:rsidR="0018348D">
        <w:rPr>
          <w:lang w:val="en-US"/>
        </w:rPr>
        <w:t xml:space="preserve">resentation of their condition.  </w:t>
      </w:r>
      <w:r>
        <w:rPr>
          <w:lang w:val="en-US"/>
        </w:rPr>
        <w:t>In all services the nature and extent of the</w:t>
      </w:r>
    </w:p>
    <w:p w:rsidR="00E84839" w:rsidRDefault="00E84839" w:rsidP="0018348D">
      <w:pPr>
        <w:pStyle w:val="NICCYBodyText"/>
        <w:rPr>
          <w:lang w:val="en-US"/>
        </w:rPr>
      </w:pPr>
      <w:r>
        <w:rPr>
          <w:lang w:val="en-US"/>
        </w:rPr>
        <w:t>support which is made available to schools is determined by the severity of the special educational</w:t>
      </w:r>
      <w:r w:rsidR="0018348D">
        <w:rPr>
          <w:lang w:val="en-US"/>
        </w:rPr>
        <w:t xml:space="preserve"> </w:t>
      </w:r>
      <w:r>
        <w:rPr>
          <w:lang w:val="en-US"/>
        </w:rPr>
        <w:t>ne</w:t>
      </w:r>
      <w:r w:rsidR="0018348D">
        <w:rPr>
          <w:lang w:val="en-US"/>
        </w:rPr>
        <w:t xml:space="preserve">eds of the pupils  </w:t>
      </w:r>
      <w:r>
        <w:rPr>
          <w:lang w:val="en-US"/>
        </w:rPr>
        <w:t xml:space="preserve"> A range of levels of support are available which are </w:t>
      </w:r>
      <w:r>
        <w:rPr>
          <w:lang w:val="en-US"/>
        </w:rPr>
        <w:lastRenderedPageBreak/>
        <w:t>aimed at capacity building for</w:t>
      </w:r>
      <w:r w:rsidR="0018348D">
        <w:rPr>
          <w:lang w:val="en-US"/>
        </w:rPr>
        <w:t xml:space="preserve"> </w:t>
      </w:r>
      <w:r>
        <w:rPr>
          <w:lang w:val="en-US"/>
        </w:rPr>
        <w:t>educational professionals and the development of collaborative working practices between schools,</w:t>
      </w:r>
      <w:r w:rsidR="0018348D">
        <w:rPr>
          <w:lang w:val="en-US"/>
        </w:rPr>
        <w:t xml:space="preserve"> </w:t>
      </w:r>
      <w:r>
        <w:rPr>
          <w:lang w:val="en-US"/>
        </w:rPr>
        <w:t>ELB services and health trusts.</w:t>
      </w:r>
    </w:p>
    <w:p w:rsidR="0018348D" w:rsidRDefault="0018348D" w:rsidP="0018348D">
      <w:pPr>
        <w:pStyle w:val="NICCYBodyText"/>
        <w:rPr>
          <w:lang w:val="en-US"/>
        </w:rPr>
      </w:pPr>
    </w:p>
    <w:p w:rsidR="00E84839" w:rsidRDefault="00E84839" w:rsidP="0018348D">
      <w:pPr>
        <w:pStyle w:val="NICCYBodyText"/>
        <w:rPr>
          <w:lang w:val="en-US"/>
        </w:rPr>
      </w:pPr>
      <w:r>
        <w:rPr>
          <w:lang w:val="en-US"/>
        </w:rPr>
        <w:t xml:space="preserve">The Southern Education and Library Board also </w:t>
      </w:r>
      <w:proofErr w:type="gramStart"/>
      <w:r>
        <w:rPr>
          <w:lang w:val="en-US"/>
        </w:rPr>
        <w:t>has</w:t>
      </w:r>
      <w:proofErr w:type="gramEnd"/>
      <w:r>
        <w:rPr>
          <w:lang w:val="en-US"/>
        </w:rPr>
        <w:t xml:space="preserve"> a primary and a post-primary Educational Centre</w:t>
      </w:r>
      <w:r w:rsidR="0018348D">
        <w:rPr>
          <w:lang w:val="en-US"/>
        </w:rPr>
        <w:t xml:space="preserve"> </w:t>
      </w:r>
      <w:r>
        <w:rPr>
          <w:lang w:val="en-US"/>
        </w:rPr>
        <w:t xml:space="preserve">for Children with Physical Difficulties (ECPD) </w:t>
      </w:r>
      <w:r w:rsidR="0018348D">
        <w:rPr>
          <w:lang w:val="en-US"/>
        </w:rPr>
        <w:t xml:space="preserve">attached to mainstream schools.  </w:t>
      </w:r>
      <w:r>
        <w:rPr>
          <w:lang w:val="en-US"/>
        </w:rPr>
        <w:t>These ECPDs are</w:t>
      </w:r>
      <w:r w:rsidR="0018348D">
        <w:rPr>
          <w:lang w:val="en-US"/>
        </w:rPr>
        <w:t xml:space="preserve"> </w:t>
      </w:r>
      <w:r>
        <w:rPr>
          <w:lang w:val="en-US"/>
        </w:rPr>
        <w:t>specifically designed to cater for pupils with physical difficulties, including muscular dystrophy, who</w:t>
      </w:r>
      <w:r w:rsidR="0018348D">
        <w:rPr>
          <w:lang w:val="en-US"/>
        </w:rPr>
        <w:t xml:space="preserve"> </w:t>
      </w:r>
      <w:r>
        <w:rPr>
          <w:lang w:val="en-US"/>
        </w:rPr>
        <w:t>have a Statemen</w:t>
      </w:r>
      <w:r w:rsidR="0018348D">
        <w:rPr>
          <w:lang w:val="en-US"/>
        </w:rPr>
        <w:t xml:space="preserve">t of Special Educational Needs.  </w:t>
      </w:r>
      <w:r>
        <w:rPr>
          <w:lang w:val="en-US"/>
        </w:rPr>
        <w:t>ECPDs are resourced with their own full-time teacher</w:t>
      </w:r>
      <w:r w:rsidR="0018348D">
        <w:rPr>
          <w:lang w:val="en-US"/>
        </w:rPr>
        <w:t xml:space="preserve"> </w:t>
      </w:r>
      <w:r>
        <w:rPr>
          <w:lang w:val="en-US"/>
        </w:rPr>
        <w:t>and two full-time classroom assistants and the Principal has overall responsibility for the educational</w:t>
      </w:r>
      <w:r w:rsidR="0018348D">
        <w:rPr>
          <w:lang w:val="en-US"/>
        </w:rPr>
        <w:t xml:space="preserve"> </w:t>
      </w:r>
      <w:r>
        <w:rPr>
          <w:lang w:val="en-US"/>
        </w:rPr>
        <w:t>support within the setting.</w:t>
      </w:r>
    </w:p>
    <w:p w:rsidR="0018348D" w:rsidRDefault="0018348D" w:rsidP="0018348D">
      <w:pPr>
        <w:pStyle w:val="NICCYBodyText"/>
        <w:rPr>
          <w:lang w:val="en-US"/>
        </w:rPr>
      </w:pPr>
    </w:p>
    <w:p w:rsidR="0018348D" w:rsidRDefault="0018348D" w:rsidP="001C07DB">
      <w:pPr>
        <w:pStyle w:val="NICCYBodyText"/>
      </w:pPr>
      <w:hyperlink w:anchor="_top" w:history="1">
        <w:r w:rsidRPr="007715F2">
          <w:rPr>
            <w:rStyle w:val="Hyperlink"/>
          </w:rPr>
          <w:t>Ba</w:t>
        </w:r>
        <w:r w:rsidRPr="007715F2">
          <w:rPr>
            <w:rStyle w:val="Hyperlink"/>
          </w:rPr>
          <w:t>c</w:t>
        </w:r>
        <w:r w:rsidRPr="007715F2">
          <w:rPr>
            <w:rStyle w:val="Hyperlink"/>
          </w:rPr>
          <w:t>k to</w:t>
        </w:r>
        <w:r w:rsidRPr="007715F2">
          <w:rPr>
            <w:rStyle w:val="Hyperlink"/>
          </w:rPr>
          <w:t xml:space="preserve"> </w:t>
        </w:r>
        <w:r w:rsidRPr="007715F2">
          <w:rPr>
            <w:rStyle w:val="Hyperlink"/>
          </w:rPr>
          <w:t>Top</w:t>
        </w:r>
      </w:hyperlink>
      <w:r w:rsidR="001C07DB">
        <w:br/>
      </w:r>
    </w:p>
    <w:p w:rsidR="00E84839" w:rsidRPr="001C07DB" w:rsidRDefault="00E84839" w:rsidP="001C07DB">
      <w:pPr>
        <w:pStyle w:val="Heading2"/>
        <w:rPr>
          <w:color w:val="23A4DE"/>
          <w:lang w:val="en-US"/>
        </w:rPr>
      </w:pPr>
      <w:bookmarkStart w:id="10" w:name="_Hydrotherapy_Pool_Requirements"/>
      <w:bookmarkEnd w:id="10"/>
      <w:r w:rsidRPr="001C07DB">
        <w:rPr>
          <w:color w:val="23A4DE"/>
          <w:lang w:val="en-US"/>
        </w:rPr>
        <w:t>Hydrotherapy Pool Requirements</w:t>
      </w:r>
    </w:p>
    <w:p w:rsidR="00E84839" w:rsidRDefault="00E84839" w:rsidP="001C07DB">
      <w:pPr>
        <w:pStyle w:val="NICCYBodyText"/>
        <w:rPr>
          <w:lang w:val="en-US"/>
        </w:rPr>
      </w:pPr>
      <w:r w:rsidRPr="001C07DB">
        <w:rPr>
          <w:rFonts w:ascii="ITCFranklinGothicDemi" w:hAnsi="ITCFranklinGothicDemi" w:cs="ITCFranklinGothicDemi"/>
          <w:b/>
          <w:lang w:val="en-US"/>
        </w:rPr>
        <w:t>Mrs McKevitt</w:t>
      </w:r>
      <w:r>
        <w:rPr>
          <w:rFonts w:ascii="ITCFranklinGothicDemi" w:hAnsi="ITCFranklinGothicDemi" w:cs="ITCFranklinGothicDemi"/>
          <w:lang w:val="en-US"/>
        </w:rPr>
        <w:t xml:space="preserve"> </w:t>
      </w:r>
      <w:r>
        <w:rPr>
          <w:lang w:val="en-US"/>
        </w:rPr>
        <w:t>asked the Minister of Education to list the special educational needs schools with a</w:t>
      </w:r>
      <w:r w:rsidR="001C07DB">
        <w:rPr>
          <w:lang w:val="en-US"/>
        </w:rPr>
        <w:t xml:space="preserve"> </w:t>
      </w:r>
      <w:r>
        <w:rPr>
          <w:lang w:val="en-US"/>
        </w:rPr>
        <w:t>hydrotherapy pool on school grounds.</w:t>
      </w:r>
    </w:p>
    <w:p w:rsidR="00E84839" w:rsidRDefault="00E84839" w:rsidP="001C07DB">
      <w:pPr>
        <w:pStyle w:val="NICCYBodyText"/>
        <w:rPr>
          <w:rFonts w:ascii="ITCFranklinGothicDemi" w:hAnsi="ITCFranklinGothicDemi" w:cs="ITCFranklinGothicDemi"/>
          <w:lang w:val="en-US"/>
        </w:rPr>
      </w:pPr>
      <w:r>
        <w:rPr>
          <w:rFonts w:ascii="ITCFranklinGothicDemi" w:hAnsi="ITCFranklinGothicDemi" w:cs="ITCFranklinGothicDemi"/>
          <w:lang w:val="en-US"/>
        </w:rPr>
        <w:t>(AQW 35016/11-15)</w:t>
      </w:r>
    </w:p>
    <w:p w:rsidR="001C07DB" w:rsidRDefault="001C07DB" w:rsidP="001C07DB">
      <w:pPr>
        <w:pStyle w:val="NICCYBodyText"/>
        <w:rPr>
          <w:rFonts w:ascii="ITCFranklinGothicDemi" w:hAnsi="ITCFranklinGothicDemi" w:cs="ITCFranklinGothicDemi"/>
          <w:lang w:val="en-US"/>
        </w:rPr>
      </w:pPr>
    </w:p>
    <w:p w:rsidR="00E84839" w:rsidRDefault="00E84839" w:rsidP="001C07DB">
      <w:pPr>
        <w:pStyle w:val="NICCYBodyText"/>
      </w:pPr>
      <w:r w:rsidRPr="001C07DB">
        <w:rPr>
          <w:rFonts w:ascii="ITCFranklinGothicDemi" w:hAnsi="ITCFranklinGothicDemi" w:cs="ITCFranklinGothicDemi"/>
          <w:b/>
          <w:lang w:val="en-US"/>
        </w:rPr>
        <w:t>Mr O’Dowd:</w:t>
      </w:r>
      <w:r>
        <w:rPr>
          <w:rFonts w:ascii="ITCFranklinGothicDemi" w:hAnsi="ITCFranklinGothicDemi" w:cs="ITCFranklinGothicDemi"/>
          <w:lang w:val="en-US"/>
        </w:rPr>
        <w:t xml:space="preserve"> </w:t>
      </w:r>
      <w:r>
        <w:rPr>
          <w:lang w:val="en-US"/>
        </w:rPr>
        <w:t>The special schools with a hydrotherapy pool on school grounds are:</w:t>
      </w:r>
    </w:p>
    <w:p w:rsidR="00E84839" w:rsidRDefault="00E84839" w:rsidP="00E84839">
      <w:pPr>
        <w:autoSpaceDE w:val="0"/>
        <w:autoSpaceDN w:val="0"/>
        <w:adjustRightInd w:val="0"/>
      </w:pPr>
    </w:p>
    <w:tbl>
      <w:tblPr>
        <w:tblW w:w="4500" w:type="pct"/>
        <w:jc w:val="center"/>
        <w:tblCellSpacing w:w="15" w:type="dxa"/>
        <w:tblInd w:w="14" w:type="dxa"/>
        <w:tblBorders>
          <w:top w:val="single" w:sz="6" w:space="0" w:color="444444"/>
          <w:left w:val="single" w:sz="6" w:space="0" w:color="444444"/>
          <w:bottom w:val="single" w:sz="6" w:space="0" w:color="444444"/>
          <w:right w:val="single" w:sz="6" w:space="0" w:color="444444"/>
        </w:tblBorders>
        <w:tblCellMar>
          <w:top w:w="14" w:type="dxa"/>
          <w:left w:w="14" w:type="dxa"/>
          <w:bottom w:w="14" w:type="dxa"/>
          <w:right w:w="14" w:type="dxa"/>
        </w:tblCellMar>
        <w:tblLook w:val="04A0"/>
      </w:tblPr>
      <w:tblGrid>
        <w:gridCol w:w="1845"/>
        <w:gridCol w:w="6930"/>
      </w:tblGrid>
      <w:tr w:rsidR="00E84839" w:rsidRPr="00835389" w:rsidTr="00E84839">
        <w:trPr>
          <w:tblCellSpacing w:w="15" w:type="dxa"/>
          <w:jc w:val="center"/>
        </w:trPr>
        <w:tc>
          <w:tcPr>
            <w:tcW w:w="0" w:type="auto"/>
            <w:vAlign w:val="center"/>
            <w:hideMark/>
          </w:tcPr>
          <w:p w:rsidR="00E84839" w:rsidRPr="00835389" w:rsidRDefault="00E84839" w:rsidP="001C07DB">
            <w:pPr>
              <w:pStyle w:val="NICCYBodyText"/>
              <w:rPr>
                <w:lang w:val="en-US"/>
              </w:rPr>
            </w:pPr>
          </w:p>
        </w:tc>
        <w:tc>
          <w:tcPr>
            <w:tcW w:w="0" w:type="auto"/>
            <w:vAlign w:val="center"/>
            <w:hideMark/>
          </w:tcPr>
          <w:p w:rsidR="00E84839" w:rsidRPr="00835389" w:rsidRDefault="00E84839" w:rsidP="001C07DB">
            <w:pPr>
              <w:pStyle w:val="NICCYBodyText"/>
              <w:rPr>
                <w:lang w:val="en-US"/>
              </w:rPr>
            </w:pPr>
            <w:r w:rsidRPr="00835389">
              <w:rPr>
                <w:b/>
                <w:bCs/>
                <w:lang w:val="en-US"/>
              </w:rPr>
              <w:t>Special School</w:t>
            </w:r>
          </w:p>
        </w:tc>
      </w:tr>
      <w:tr w:rsidR="00E84839" w:rsidRPr="00835389" w:rsidTr="00E84839">
        <w:trPr>
          <w:tblCellSpacing w:w="15" w:type="dxa"/>
          <w:jc w:val="center"/>
        </w:trPr>
        <w:tc>
          <w:tcPr>
            <w:tcW w:w="0" w:type="auto"/>
            <w:vAlign w:val="center"/>
            <w:hideMark/>
          </w:tcPr>
          <w:p w:rsidR="00E84839" w:rsidRPr="00835389" w:rsidRDefault="00E84839" w:rsidP="001C07DB">
            <w:pPr>
              <w:pStyle w:val="NICCYBodyText"/>
              <w:rPr>
                <w:lang w:val="en-US"/>
              </w:rPr>
            </w:pPr>
            <w:r w:rsidRPr="00835389">
              <w:rPr>
                <w:lang w:val="en-US"/>
              </w:rPr>
              <w:t>BELB</w:t>
            </w:r>
          </w:p>
        </w:tc>
        <w:tc>
          <w:tcPr>
            <w:tcW w:w="0" w:type="auto"/>
            <w:vAlign w:val="center"/>
            <w:hideMark/>
          </w:tcPr>
          <w:p w:rsidR="00E84839" w:rsidRPr="00835389" w:rsidRDefault="00E84839" w:rsidP="001C07DB">
            <w:pPr>
              <w:pStyle w:val="NICCYBodyText"/>
              <w:rPr>
                <w:lang w:val="en-US"/>
              </w:rPr>
            </w:pPr>
            <w:r w:rsidRPr="00835389">
              <w:rPr>
                <w:lang w:val="en-US"/>
              </w:rPr>
              <w:t>Fleming Fulton, Belfast</w:t>
            </w:r>
          </w:p>
        </w:tc>
      </w:tr>
      <w:tr w:rsidR="00E84839" w:rsidRPr="00835389" w:rsidTr="00E84839">
        <w:trPr>
          <w:tblCellSpacing w:w="15" w:type="dxa"/>
          <w:jc w:val="center"/>
        </w:trPr>
        <w:tc>
          <w:tcPr>
            <w:tcW w:w="0" w:type="auto"/>
            <w:vAlign w:val="center"/>
            <w:hideMark/>
          </w:tcPr>
          <w:p w:rsidR="00E84839" w:rsidRPr="00835389" w:rsidRDefault="00E84839" w:rsidP="001C07DB">
            <w:pPr>
              <w:pStyle w:val="NICCYBodyText"/>
              <w:rPr>
                <w:lang w:val="en-US"/>
              </w:rPr>
            </w:pPr>
            <w:r w:rsidRPr="00835389">
              <w:rPr>
                <w:lang w:val="en-US"/>
              </w:rPr>
              <w:t>NEELB</w:t>
            </w:r>
          </w:p>
        </w:tc>
        <w:tc>
          <w:tcPr>
            <w:tcW w:w="0" w:type="auto"/>
            <w:vAlign w:val="center"/>
            <w:hideMark/>
          </w:tcPr>
          <w:p w:rsidR="00E84839" w:rsidRPr="00835389" w:rsidRDefault="00E84839" w:rsidP="001C07DB">
            <w:pPr>
              <w:pStyle w:val="NICCYBodyText"/>
              <w:rPr>
                <w:lang w:val="en-US"/>
              </w:rPr>
            </w:pPr>
            <w:r w:rsidRPr="00835389">
              <w:rPr>
                <w:lang w:val="en-US"/>
              </w:rPr>
              <w:t>Jordanstown, Newtownabbey</w:t>
            </w:r>
          </w:p>
          <w:p w:rsidR="00E84839" w:rsidRPr="00835389" w:rsidRDefault="00E84839" w:rsidP="001C07DB">
            <w:pPr>
              <w:pStyle w:val="NICCYBodyText"/>
              <w:rPr>
                <w:lang w:val="en-US"/>
              </w:rPr>
            </w:pPr>
            <w:r w:rsidRPr="00835389">
              <w:rPr>
                <w:lang w:val="en-US"/>
              </w:rPr>
              <w:t>Kilronan, Magherafelt</w:t>
            </w:r>
          </w:p>
          <w:p w:rsidR="00E84839" w:rsidRPr="00835389" w:rsidRDefault="00E84839" w:rsidP="001C07DB">
            <w:pPr>
              <w:pStyle w:val="NICCYBodyText"/>
              <w:rPr>
                <w:lang w:val="en-US"/>
              </w:rPr>
            </w:pPr>
            <w:r w:rsidRPr="00835389">
              <w:rPr>
                <w:lang w:val="en-US"/>
              </w:rPr>
              <w:t>Castle Tower, Ballymena</w:t>
            </w:r>
          </w:p>
          <w:p w:rsidR="00E84839" w:rsidRPr="00835389" w:rsidRDefault="00E84839" w:rsidP="001C07DB">
            <w:pPr>
              <w:pStyle w:val="NICCYBodyText"/>
              <w:rPr>
                <w:lang w:val="en-US"/>
              </w:rPr>
            </w:pPr>
            <w:r w:rsidRPr="00835389">
              <w:rPr>
                <w:lang w:val="en-US"/>
              </w:rPr>
              <w:t>Sandelford, Coleraine</w:t>
            </w:r>
          </w:p>
        </w:tc>
      </w:tr>
      <w:tr w:rsidR="00E84839" w:rsidRPr="00835389" w:rsidTr="00E84839">
        <w:trPr>
          <w:tblCellSpacing w:w="15" w:type="dxa"/>
          <w:jc w:val="center"/>
        </w:trPr>
        <w:tc>
          <w:tcPr>
            <w:tcW w:w="0" w:type="auto"/>
            <w:vAlign w:val="center"/>
            <w:hideMark/>
          </w:tcPr>
          <w:p w:rsidR="00E84839" w:rsidRPr="00835389" w:rsidRDefault="00E84839" w:rsidP="001C07DB">
            <w:pPr>
              <w:pStyle w:val="NICCYBodyText"/>
              <w:rPr>
                <w:lang w:val="en-US"/>
              </w:rPr>
            </w:pPr>
            <w:r w:rsidRPr="00835389">
              <w:rPr>
                <w:lang w:val="en-US"/>
              </w:rPr>
              <w:t>SEELB</w:t>
            </w:r>
          </w:p>
        </w:tc>
        <w:tc>
          <w:tcPr>
            <w:tcW w:w="0" w:type="auto"/>
            <w:vAlign w:val="center"/>
            <w:hideMark/>
          </w:tcPr>
          <w:p w:rsidR="00E84839" w:rsidRPr="00835389" w:rsidRDefault="00E84839" w:rsidP="001C07DB">
            <w:pPr>
              <w:pStyle w:val="NICCYBodyText"/>
              <w:rPr>
                <w:lang w:val="en-US"/>
              </w:rPr>
            </w:pPr>
            <w:r w:rsidRPr="00835389">
              <w:rPr>
                <w:lang w:val="en-US"/>
              </w:rPr>
              <w:t>Knockevin, Downpatrick</w:t>
            </w:r>
          </w:p>
          <w:p w:rsidR="00E84839" w:rsidRPr="00835389" w:rsidRDefault="00E84839" w:rsidP="001C07DB">
            <w:pPr>
              <w:pStyle w:val="NICCYBodyText"/>
              <w:rPr>
                <w:lang w:val="en-US"/>
              </w:rPr>
            </w:pPr>
            <w:r w:rsidRPr="00835389">
              <w:rPr>
                <w:lang w:val="en-US"/>
              </w:rPr>
              <w:t>Clifton, Bangor</w:t>
            </w:r>
          </w:p>
          <w:p w:rsidR="00E84839" w:rsidRPr="00835389" w:rsidRDefault="00E84839" w:rsidP="001C07DB">
            <w:pPr>
              <w:pStyle w:val="NICCYBodyText"/>
              <w:rPr>
                <w:lang w:val="en-US"/>
              </w:rPr>
            </w:pPr>
            <w:r w:rsidRPr="00835389">
              <w:rPr>
                <w:lang w:val="en-US"/>
              </w:rPr>
              <w:t>Parkview, Lisburn</w:t>
            </w:r>
          </w:p>
        </w:tc>
      </w:tr>
      <w:tr w:rsidR="00E84839" w:rsidRPr="00835389" w:rsidTr="00E84839">
        <w:trPr>
          <w:tblCellSpacing w:w="15" w:type="dxa"/>
          <w:jc w:val="center"/>
        </w:trPr>
        <w:tc>
          <w:tcPr>
            <w:tcW w:w="0" w:type="auto"/>
            <w:vAlign w:val="center"/>
            <w:hideMark/>
          </w:tcPr>
          <w:p w:rsidR="00E84839" w:rsidRPr="00835389" w:rsidRDefault="00E84839" w:rsidP="001C07DB">
            <w:pPr>
              <w:pStyle w:val="NICCYBodyText"/>
              <w:rPr>
                <w:lang w:val="en-US"/>
              </w:rPr>
            </w:pPr>
            <w:r w:rsidRPr="00835389">
              <w:rPr>
                <w:lang w:val="en-US"/>
              </w:rPr>
              <w:t>SELB</w:t>
            </w:r>
          </w:p>
        </w:tc>
        <w:tc>
          <w:tcPr>
            <w:tcW w:w="0" w:type="auto"/>
            <w:vAlign w:val="center"/>
            <w:hideMark/>
          </w:tcPr>
          <w:p w:rsidR="00E84839" w:rsidRPr="00835389" w:rsidRDefault="00E84839" w:rsidP="001C07DB">
            <w:pPr>
              <w:pStyle w:val="NICCYBodyText"/>
              <w:rPr>
                <w:lang w:val="en-US"/>
              </w:rPr>
            </w:pPr>
            <w:r w:rsidRPr="00835389">
              <w:rPr>
                <w:lang w:val="en-US"/>
              </w:rPr>
              <w:t>Lisanally, Armagh</w:t>
            </w:r>
          </w:p>
        </w:tc>
      </w:tr>
      <w:tr w:rsidR="00E84839" w:rsidRPr="00835389" w:rsidTr="00E84839">
        <w:trPr>
          <w:tblCellSpacing w:w="15" w:type="dxa"/>
          <w:jc w:val="center"/>
        </w:trPr>
        <w:tc>
          <w:tcPr>
            <w:tcW w:w="0" w:type="auto"/>
            <w:vAlign w:val="center"/>
            <w:hideMark/>
          </w:tcPr>
          <w:p w:rsidR="00E84839" w:rsidRPr="00835389" w:rsidRDefault="00E84839" w:rsidP="001C07DB">
            <w:pPr>
              <w:pStyle w:val="NICCYBodyText"/>
              <w:rPr>
                <w:lang w:val="en-US"/>
              </w:rPr>
            </w:pPr>
            <w:r w:rsidRPr="00835389">
              <w:rPr>
                <w:lang w:val="en-US"/>
              </w:rPr>
              <w:t>WELB</w:t>
            </w:r>
          </w:p>
        </w:tc>
        <w:tc>
          <w:tcPr>
            <w:tcW w:w="0" w:type="auto"/>
            <w:vAlign w:val="center"/>
            <w:hideMark/>
          </w:tcPr>
          <w:p w:rsidR="00E84839" w:rsidRPr="00835389" w:rsidRDefault="00E84839" w:rsidP="001C07DB">
            <w:pPr>
              <w:pStyle w:val="NICCYBodyText"/>
              <w:rPr>
                <w:lang w:val="en-US"/>
              </w:rPr>
            </w:pPr>
            <w:r w:rsidRPr="00835389">
              <w:rPr>
                <w:lang w:val="en-US"/>
              </w:rPr>
              <w:t>Willowbridge, Enniskillen</w:t>
            </w:r>
          </w:p>
          <w:p w:rsidR="00E84839" w:rsidRPr="00835389" w:rsidRDefault="00E84839" w:rsidP="001C07DB">
            <w:pPr>
              <w:pStyle w:val="NICCYBodyText"/>
              <w:rPr>
                <w:lang w:val="en-US"/>
              </w:rPr>
            </w:pPr>
            <w:r w:rsidRPr="00835389">
              <w:rPr>
                <w:lang w:val="en-US"/>
              </w:rPr>
              <w:t>Foyleview, Derry</w:t>
            </w:r>
          </w:p>
        </w:tc>
      </w:tr>
    </w:tbl>
    <w:p w:rsidR="00E84839" w:rsidRDefault="00E84839" w:rsidP="00E84839">
      <w:pPr>
        <w:autoSpaceDE w:val="0"/>
        <w:autoSpaceDN w:val="0"/>
        <w:adjustRightInd w:val="0"/>
      </w:pPr>
    </w:p>
    <w:p w:rsidR="001C07DB" w:rsidRDefault="001C07DB" w:rsidP="001C07DB">
      <w:pPr>
        <w:pStyle w:val="NICCYBodyText"/>
      </w:pPr>
      <w:hyperlink w:anchor="_top" w:history="1">
        <w:r w:rsidRPr="007715F2">
          <w:rPr>
            <w:rStyle w:val="Hyperlink"/>
          </w:rPr>
          <w:t>Back to Top</w:t>
        </w:r>
      </w:hyperlink>
    </w:p>
    <w:p w:rsidR="001C07DB" w:rsidRPr="001C07DB" w:rsidRDefault="001C07DB" w:rsidP="001C07DB">
      <w:pPr>
        <w:pStyle w:val="NICCYHeading"/>
        <w:rPr>
          <w:lang w:val="en-US"/>
        </w:rPr>
      </w:pPr>
      <w:r w:rsidRPr="001C07DB">
        <w:rPr>
          <w:lang w:val="en-US"/>
        </w:rPr>
        <w:lastRenderedPageBreak/>
        <w:t>Department of Health, Social Services &amp; Public Safety</w:t>
      </w:r>
    </w:p>
    <w:p w:rsidR="00E84839" w:rsidRPr="001C07DB" w:rsidRDefault="00E84839" w:rsidP="001C07DB">
      <w:pPr>
        <w:pStyle w:val="Heading2"/>
        <w:rPr>
          <w:color w:val="23A4DE"/>
          <w:lang w:val="en-US"/>
        </w:rPr>
      </w:pPr>
      <w:bookmarkStart w:id="11" w:name="_Review_of_Children’s"/>
      <w:bookmarkEnd w:id="11"/>
      <w:r w:rsidRPr="001C07DB">
        <w:rPr>
          <w:color w:val="23A4DE"/>
          <w:lang w:val="en-US"/>
        </w:rPr>
        <w:t>Review of Children’s Palliative Care and End of Life Care</w:t>
      </w:r>
    </w:p>
    <w:p w:rsidR="00E84839" w:rsidRDefault="00E84839" w:rsidP="001C07DB">
      <w:pPr>
        <w:pStyle w:val="NICCYBodyText"/>
        <w:rPr>
          <w:lang w:val="en-US"/>
        </w:rPr>
      </w:pPr>
      <w:r w:rsidRPr="001C07DB">
        <w:rPr>
          <w:rFonts w:ascii="ITCFranklinGothicDemi" w:hAnsi="ITCFranklinGothicDemi" w:cs="ITCFranklinGothicDemi"/>
          <w:b/>
          <w:lang w:val="en-US"/>
        </w:rPr>
        <w:t>Mr Lyttle</w:t>
      </w:r>
      <w:r>
        <w:rPr>
          <w:rFonts w:ascii="ITCFranklinGothicDemi" w:hAnsi="ITCFranklinGothicDemi" w:cs="ITCFranklinGothicDemi"/>
          <w:lang w:val="en-US"/>
        </w:rPr>
        <w:t xml:space="preserve"> </w:t>
      </w:r>
      <w:r>
        <w:rPr>
          <w:lang w:val="en-US"/>
        </w:rPr>
        <w:t>asked the Minister of Health, Social Services and Public Safety for an update on</w:t>
      </w:r>
    </w:p>
    <w:p w:rsidR="00E84839" w:rsidRDefault="00E84839" w:rsidP="001C07DB">
      <w:pPr>
        <w:pStyle w:val="NICCYBodyText"/>
        <w:rPr>
          <w:lang w:val="en-US"/>
        </w:rPr>
      </w:pPr>
      <w:r>
        <w:rPr>
          <w:lang w:val="en-US"/>
        </w:rPr>
        <w:t>implementation of the 18 recommendations of the Review of Children’s Palliative Care and End of Life</w:t>
      </w:r>
      <w:r w:rsidR="001C07DB">
        <w:rPr>
          <w:lang w:val="en-US"/>
        </w:rPr>
        <w:t xml:space="preserve"> </w:t>
      </w:r>
      <w:r>
        <w:rPr>
          <w:lang w:val="en-US"/>
        </w:rPr>
        <w:t>Care; and whether a funded strategy will be produced for this implementation within a set timescale.</w:t>
      </w:r>
    </w:p>
    <w:p w:rsidR="00E84839" w:rsidRDefault="00E84839" w:rsidP="001C07DB">
      <w:pPr>
        <w:pStyle w:val="NICCYBodyText"/>
        <w:rPr>
          <w:rFonts w:ascii="ITCFranklinGothicDemi" w:hAnsi="ITCFranklinGothicDemi" w:cs="ITCFranklinGothicDemi"/>
          <w:lang w:val="en-US"/>
        </w:rPr>
      </w:pPr>
      <w:r>
        <w:rPr>
          <w:rFonts w:ascii="ITCFranklinGothicDemi" w:hAnsi="ITCFranklinGothicDemi" w:cs="ITCFranklinGothicDemi"/>
          <w:lang w:val="en-US"/>
        </w:rPr>
        <w:t>(AQW 34629/11-15)</w:t>
      </w:r>
    </w:p>
    <w:p w:rsidR="001C07DB" w:rsidRDefault="001C07DB" w:rsidP="001C07DB">
      <w:pPr>
        <w:pStyle w:val="NICCYBodyText"/>
        <w:rPr>
          <w:rFonts w:ascii="ITCFranklinGothicDemi" w:hAnsi="ITCFranklinGothicDemi" w:cs="ITCFranklinGothicDemi"/>
          <w:lang w:val="en-US"/>
        </w:rPr>
      </w:pPr>
    </w:p>
    <w:p w:rsidR="00E84839" w:rsidRDefault="00E84839" w:rsidP="001C07DB">
      <w:pPr>
        <w:pStyle w:val="NICCYBodyText"/>
        <w:rPr>
          <w:lang w:val="en-US"/>
        </w:rPr>
      </w:pPr>
      <w:r w:rsidRPr="001C07DB">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Public consultation on the 18 recommendations in the review document closed on 28 March</w:t>
      </w:r>
      <w:r w:rsidR="001C07DB">
        <w:rPr>
          <w:lang w:val="en-US"/>
        </w:rPr>
        <w:t xml:space="preserve"> 2014.  </w:t>
      </w:r>
      <w:r>
        <w:rPr>
          <w:lang w:val="en-US"/>
        </w:rPr>
        <w:t>My Department is currently analysing the re</w:t>
      </w:r>
      <w:r w:rsidR="001C07DB">
        <w:rPr>
          <w:lang w:val="en-US"/>
        </w:rPr>
        <w:t xml:space="preserve">sponses to the recommendations.  </w:t>
      </w:r>
      <w:r>
        <w:rPr>
          <w:lang w:val="en-US"/>
        </w:rPr>
        <w:t>When this work is</w:t>
      </w:r>
      <w:r w:rsidR="001C07DB">
        <w:rPr>
          <w:lang w:val="en-US"/>
        </w:rPr>
        <w:t xml:space="preserve"> </w:t>
      </w:r>
      <w:r>
        <w:rPr>
          <w:lang w:val="en-US"/>
        </w:rPr>
        <w:t>completed a final strategy for ‘Children’s Palliative Care and End o</w:t>
      </w:r>
      <w:r w:rsidR="001C07DB">
        <w:rPr>
          <w:lang w:val="en-US"/>
        </w:rPr>
        <w:t xml:space="preserve">f Life Care’ will be published.  </w:t>
      </w:r>
      <w:r>
        <w:rPr>
          <w:lang w:val="en-US"/>
        </w:rPr>
        <w:t>We are</w:t>
      </w:r>
      <w:r w:rsidR="001C07DB">
        <w:rPr>
          <w:lang w:val="en-US"/>
        </w:rPr>
        <w:t xml:space="preserve"> </w:t>
      </w:r>
      <w:r>
        <w:rPr>
          <w:lang w:val="en-US"/>
        </w:rPr>
        <w:t>aiming to publish the strategy by autumn 2014.</w:t>
      </w:r>
    </w:p>
    <w:p w:rsidR="001C07DB" w:rsidRDefault="001C07DB" w:rsidP="001C07DB">
      <w:pPr>
        <w:pStyle w:val="NICCYBodyText"/>
        <w:rPr>
          <w:lang w:val="en-US"/>
        </w:rPr>
      </w:pPr>
    </w:p>
    <w:p w:rsidR="00E84839" w:rsidRDefault="00E84839" w:rsidP="001C07DB">
      <w:pPr>
        <w:pStyle w:val="NICCYBodyText"/>
        <w:rPr>
          <w:lang w:val="en-US"/>
        </w:rPr>
      </w:pPr>
      <w:r>
        <w:rPr>
          <w:lang w:val="en-US"/>
        </w:rPr>
        <w:t>The Health and Social Care Board, as commissioner of healthcare services, will lead on the</w:t>
      </w:r>
      <w:r w:rsidR="001C07DB">
        <w:rPr>
          <w:lang w:val="en-US"/>
        </w:rPr>
        <w:t xml:space="preserve"> </w:t>
      </w:r>
      <w:r>
        <w:rPr>
          <w:lang w:val="en-US"/>
        </w:rPr>
        <w:t>implementation of the strategy in par</w:t>
      </w:r>
      <w:r w:rsidR="001C07DB">
        <w:rPr>
          <w:lang w:val="en-US"/>
        </w:rPr>
        <w:t xml:space="preserve">tnership with key stakeholders.  </w:t>
      </w:r>
      <w:r>
        <w:rPr>
          <w:lang w:val="en-US"/>
        </w:rPr>
        <w:t>The cost of implementing the</w:t>
      </w:r>
      <w:r w:rsidR="001C07DB">
        <w:rPr>
          <w:lang w:val="en-US"/>
        </w:rPr>
        <w:t xml:space="preserve"> </w:t>
      </w:r>
      <w:r>
        <w:rPr>
          <w:lang w:val="en-US"/>
        </w:rPr>
        <w:t>strategy is</w:t>
      </w:r>
      <w:r w:rsidR="001C07DB">
        <w:rPr>
          <w:lang w:val="en-US"/>
        </w:rPr>
        <w:t xml:space="preserve"> likely to require new funding.  </w:t>
      </w:r>
      <w:r>
        <w:rPr>
          <w:lang w:val="en-US"/>
        </w:rPr>
        <w:t>I expect to be in a position to announce decisions on funding</w:t>
      </w:r>
      <w:r w:rsidR="001C07DB">
        <w:rPr>
          <w:lang w:val="en-US"/>
        </w:rPr>
        <w:t xml:space="preserve"> </w:t>
      </w:r>
      <w:r>
        <w:rPr>
          <w:lang w:val="en-US"/>
        </w:rPr>
        <w:t>for the strategy when I launch it this autumn subject to the overall consideration of allocations for</w:t>
      </w:r>
      <w:r w:rsidR="001C07DB">
        <w:rPr>
          <w:lang w:val="en-US"/>
        </w:rPr>
        <w:t xml:space="preserve"> </w:t>
      </w:r>
      <w:r>
        <w:rPr>
          <w:lang w:val="en-US"/>
        </w:rPr>
        <w:t>the healthcare budget, when this is finalised, and approval of the business case for any service</w:t>
      </w:r>
      <w:r w:rsidR="001C07DB">
        <w:rPr>
          <w:lang w:val="en-US"/>
        </w:rPr>
        <w:t xml:space="preserve"> </w:t>
      </w:r>
      <w:r>
        <w:rPr>
          <w:lang w:val="en-US"/>
        </w:rPr>
        <w:t>developments.</w:t>
      </w:r>
    </w:p>
    <w:p w:rsidR="001C07DB" w:rsidRDefault="001C07DB" w:rsidP="001C07DB">
      <w:pPr>
        <w:pStyle w:val="NICCYBodyText"/>
      </w:pPr>
    </w:p>
    <w:p w:rsidR="001C07DB" w:rsidRDefault="001C07DB" w:rsidP="001C07DB">
      <w:pPr>
        <w:pStyle w:val="NICCYBodyText"/>
      </w:pPr>
      <w:hyperlink w:anchor="_top" w:history="1">
        <w:r w:rsidRPr="007715F2">
          <w:rPr>
            <w:rStyle w:val="Hyperlink"/>
          </w:rPr>
          <w:t>Bac</w:t>
        </w:r>
        <w:r w:rsidRPr="007715F2">
          <w:rPr>
            <w:rStyle w:val="Hyperlink"/>
          </w:rPr>
          <w:t>k</w:t>
        </w:r>
        <w:r w:rsidRPr="007715F2">
          <w:rPr>
            <w:rStyle w:val="Hyperlink"/>
          </w:rPr>
          <w:t xml:space="preserve"> to Top</w:t>
        </w:r>
      </w:hyperlink>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p>
    <w:p w:rsidR="00E84839" w:rsidRPr="001C07DB" w:rsidRDefault="00E84839" w:rsidP="001C07DB">
      <w:pPr>
        <w:pStyle w:val="Heading2"/>
        <w:rPr>
          <w:color w:val="23A4DE"/>
          <w:lang w:val="en-US"/>
        </w:rPr>
      </w:pPr>
      <w:bookmarkStart w:id="12" w:name="_GP_Training:_Domestic"/>
      <w:bookmarkEnd w:id="12"/>
      <w:r w:rsidRPr="001C07DB">
        <w:rPr>
          <w:color w:val="23A4DE"/>
          <w:lang w:val="en-US"/>
        </w:rPr>
        <w:lastRenderedPageBreak/>
        <w:t>GP Training: Domestic Violence</w:t>
      </w:r>
    </w:p>
    <w:p w:rsidR="00E84839" w:rsidRDefault="00E84839" w:rsidP="001C07DB">
      <w:pPr>
        <w:pStyle w:val="NICCYBodyText"/>
        <w:rPr>
          <w:lang w:val="en-US"/>
        </w:rPr>
      </w:pPr>
      <w:r w:rsidRPr="001C07DB">
        <w:rPr>
          <w:rFonts w:ascii="ITCFranklinGothicDemi" w:hAnsi="ITCFranklinGothicDemi" w:cs="ITCFranklinGothicDemi"/>
          <w:b/>
          <w:lang w:val="en-US"/>
        </w:rPr>
        <w:t xml:space="preserve">Mr </w:t>
      </w:r>
      <w:proofErr w:type="spellStart"/>
      <w:r w:rsidRPr="001C07DB">
        <w:rPr>
          <w:rFonts w:ascii="ITCFranklinGothicDemi" w:hAnsi="ITCFranklinGothicDemi" w:cs="ITCFranklinGothicDemi"/>
          <w:b/>
          <w:lang w:val="en-US"/>
        </w:rPr>
        <w:t>Moutray</w:t>
      </w:r>
      <w:proofErr w:type="spellEnd"/>
      <w:r>
        <w:rPr>
          <w:rFonts w:ascii="ITCFranklinGothicDemi" w:hAnsi="ITCFranklinGothicDemi" w:cs="ITCFranklinGothicDemi"/>
          <w:lang w:val="en-US"/>
        </w:rPr>
        <w:t xml:space="preserve"> </w:t>
      </w:r>
      <w:r>
        <w:rPr>
          <w:lang w:val="en-US"/>
        </w:rPr>
        <w:t>asked the Minister of Health, Social Services and Public Safety whether he has any</w:t>
      </w:r>
      <w:r w:rsidR="001C07DB">
        <w:rPr>
          <w:lang w:val="en-US"/>
        </w:rPr>
        <w:t xml:space="preserve"> </w:t>
      </w:r>
      <w:r>
        <w:rPr>
          <w:lang w:val="en-US"/>
        </w:rPr>
        <w:t>plans to make it compulsory for GPs to obtain training for dealing with patients subjected to domestic</w:t>
      </w:r>
      <w:r w:rsidR="001C07DB">
        <w:rPr>
          <w:lang w:val="en-US"/>
        </w:rPr>
        <w:t xml:space="preserve"> </w:t>
      </w:r>
      <w:r>
        <w:rPr>
          <w:lang w:val="en-US"/>
        </w:rPr>
        <w:t>violence.</w:t>
      </w:r>
    </w:p>
    <w:p w:rsidR="00E84839" w:rsidRDefault="00E84839" w:rsidP="001C07DB">
      <w:pPr>
        <w:pStyle w:val="NICCYBodyText"/>
        <w:rPr>
          <w:rFonts w:ascii="ITCFranklinGothicDemi" w:hAnsi="ITCFranklinGothicDemi" w:cs="ITCFranklinGothicDemi"/>
          <w:lang w:val="en-US"/>
        </w:rPr>
      </w:pPr>
      <w:r>
        <w:rPr>
          <w:rFonts w:ascii="ITCFranklinGothicDemi" w:hAnsi="ITCFranklinGothicDemi" w:cs="ITCFranklinGothicDemi"/>
          <w:lang w:val="en-US"/>
        </w:rPr>
        <w:t>(AQW 34722/11-15)</w:t>
      </w:r>
    </w:p>
    <w:p w:rsidR="001C07DB" w:rsidRDefault="001C07DB" w:rsidP="001C07DB">
      <w:pPr>
        <w:pStyle w:val="NICCYBodyText"/>
        <w:rPr>
          <w:rFonts w:ascii="ITCFranklinGothicDemi" w:hAnsi="ITCFranklinGothicDemi" w:cs="ITCFranklinGothicDemi"/>
          <w:lang w:val="en-US"/>
        </w:rPr>
      </w:pPr>
    </w:p>
    <w:p w:rsidR="00E84839" w:rsidRDefault="00E84839" w:rsidP="001C07DB">
      <w:pPr>
        <w:pStyle w:val="NICCYBodyText"/>
        <w:rPr>
          <w:lang w:val="en-US"/>
        </w:rPr>
      </w:pPr>
      <w:r w:rsidRPr="001C07DB">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There are currently no plans to make it compulsory for GPs to obtain training for dealing with</w:t>
      </w:r>
      <w:r w:rsidR="001C07DB">
        <w:rPr>
          <w:lang w:val="en-US"/>
        </w:rPr>
        <w:t xml:space="preserve"> </w:t>
      </w:r>
      <w:r>
        <w:rPr>
          <w:lang w:val="en-US"/>
        </w:rPr>
        <w:t>patients subjected to domestic violence.</w:t>
      </w:r>
      <w:r w:rsidR="001C07DB">
        <w:rPr>
          <w:lang w:val="en-US"/>
        </w:rPr>
        <w:t xml:space="preserve">  </w:t>
      </w:r>
      <w:r>
        <w:rPr>
          <w:lang w:val="en-US"/>
        </w:rPr>
        <w:t>GPs are independent contractors who are expected to undertake self directed learning on an annual</w:t>
      </w:r>
      <w:r w:rsidR="001C07DB">
        <w:rPr>
          <w:lang w:val="en-US"/>
        </w:rPr>
        <w:t xml:space="preserve"> </w:t>
      </w:r>
      <w:r>
        <w:rPr>
          <w:lang w:val="en-US"/>
        </w:rPr>
        <w:t>basis as part of a compulsory appraisal system to maintain t</w:t>
      </w:r>
      <w:r w:rsidR="001C07DB">
        <w:rPr>
          <w:lang w:val="en-US"/>
        </w:rPr>
        <w:t xml:space="preserve">heir professional registration.  </w:t>
      </w:r>
      <w:r>
        <w:rPr>
          <w:lang w:val="en-US"/>
        </w:rPr>
        <w:t>Domestic</w:t>
      </w:r>
    </w:p>
    <w:p w:rsidR="001C07DB" w:rsidRDefault="00E84839" w:rsidP="001C07DB">
      <w:pPr>
        <w:pStyle w:val="NICCYBodyText"/>
        <w:rPr>
          <w:lang w:val="en-US"/>
        </w:rPr>
      </w:pPr>
      <w:proofErr w:type="gramStart"/>
      <w:r>
        <w:rPr>
          <w:lang w:val="en-US"/>
        </w:rPr>
        <w:t>violence</w:t>
      </w:r>
      <w:proofErr w:type="gramEnd"/>
      <w:r>
        <w:rPr>
          <w:lang w:val="en-US"/>
        </w:rPr>
        <w:t xml:space="preserve"> may be an educational area identified by an individual GP as part of their appraisal.</w:t>
      </w:r>
      <w:r w:rsidR="001C07DB">
        <w:rPr>
          <w:lang w:val="en-US"/>
        </w:rPr>
        <w:t xml:space="preserve">    </w:t>
      </w:r>
    </w:p>
    <w:p w:rsidR="001C07DB" w:rsidRDefault="001C07DB" w:rsidP="001C07DB">
      <w:pPr>
        <w:pStyle w:val="NICCYBodyText"/>
        <w:rPr>
          <w:lang w:val="en-US"/>
        </w:rPr>
      </w:pPr>
    </w:p>
    <w:p w:rsidR="001C07DB" w:rsidRDefault="001C07DB" w:rsidP="001C07DB">
      <w:pPr>
        <w:pStyle w:val="NICCYBodyText"/>
        <w:rPr>
          <w:lang w:val="en-US"/>
        </w:rPr>
      </w:pPr>
      <w:hyperlink w:anchor="_top" w:history="1">
        <w:r w:rsidRPr="007715F2">
          <w:rPr>
            <w:rStyle w:val="Hyperlink"/>
          </w:rPr>
          <w:t>Back t</w:t>
        </w:r>
        <w:r w:rsidRPr="007715F2">
          <w:rPr>
            <w:rStyle w:val="Hyperlink"/>
          </w:rPr>
          <w:t>o</w:t>
        </w:r>
        <w:r w:rsidRPr="007715F2">
          <w:rPr>
            <w:rStyle w:val="Hyperlink"/>
          </w:rPr>
          <w:t xml:space="preserve"> Top</w:t>
        </w:r>
      </w:hyperlink>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Pr="001C07DB" w:rsidRDefault="00E84839" w:rsidP="001C07DB">
      <w:pPr>
        <w:pStyle w:val="Heading2"/>
        <w:rPr>
          <w:color w:val="23A4DE"/>
          <w:lang w:val="en-US"/>
        </w:rPr>
      </w:pPr>
      <w:bookmarkStart w:id="13" w:name="_Raising_Awareness_of"/>
      <w:bookmarkEnd w:id="13"/>
      <w:r w:rsidRPr="001C07DB">
        <w:rPr>
          <w:color w:val="23A4DE"/>
          <w:lang w:val="en-US"/>
        </w:rPr>
        <w:t>Raising Awareness of Domestic Violence</w:t>
      </w:r>
    </w:p>
    <w:p w:rsidR="00E84839" w:rsidRDefault="00E84839" w:rsidP="001C07DB">
      <w:pPr>
        <w:pStyle w:val="NICCYBodyText"/>
        <w:rPr>
          <w:lang w:val="en-US"/>
        </w:rPr>
      </w:pPr>
      <w:r w:rsidRPr="001C07DB">
        <w:rPr>
          <w:rFonts w:ascii="ITCFranklinGothicDemi" w:hAnsi="ITCFranklinGothicDemi" w:cs="ITCFranklinGothicDemi"/>
          <w:b/>
          <w:lang w:val="en-US"/>
        </w:rPr>
        <w:t xml:space="preserve">Mr </w:t>
      </w:r>
      <w:proofErr w:type="spellStart"/>
      <w:r w:rsidRPr="001C07DB">
        <w:rPr>
          <w:rFonts w:ascii="ITCFranklinGothicDemi" w:hAnsi="ITCFranklinGothicDemi" w:cs="ITCFranklinGothicDemi"/>
          <w:b/>
          <w:lang w:val="en-US"/>
        </w:rPr>
        <w:t>Moutray</w:t>
      </w:r>
      <w:proofErr w:type="spellEnd"/>
      <w:r>
        <w:rPr>
          <w:rFonts w:ascii="ITCFranklinGothicDemi" w:hAnsi="ITCFranklinGothicDemi" w:cs="ITCFranklinGothicDemi"/>
          <w:lang w:val="en-US"/>
        </w:rPr>
        <w:t xml:space="preserve"> </w:t>
      </w:r>
      <w:r>
        <w:rPr>
          <w:lang w:val="en-US"/>
        </w:rPr>
        <w:t>asked the Minister of Health, Social Services and Public Safety what initiatives he is</w:t>
      </w:r>
      <w:r w:rsidR="001C07DB">
        <w:rPr>
          <w:lang w:val="en-US"/>
        </w:rPr>
        <w:t xml:space="preserve"> </w:t>
      </w:r>
      <w:r>
        <w:rPr>
          <w:lang w:val="en-US"/>
        </w:rPr>
        <w:t>introducing to raise awareness of domestic violence; and what measures he is putting in place to</w:t>
      </w:r>
      <w:r w:rsidR="001C07DB">
        <w:rPr>
          <w:lang w:val="en-US"/>
        </w:rPr>
        <w:t xml:space="preserve"> </w:t>
      </w:r>
      <w:r>
        <w:rPr>
          <w:lang w:val="en-US"/>
        </w:rPr>
        <w:t>reduce the number of cases of domestic violence.</w:t>
      </w:r>
    </w:p>
    <w:p w:rsidR="00E84839" w:rsidRDefault="00E84839" w:rsidP="001C07DB">
      <w:pPr>
        <w:pStyle w:val="NICCYBodyText"/>
        <w:rPr>
          <w:rFonts w:ascii="ITCFranklinGothicDemi" w:hAnsi="ITCFranklinGothicDemi" w:cs="ITCFranklinGothicDemi"/>
          <w:lang w:val="en-US"/>
        </w:rPr>
      </w:pPr>
      <w:r>
        <w:rPr>
          <w:rFonts w:ascii="ITCFranklinGothicDemi" w:hAnsi="ITCFranklinGothicDemi" w:cs="ITCFranklinGothicDemi"/>
          <w:lang w:val="en-US"/>
        </w:rPr>
        <w:t>(AQW 34723/11-15)</w:t>
      </w:r>
    </w:p>
    <w:p w:rsidR="001C07DB" w:rsidRDefault="001C07DB" w:rsidP="001C07DB">
      <w:pPr>
        <w:pStyle w:val="NICCYBodyText"/>
        <w:rPr>
          <w:rFonts w:ascii="ITCFranklinGothicDemi" w:hAnsi="ITCFranklinGothicDemi" w:cs="ITCFranklinGothicDemi"/>
          <w:lang w:val="en-US"/>
        </w:rPr>
      </w:pPr>
    </w:p>
    <w:p w:rsidR="00E84839" w:rsidRDefault="00E84839" w:rsidP="001C07DB">
      <w:pPr>
        <w:pStyle w:val="NICCYBodyText"/>
        <w:rPr>
          <w:lang w:val="en-US"/>
        </w:rPr>
      </w:pPr>
      <w:r w:rsidRPr="001C07DB">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 is working with the Department of Justice to develop a new Joint Strategy</w:t>
      </w:r>
      <w:r w:rsidR="001C07DB">
        <w:rPr>
          <w:lang w:val="en-US"/>
        </w:rPr>
        <w:t xml:space="preserve"> </w:t>
      </w:r>
      <w:r>
        <w:rPr>
          <w:lang w:val="en-US"/>
        </w:rPr>
        <w:t>on Domestic</w:t>
      </w:r>
      <w:r w:rsidR="001C07DB">
        <w:rPr>
          <w:lang w:val="en-US"/>
        </w:rPr>
        <w:t xml:space="preserve"> and Sexual Violence and Abuse.  </w:t>
      </w:r>
      <w:r>
        <w:rPr>
          <w:lang w:val="en-US"/>
        </w:rPr>
        <w:t>Key delivery priorities of the draft Strategy include an</w:t>
      </w:r>
      <w:r w:rsidR="001C07DB">
        <w:rPr>
          <w:lang w:val="en-US"/>
        </w:rPr>
        <w:t xml:space="preserve"> </w:t>
      </w:r>
      <w:r>
        <w:rPr>
          <w:lang w:val="en-US"/>
        </w:rPr>
        <w:t>integrated Information Plan to promote a greater understanding of domestic and sexual abuse and</w:t>
      </w:r>
      <w:r w:rsidR="001C07DB">
        <w:rPr>
          <w:lang w:val="en-US"/>
        </w:rPr>
        <w:t xml:space="preserve"> </w:t>
      </w:r>
      <w:r>
        <w:rPr>
          <w:lang w:val="en-US"/>
        </w:rPr>
        <w:t>awareness training, on how to recognise and respond to disclosure and how to signpost victims and</w:t>
      </w:r>
      <w:r w:rsidR="001C07DB">
        <w:rPr>
          <w:lang w:val="en-US"/>
        </w:rPr>
        <w:t xml:space="preserve"> </w:t>
      </w:r>
      <w:r>
        <w:rPr>
          <w:lang w:val="en-US"/>
        </w:rPr>
        <w:t>witnesses to appropriate services, advice and support.</w:t>
      </w:r>
    </w:p>
    <w:p w:rsidR="001C07DB" w:rsidRDefault="001C07DB" w:rsidP="001C07DB">
      <w:pPr>
        <w:pStyle w:val="NICCYBodyText"/>
        <w:rPr>
          <w:lang w:val="en-US"/>
        </w:rPr>
      </w:pPr>
    </w:p>
    <w:p w:rsidR="00E84839" w:rsidRDefault="00E84839" w:rsidP="001C07DB">
      <w:pPr>
        <w:pStyle w:val="NICCYBodyText"/>
        <w:rPr>
          <w:lang w:val="en-US"/>
        </w:rPr>
      </w:pPr>
      <w:r>
        <w:rPr>
          <w:lang w:val="en-US"/>
        </w:rPr>
        <w:t>My Department, in association with the Department of Justice, also funds a regional perpetrator</w:t>
      </w:r>
      <w:r w:rsidR="001C07DB">
        <w:rPr>
          <w:lang w:val="en-US"/>
        </w:rPr>
        <w:t xml:space="preserve"> </w:t>
      </w:r>
      <w:r>
        <w:rPr>
          <w:lang w:val="en-US"/>
        </w:rPr>
        <w:t>programme for alleged per</w:t>
      </w:r>
      <w:r w:rsidR="001C07DB">
        <w:rPr>
          <w:lang w:val="en-US"/>
        </w:rPr>
        <w:t xml:space="preserve">petrators of domestic violence.  </w:t>
      </w:r>
      <w:r>
        <w:rPr>
          <w:lang w:val="en-US"/>
        </w:rPr>
        <w:t>The programme has been developed</w:t>
      </w:r>
      <w:r w:rsidR="001C07DB">
        <w:rPr>
          <w:lang w:val="en-US"/>
        </w:rPr>
        <w:t xml:space="preserve"> </w:t>
      </w:r>
      <w:r>
        <w:rPr>
          <w:lang w:val="en-US"/>
        </w:rPr>
        <w:t>and will be delivered by the Probation Board NI</w:t>
      </w:r>
      <w:r w:rsidR="001C07DB">
        <w:rPr>
          <w:lang w:val="en-US"/>
        </w:rPr>
        <w:t xml:space="preserve"> with support from Women’s Aid.  </w:t>
      </w:r>
      <w:r>
        <w:rPr>
          <w:lang w:val="en-US"/>
        </w:rPr>
        <w:t>The introduction</w:t>
      </w:r>
      <w:r w:rsidR="001C07DB">
        <w:rPr>
          <w:lang w:val="en-US"/>
        </w:rPr>
        <w:t xml:space="preserve"> </w:t>
      </w:r>
      <w:r>
        <w:rPr>
          <w:lang w:val="en-US"/>
        </w:rPr>
        <w:t>of this programme will improve support for victims of domestic abuse whilst also providing alleged</w:t>
      </w:r>
      <w:r w:rsidR="001C07DB">
        <w:rPr>
          <w:lang w:val="en-US"/>
        </w:rPr>
        <w:t xml:space="preserve"> </w:t>
      </w:r>
      <w:r>
        <w:rPr>
          <w:lang w:val="en-US"/>
        </w:rPr>
        <w:t>perpetrators with effective interventions to enable them to change their behaviour.</w:t>
      </w:r>
    </w:p>
    <w:p w:rsidR="001C07DB" w:rsidRDefault="001C07DB" w:rsidP="001C07DB">
      <w:pPr>
        <w:pStyle w:val="NICCYBodyText"/>
        <w:rPr>
          <w:lang w:val="en-US"/>
        </w:rPr>
      </w:pPr>
    </w:p>
    <w:p w:rsidR="00E84839" w:rsidRDefault="00E84839" w:rsidP="001C07DB">
      <w:pPr>
        <w:pStyle w:val="NICCYBodyText"/>
        <w:rPr>
          <w:lang w:val="en-US"/>
        </w:rPr>
      </w:pPr>
      <w:r>
        <w:rPr>
          <w:lang w:val="en-US"/>
        </w:rPr>
        <w:lastRenderedPageBreak/>
        <w:t>Whilst the vision of the proposed new Strategy is to ultimately stop all domestic and sexual violence</w:t>
      </w:r>
      <w:r w:rsidR="001C07DB">
        <w:rPr>
          <w:lang w:val="en-US"/>
        </w:rPr>
        <w:t xml:space="preserve"> </w:t>
      </w:r>
      <w:r>
        <w:rPr>
          <w:lang w:val="en-US"/>
        </w:rPr>
        <w:t>and abuse in Northern Ireland; it is expected that the ongoing work in raising awareness, educating</w:t>
      </w:r>
      <w:r w:rsidR="001C07DB">
        <w:rPr>
          <w:lang w:val="en-US"/>
        </w:rPr>
        <w:t xml:space="preserve"> </w:t>
      </w:r>
      <w:r>
        <w:rPr>
          <w:lang w:val="en-US"/>
        </w:rPr>
        <w:t>and supporting victims to disclose may result in an increase in the number of incidents reported in the</w:t>
      </w:r>
      <w:r w:rsidR="001C07DB">
        <w:rPr>
          <w:lang w:val="en-US"/>
        </w:rPr>
        <w:t xml:space="preserve"> </w:t>
      </w:r>
      <w:r>
        <w:rPr>
          <w:lang w:val="en-US"/>
        </w:rPr>
        <w:t>short term.</w:t>
      </w: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1C07DB" w:rsidRDefault="001C07DB" w:rsidP="00E84839">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Back to</w:t>
        </w:r>
        <w:r w:rsidRPr="007715F2">
          <w:rPr>
            <w:rStyle w:val="Hyperlink"/>
          </w:rPr>
          <w:t xml:space="preserve"> </w:t>
        </w:r>
        <w:r w:rsidRPr="007715F2">
          <w:rPr>
            <w:rStyle w:val="Hyperlink"/>
          </w:rPr>
          <w:t>Top</w:t>
        </w:r>
      </w:hyperlink>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Pr="00744E52" w:rsidRDefault="00E84839" w:rsidP="00744E52">
      <w:pPr>
        <w:pStyle w:val="Heading2"/>
        <w:rPr>
          <w:rFonts w:ascii="ITCFranklinGothicBook" w:hAnsi="ITCFranklinGothicBook" w:cs="ITCFranklinGothicBook"/>
          <w:color w:val="23A4DE"/>
          <w:sz w:val="20"/>
          <w:szCs w:val="20"/>
          <w:lang w:val="en-US"/>
        </w:rPr>
      </w:pPr>
      <w:bookmarkStart w:id="14" w:name="_Support_for_Children"/>
      <w:bookmarkEnd w:id="14"/>
      <w:r w:rsidRPr="00744E52">
        <w:rPr>
          <w:color w:val="23A4DE"/>
          <w:lang w:val="en-US"/>
        </w:rPr>
        <w:t>Support for Children with Developmental Needs</w:t>
      </w:r>
    </w:p>
    <w:p w:rsidR="00744E52" w:rsidRDefault="00E84839" w:rsidP="00744E52">
      <w:pPr>
        <w:pStyle w:val="NICCYBodyText"/>
        <w:rPr>
          <w:lang w:val="en-US"/>
        </w:rPr>
      </w:pPr>
      <w:r w:rsidRPr="00744E52">
        <w:rPr>
          <w:rFonts w:ascii="ITCFranklinGothicDemi" w:hAnsi="ITCFranklinGothicDemi" w:cs="ITCFranklinGothicDemi"/>
          <w:b/>
          <w:lang w:val="en-US"/>
        </w:rPr>
        <w:t>Ms Lo</w:t>
      </w:r>
      <w:r>
        <w:rPr>
          <w:rFonts w:ascii="ITCFranklinGothicDemi" w:hAnsi="ITCFranklinGothicDemi" w:cs="ITCFranklinGothicDemi"/>
          <w:lang w:val="en-US"/>
        </w:rPr>
        <w:t xml:space="preserve"> </w:t>
      </w:r>
      <w:r>
        <w:rPr>
          <w:lang w:val="en-US"/>
        </w:rPr>
        <w:t>asked the Minister of Health, Social Services and Public Safety what schemes or support exist</w:t>
      </w:r>
      <w:r w:rsidR="00744E52">
        <w:rPr>
          <w:lang w:val="en-US"/>
        </w:rPr>
        <w:t xml:space="preserve"> </w:t>
      </w:r>
      <w:r>
        <w:rPr>
          <w:lang w:val="en-US"/>
        </w:rPr>
        <w:t xml:space="preserve">within the Carryduff area for children </w:t>
      </w:r>
    </w:p>
    <w:p w:rsidR="00744E52" w:rsidRDefault="00E84839" w:rsidP="00744E52">
      <w:pPr>
        <w:pStyle w:val="NICCYBodyText"/>
        <w:rPr>
          <w:lang w:val="en-US"/>
        </w:rPr>
      </w:pPr>
      <w:r>
        <w:rPr>
          <w:lang w:val="en-US"/>
        </w:rPr>
        <w:t>(</w:t>
      </w:r>
      <w:proofErr w:type="spellStart"/>
      <w:r>
        <w:rPr>
          <w:lang w:val="en-US"/>
        </w:rPr>
        <w:t>i</w:t>
      </w:r>
      <w:proofErr w:type="spellEnd"/>
      <w:r>
        <w:rPr>
          <w:lang w:val="en-US"/>
        </w:rPr>
        <w:t xml:space="preserve">) </w:t>
      </w:r>
      <w:proofErr w:type="gramStart"/>
      <w:r>
        <w:rPr>
          <w:lang w:val="en-US"/>
        </w:rPr>
        <w:t>under</w:t>
      </w:r>
      <w:proofErr w:type="gramEnd"/>
      <w:r>
        <w:rPr>
          <w:lang w:val="en-US"/>
        </w:rPr>
        <w:t xml:space="preserve"> two years old; and </w:t>
      </w:r>
    </w:p>
    <w:p w:rsidR="00E84839" w:rsidRDefault="00E84839" w:rsidP="00744E52">
      <w:pPr>
        <w:pStyle w:val="NICCYBodyText"/>
        <w:rPr>
          <w:lang w:val="en-US"/>
        </w:rPr>
      </w:pPr>
      <w:r>
        <w:rPr>
          <w:lang w:val="en-US"/>
        </w:rPr>
        <w:t xml:space="preserve">(ii) </w:t>
      </w:r>
      <w:proofErr w:type="gramStart"/>
      <w:r>
        <w:rPr>
          <w:lang w:val="en-US"/>
        </w:rPr>
        <w:t>with</w:t>
      </w:r>
      <w:proofErr w:type="gramEnd"/>
      <w:r>
        <w:rPr>
          <w:lang w:val="en-US"/>
        </w:rPr>
        <w:t xml:space="preserve"> developmental needs.</w:t>
      </w:r>
    </w:p>
    <w:p w:rsidR="00744E52" w:rsidRDefault="00E84839" w:rsidP="00744E52">
      <w:pPr>
        <w:pStyle w:val="NICCYBodyText"/>
        <w:rPr>
          <w:rFonts w:ascii="ITCFranklinGothicDemi" w:hAnsi="ITCFranklinGothicDemi" w:cs="ITCFranklinGothicDemi"/>
          <w:lang w:val="en-US"/>
        </w:rPr>
      </w:pPr>
      <w:r>
        <w:rPr>
          <w:rFonts w:ascii="ITCFranklinGothicDemi" w:hAnsi="ITCFranklinGothicDemi" w:cs="ITCFranklinGothicDemi"/>
          <w:lang w:val="en-US"/>
        </w:rPr>
        <w:t>(AQW 34777/11-15)</w:t>
      </w:r>
    </w:p>
    <w:p w:rsidR="00E84839" w:rsidRDefault="00E84839" w:rsidP="00744E52">
      <w:pPr>
        <w:pStyle w:val="NICCYBodyText"/>
        <w:rPr>
          <w:lang w:val="en-US"/>
        </w:rPr>
      </w:pPr>
      <w:r>
        <w:rPr>
          <w:rFonts w:ascii="ITCFranklinGothicDemi" w:hAnsi="ITCFranklinGothicDemi" w:cs="ITCFranklinGothicDemi"/>
          <w:lang w:val="en-US"/>
        </w:rPr>
        <w:br/>
      </w:r>
      <w:r w:rsidRPr="00744E5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Department’s Families Matter strategy, published in 2009, highlights the importance</w:t>
      </w:r>
      <w:r w:rsidR="00744E52">
        <w:rPr>
          <w:lang w:val="en-US"/>
        </w:rPr>
        <w:t xml:space="preserve"> </w:t>
      </w:r>
      <w:r>
        <w:rPr>
          <w:lang w:val="en-US"/>
        </w:rPr>
        <w:t>of early intervention family support services, including those targeted at children under 2 years old.</w:t>
      </w:r>
      <w:r w:rsidR="00744E52">
        <w:rPr>
          <w:lang w:val="en-US"/>
        </w:rPr>
        <w:t xml:space="preserve">  </w:t>
      </w:r>
      <w:r>
        <w:rPr>
          <w:lang w:val="en-US"/>
        </w:rPr>
        <w:t>It provided funding for a range of parenting education and support programmes which are delivered</w:t>
      </w:r>
      <w:r w:rsidR="00744E52">
        <w:rPr>
          <w:lang w:val="en-US"/>
        </w:rPr>
        <w:t xml:space="preserve"> across Northern Ireland.  </w:t>
      </w:r>
      <w:r>
        <w:rPr>
          <w:lang w:val="en-US"/>
        </w:rPr>
        <w:t>In addition, the Physical and Sensory Disability Strategy and Action Plan</w:t>
      </w:r>
      <w:r w:rsidR="00744E52">
        <w:rPr>
          <w:lang w:val="en-US"/>
        </w:rPr>
        <w:t xml:space="preserve"> </w:t>
      </w:r>
      <w:r>
        <w:rPr>
          <w:lang w:val="en-US"/>
        </w:rPr>
        <w:t>published on 22 February 2012 recognises the importance of early intervention for a child or young</w:t>
      </w:r>
      <w:r w:rsidR="00744E52">
        <w:rPr>
          <w:lang w:val="en-US"/>
        </w:rPr>
        <w:t xml:space="preserve"> </w:t>
      </w:r>
      <w:r>
        <w:rPr>
          <w:lang w:val="en-US"/>
        </w:rPr>
        <w:t>person with a communication disability to receive the appropriate help and support in an early and</w:t>
      </w:r>
    </w:p>
    <w:p w:rsidR="00E84839" w:rsidRDefault="00E84839" w:rsidP="00744E52">
      <w:pPr>
        <w:pStyle w:val="NICCYBodyText"/>
        <w:rPr>
          <w:lang w:val="en-US"/>
        </w:rPr>
      </w:pPr>
      <w:r>
        <w:rPr>
          <w:lang w:val="en-US"/>
        </w:rPr>
        <w:t>ongoing timely manner.</w:t>
      </w:r>
    </w:p>
    <w:p w:rsidR="00744E52" w:rsidRDefault="00744E52" w:rsidP="00744E52">
      <w:pPr>
        <w:pStyle w:val="NICCYBodyText"/>
        <w:rPr>
          <w:lang w:val="en-US"/>
        </w:rPr>
      </w:pPr>
    </w:p>
    <w:p w:rsidR="00E84839" w:rsidRDefault="00E84839" w:rsidP="00744E52">
      <w:pPr>
        <w:pStyle w:val="NICCYBodyText"/>
        <w:rPr>
          <w:lang w:val="en-US"/>
        </w:rPr>
      </w:pPr>
      <w:r>
        <w:rPr>
          <w:lang w:val="en-US"/>
        </w:rPr>
        <w:t>Carryduff intersects the Belfast and South Eastern</w:t>
      </w:r>
      <w:r w:rsidR="00744E52">
        <w:rPr>
          <w:lang w:val="en-US"/>
        </w:rPr>
        <w:t xml:space="preserve"> Health and Social Care Trusts.  </w:t>
      </w:r>
      <w:r>
        <w:rPr>
          <w:lang w:val="en-US"/>
        </w:rPr>
        <w:t>Both Trusts have</w:t>
      </w:r>
      <w:r w:rsidR="00744E52">
        <w:rPr>
          <w:lang w:val="en-US"/>
        </w:rPr>
        <w:t xml:space="preserve"> </w:t>
      </w:r>
      <w:r>
        <w:rPr>
          <w:lang w:val="en-US"/>
        </w:rPr>
        <w:t>a statutory responsibility to provide services to children who meet the child in need threshold under</w:t>
      </w:r>
      <w:r w:rsidR="00744E52">
        <w:rPr>
          <w:lang w:val="en-US"/>
        </w:rPr>
        <w:t xml:space="preserve"> </w:t>
      </w:r>
      <w:r>
        <w:rPr>
          <w:lang w:val="en-US"/>
        </w:rPr>
        <w:t>Article 18 of The Children (Northern Ireland) Order 1995.</w:t>
      </w:r>
    </w:p>
    <w:p w:rsidR="00744E52" w:rsidRDefault="00744E52" w:rsidP="00744E52">
      <w:pPr>
        <w:pStyle w:val="NICCYBodyText"/>
        <w:rPr>
          <w:lang w:val="en-US"/>
        </w:rPr>
      </w:pPr>
    </w:p>
    <w:p w:rsidR="00E84839" w:rsidRDefault="00E84839" w:rsidP="00744E52">
      <w:pPr>
        <w:pStyle w:val="NICCYBodyText"/>
        <w:rPr>
          <w:lang w:val="en-US"/>
        </w:rPr>
      </w:pPr>
      <w:r>
        <w:rPr>
          <w:lang w:val="en-US"/>
        </w:rPr>
        <w:t>In the South Eastern Trust a specific health plan will be developed in partnership with parents which</w:t>
      </w:r>
      <w:r w:rsidR="00744E52">
        <w:rPr>
          <w:lang w:val="en-US"/>
        </w:rPr>
        <w:t xml:space="preserve"> </w:t>
      </w:r>
      <w:r>
        <w:rPr>
          <w:lang w:val="en-US"/>
        </w:rPr>
        <w:t>may include advice and support for parents and carers on positive parenting, routines, behaviour</w:t>
      </w:r>
      <w:r w:rsidR="00744E52">
        <w:rPr>
          <w:lang w:val="en-US"/>
        </w:rPr>
        <w:t xml:space="preserve"> management and stimulation.  </w:t>
      </w:r>
      <w:r>
        <w:rPr>
          <w:lang w:val="en-US"/>
        </w:rPr>
        <w:t>The Health Visiting Service will provide early intervention in the form of a</w:t>
      </w:r>
      <w:r w:rsidR="00744E52">
        <w:rPr>
          <w:lang w:val="en-US"/>
        </w:rPr>
        <w:t xml:space="preserve"> </w:t>
      </w:r>
      <w:r>
        <w:rPr>
          <w:lang w:val="en-US"/>
        </w:rPr>
        <w:t>targeted programme of care at Level 2, 3 or 4 to a child with developmental needs; the level of service</w:t>
      </w:r>
      <w:r w:rsidR="00744E52">
        <w:rPr>
          <w:lang w:val="en-US"/>
        </w:rPr>
        <w:t xml:space="preserve"> </w:t>
      </w:r>
      <w:r>
        <w:rPr>
          <w:lang w:val="en-US"/>
        </w:rPr>
        <w:t>provided will depend on the assessed needs of the child.</w:t>
      </w:r>
      <w:r w:rsidR="00744E52">
        <w:rPr>
          <w:lang w:val="en-US"/>
        </w:rPr>
        <w:t xml:space="preserve">  </w:t>
      </w:r>
      <w:r>
        <w:rPr>
          <w:lang w:val="en-US"/>
        </w:rPr>
        <w:t xml:space="preserve">Other services provided for families in the area include: advice and support in relation to </w:t>
      </w:r>
      <w:r w:rsidR="00744E52">
        <w:rPr>
          <w:lang w:val="en-US"/>
        </w:rPr>
        <w:t xml:space="preserve">maximizing </w:t>
      </w:r>
      <w:r>
        <w:rPr>
          <w:lang w:val="en-US"/>
        </w:rPr>
        <w:t>developmental potential in relation to gross and fine motor development; and speech and language and</w:t>
      </w:r>
      <w:r w:rsidR="00744E52">
        <w:rPr>
          <w:lang w:val="en-US"/>
        </w:rPr>
        <w:t xml:space="preserve"> </w:t>
      </w:r>
      <w:r>
        <w:rPr>
          <w:lang w:val="en-US"/>
        </w:rPr>
        <w:t>social development through play and parent/child interaction.</w:t>
      </w:r>
    </w:p>
    <w:p w:rsidR="00744E52" w:rsidRDefault="00744E52" w:rsidP="00744E52">
      <w:pPr>
        <w:pStyle w:val="NICCYBodyText"/>
        <w:rPr>
          <w:lang w:val="en-US"/>
        </w:rPr>
      </w:pPr>
    </w:p>
    <w:p w:rsidR="00E84839" w:rsidRDefault="00E84839" w:rsidP="00744E52">
      <w:pPr>
        <w:pStyle w:val="NICCYBodyText"/>
        <w:rPr>
          <w:lang w:val="en-US"/>
        </w:rPr>
      </w:pPr>
      <w:r>
        <w:rPr>
          <w:lang w:val="en-US"/>
        </w:rPr>
        <w:t>The Family Support Hub in the area provides a Family Support Worker to assist parents by providing</w:t>
      </w:r>
      <w:r w:rsidR="00744E52">
        <w:rPr>
          <w:lang w:val="en-US"/>
        </w:rPr>
        <w:t xml:space="preserve"> practical help and support.  </w:t>
      </w:r>
      <w:r>
        <w:rPr>
          <w:lang w:val="en-US"/>
        </w:rPr>
        <w:t>The Family Support Worker can, for example, provide 1:1 work with a child in</w:t>
      </w:r>
      <w:r w:rsidR="00744E52">
        <w:rPr>
          <w:lang w:val="en-US"/>
        </w:rPr>
        <w:t xml:space="preserve"> his/her own home.  </w:t>
      </w:r>
      <w:r>
        <w:rPr>
          <w:lang w:val="en-US"/>
        </w:rPr>
        <w:t>They can provide help and support for parent/carers, can support families to attend</w:t>
      </w:r>
      <w:r w:rsidR="00744E52">
        <w:rPr>
          <w:lang w:val="en-US"/>
        </w:rPr>
        <w:t xml:space="preserve"> </w:t>
      </w:r>
      <w:r>
        <w:rPr>
          <w:lang w:val="en-US"/>
        </w:rPr>
        <w:t>local parent and toddler groups, and can transport and support parents to medical appointments for</w:t>
      </w:r>
      <w:r w:rsidR="00744E52">
        <w:rPr>
          <w:lang w:val="en-US"/>
        </w:rPr>
        <w:t xml:space="preserve"> </w:t>
      </w:r>
      <w:r>
        <w:rPr>
          <w:lang w:val="en-US"/>
        </w:rPr>
        <w:t>the child.</w:t>
      </w:r>
    </w:p>
    <w:p w:rsidR="00744E52" w:rsidRDefault="00744E52" w:rsidP="00744E52">
      <w:pPr>
        <w:pStyle w:val="NICCYBodyText"/>
        <w:rPr>
          <w:lang w:val="en-US"/>
        </w:rPr>
      </w:pPr>
    </w:p>
    <w:p w:rsidR="00E84839" w:rsidRDefault="00E84839" w:rsidP="00744E52">
      <w:pPr>
        <w:pStyle w:val="NICCYBodyText"/>
        <w:rPr>
          <w:lang w:val="en-US"/>
        </w:rPr>
      </w:pPr>
      <w:r>
        <w:rPr>
          <w:lang w:val="en-US"/>
        </w:rPr>
        <w:t>In the Belfast HSCT provision for children in need includes: safeguarding; parenting support services;</w:t>
      </w:r>
      <w:r w:rsidR="00744E52">
        <w:rPr>
          <w:lang w:val="en-US"/>
        </w:rPr>
        <w:t xml:space="preserve"> </w:t>
      </w:r>
      <w:r>
        <w:rPr>
          <w:lang w:val="en-US"/>
        </w:rPr>
        <w:t>referrals to specialist services including Behaviour Supports, Psychiatry and Clinical Psychology; and</w:t>
      </w:r>
      <w:r w:rsidR="00744E52">
        <w:rPr>
          <w:lang w:val="en-US"/>
        </w:rPr>
        <w:t xml:space="preserve"> short breaks and respite care.  </w:t>
      </w:r>
      <w:r>
        <w:rPr>
          <w:lang w:val="en-US"/>
        </w:rPr>
        <w:t>The Trust also provides: a Health Visiting Service; multi-disciplinary and</w:t>
      </w:r>
      <w:r w:rsidR="00744E52">
        <w:rPr>
          <w:lang w:val="en-US"/>
        </w:rPr>
        <w:t xml:space="preserve"> </w:t>
      </w:r>
      <w:r>
        <w:rPr>
          <w:lang w:val="en-US"/>
        </w:rPr>
        <w:t>multi-sectoral family support provision through its Family Support social work teams; and the services</w:t>
      </w:r>
      <w:r w:rsidR="00744E52">
        <w:rPr>
          <w:lang w:val="en-US"/>
        </w:rPr>
        <w:t xml:space="preserve"> </w:t>
      </w:r>
      <w:r>
        <w:rPr>
          <w:lang w:val="en-US"/>
        </w:rPr>
        <w:t>of a Children’s Disability Team, where a diagnosis of a physical or learning disability has been made or</w:t>
      </w:r>
      <w:r w:rsidR="00744E52">
        <w:rPr>
          <w:lang w:val="en-US"/>
        </w:rPr>
        <w:t xml:space="preserve"> </w:t>
      </w:r>
      <w:r>
        <w:rPr>
          <w:lang w:val="en-US"/>
        </w:rPr>
        <w:t>there is a substantial sensory impairment.</w:t>
      </w: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744E52" w:rsidRDefault="00744E52" w:rsidP="00744E52">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 xml:space="preserve">Back to </w:t>
        </w:r>
        <w:r w:rsidRPr="007715F2">
          <w:rPr>
            <w:rStyle w:val="Hyperlink"/>
          </w:rPr>
          <w:t>T</w:t>
        </w:r>
        <w:r w:rsidRPr="007715F2">
          <w:rPr>
            <w:rStyle w:val="Hyperlink"/>
          </w:rPr>
          <w:t>op</w:t>
        </w:r>
      </w:hyperlink>
    </w:p>
    <w:p w:rsidR="00744E52" w:rsidRDefault="00744E52" w:rsidP="00E84839">
      <w:pPr>
        <w:autoSpaceDE w:val="0"/>
        <w:autoSpaceDN w:val="0"/>
        <w:adjustRightInd w:val="0"/>
        <w:rPr>
          <w:rFonts w:ascii="ITCFranklinGothicBook" w:hAnsi="ITCFranklinGothicBook" w:cs="ITCFranklinGothicBook"/>
          <w:sz w:val="20"/>
          <w:szCs w:val="20"/>
          <w:lang w:val="en-US"/>
        </w:rPr>
      </w:pP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Pr="00744E52" w:rsidRDefault="00E84839" w:rsidP="00744E52">
      <w:pPr>
        <w:pStyle w:val="Heading2"/>
        <w:rPr>
          <w:color w:val="23A4DE"/>
          <w:lang w:val="en-US"/>
        </w:rPr>
      </w:pPr>
      <w:bookmarkStart w:id="15" w:name="_Effective_and_Timely"/>
      <w:bookmarkEnd w:id="15"/>
      <w:r w:rsidRPr="00744E52">
        <w:rPr>
          <w:color w:val="23A4DE"/>
          <w:lang w:val="en-US"/>
        </w:rPr>
        <w:t>Effective and Timely Developmental Assessments</w:t>
      </w:r>
    </w:p>
    <w:p w:rsidR="00E84839" w:rsidRDefault="00E84839" w:rsidP="00744E52">
      <w:pPr>
        <w:pStyle w:val="NICCYBodyText"/>
        <w:rPr>
          <w:lang w:val="en-US"/>
        </w:rPr>
      </w:pPr>
      <w:r w:rsidRPr="00744E52">
        <w:rPr>
          <w:rFonts w:ascii="ITCFranklinGothicDemi" w:hAnsi="ITCFranklinGothicDemi" w:cs="ITCFranklinGothicDemi"/>
          <w:b/>
          <w:lang w:val="en-US"/>
        </w:rPr>
        <w:t>Ms Lo</w:t>
      </w:r>
      <w:r>
        <w:rPr>
          <w:rFonts w:ascii="ITCFranklinGothicDemi" w:hAnsi="ITCFranklinGothicDemi" w:cs="ITCFranklinGothicDemi"/>
          <w:lang w:val="en-US"/>
        </w:rPr>
        <w:t xml:space="preserve"> </w:t>
      </w:r>
      <w:r>
        <w:rPr>
          <w:lang w:val="en-US"/>
        </w:rPr>
        <w:t>asked the Minister of Health, Social Services and Public Safety what measures are in place to</w:t>
      </w:r>
      <w:r w:rsidR="00744E52">
        <w:rPr>
          <w:lang w:val="en-US"/>
        </w:rPr>
        <w:t xml:space="preserve"> </w:t>
      </w:r>
      <w:r>
        <w:rPr>
          <w:lang w:val="en-US"/>
        </w:rPr>
        <w:t>ensure that effective and timely developmental assessments are carried out on children under two</w:t>
      </w:r>
      <w:r w:rsidR="00744E52">
        <w:rPr>
          <w:lang w:val="en-US"/>
        </w:rPr>
        <w:t xml:space="preserve"> </w:t>
      </w:r>
      <w:r>
        <w:rPr>
          <w:lang w:val="en-US"/>
        </w:rPr>
        <w:t>years old.</w:t>
      </w:r>
    </w:p>
    <w:p w:rsidR="00E84839" w:rsidRDefault="00E84839" w:rsidP="00744E52">
      <w:pPr>
        <w:pStyle w:val="NICCYBodyText"/>
        <w:rPr>
          <w:rFonts w:ascii="ITCFranklinGothicDemi" w:hAnsi="ITCFranklinGothicDemi" w:cs="ITCFranklinGothicDemi"/>
          <w:lang w:val="en-US"/>
        </w:rPr>
      </w:pPr>
      <w:r>
        <w:rPr>
          <w:rFonts w:ascii="ITCFranklinGothicDemi" w:hAnsi="ITCFranklinGothicDemi" w:cs="ITCFranklinGothicDemi"/>
          <w:lang w:val="en-US"/>
        </w:rPr>
        <w:t>(AQW 34778/11-15)</w:t>
      </w:r>
    </w:p>
    <w:p w:rsidR="00744E52" w:rsidRDefault="00744E52" w:rsidP="00744E52">
      <w:pPr>
        <w:pStyle w:val="NICCYBodyText"/>
        <w:rPr>
          <w:rFonts w:ascii="ITCFranklinGothicDemi" w:hAnsi="ITCFranklinGothicDemi" w:cs="ITCFranklinGothicDemi"/>
          <w:lang w:val="en-US"/>
        </w:rPr>
      </w:pPr>
    </w:p>
    <w:p w:rsidR="00E84839" w:rsidRDefault="00E84839" w:rsidP="00744E52">
      <w:pPr>
        <w:pStyle w:val="NICCYBodyText"/>
        <w:rPr>
          <w:lang w:val="en-US"/>
        </w:rPr>
      </w:pPr>
      <w:r w:rsidRPr="00744E52">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DHSSPS commissioned a review of the provision of the Child Health Promotion Programme</w:t>
      </w:r>
      <w:r w:rsidR="00744E52">
        <w:rPr>
          <w:lang w:val="en-US"/>
        </w:rPr>
        <w:t xml:space="preserve"> </w:t>
      </w:r>
      <w:r>
        <w:rPr>
          <w:lang w:val="en-US"/>
        </w:rPr>
        <w:t>within Northern Ireland in 2009 to ensure provision of high-quality preventative programmes in</w:t>
      </w:r>
      <w:r w:rsidR="00744E52">
        <w:rPr>
          <w:lang w:val="en-US"/>
        </w:rPr>
        <w:t xml:space="preserve"> </w:t>
      </w:r>
      <w:r>
        <w:rPr>
          <w:lang w:val="en-US"/>
        </w:rPr>
        <w:t>childhood as a f</w:t>
      </w:r>
      <w:r w:rsidR="00744E52">
        <w:rPr>
          <w:lang w:val="en-US"/>
        </w:rPr>
        <w:t xml:space="preserve">oundation to a healthy society.  </w:t>
      </w:r>
      <w:r>
        <w:rPr>
          <w:lang w:val="en-US"/>
        </w:rPr>
        <w:t>This was based on the need to adapt to new knowledge,</w:t>
      </w:r>
      <w:r w:rsidR="00744E52">
        <w:rPr>
          <w:lang w:val="en-US"/>
        </w:rPr>
        <w:t xml:space="preserve"> </w:t>
      </w:r>
      <w:r>
        <w:rPr>
          <w:lang w:val="en-US"/>
        </w:rPr>
        <w:t>advances in neuroscience and genetics and an understanding of how early childhood development</w:t>
      </w:r>
      <w:r w:rsidR="00744E52">
        <w:rPr>
          <w:lang w:val="en-US"/>
        </w:rPr>
        <w:t xml:space="preserve"> </w:t>
      </w:r>
      <w:r>
        <w:rPr>
          <w:lang w:val="en-US"/>
        </w:rPr>
        <w:t>can be both promoted and damaged and the imperative for programmes to begin in early pregnancy.</w:t>
      </w:r>
    </w:p>
    <w:p w:rsidR="00744E52" w:rsidRDefault="00744E52" w:rsidP="00744E52">
      <w:pPr>
        <w:pStyle w:val="NICCYBodyText"/>
        <w:rPr>
          <w:lang w:val="en-US"/>
        </w:rPr>
      </w:pPr>
    </w:p>
    <w:p w:rsidR="00E84839" w:rsidRDefault="00E84839" w:rsidP="00744E52">
      <w:pPr>
        <w:pStyle w:val="NICCYBodyText"/>
        <w:rPr>
          <w:lang w:val="en-US"/>
        </w:rPr>
      </w:pPr>
      <w:r>
        <w:rPr>
          <w:lang w:val="en-US"/>
        </w:rPr>
        <w:t>The review was taken forward based on evidence from ‘Health for All Children’, 4th Edition (Hall and</w:t>
      </w:r>
      <w:r w:rsidR="00744E52">
        <w:rPr>
          <w:lang w:val="en-US"/>
        </w:rPr>
        <w:t xml:space="preserve"> </w:t>
      </w:r>
      <w:r>
        <w:rPr>
          <w:lang w:val="en-US"/>
        </w:rPr>
        <w:t>Elliman), the recommendations of the National Screening Committee, guidance from the National</w:t>
      </w:r>
      <w:r w:rsidR="00744E52">
        <w:rPr>
          <w:lang w:val="en-US"/>
        </w:rPr>
        <w:t xml:space="preserve"> </w:t>
      </w:r>
      <w:r>
        <w:rPr>
          <w:lang w:val="en-US"/>
        </w:rPr>
        <w:t>Institute for Clinical Excellence (NICE) and the Northern Ireland Autism Spectrum Disorder review and</w:t>
      </w:r>
      <w:r w:rsidR="00744E52">
        <w:rPr>
          <w:lang w:val="en-US"/>
        </w:rPr>
        <w:t xml:space="preserve"> action plan.  </w:t>
      </w:r>
      <w:r>
        <w:rPr>
          <w:lang w:val="en-US"/>
        </w:rPr>
        <w:t>A range of Northern Ireland experts were engaged in updating the programme.</w:t>
      </w:r>
    </w:p>
    <w:p w:rsidR="00744E52" w:rsidRDefault="00744E52" w:rsidP="00744E52">
      <w:pPr>
        <w:pStyle w:val="NICCYBodyText"/>
        <w:rPr>
          <w:lang w:val="en-US"/>
        </w:rPr>
      </w:pPr>
    </w:p>
    <w:p w:rsidR="00E84839" w:rsidRDefault="00E84839" w:rsidP="00744E52">
      <w:pPr>
        <w:pStyle w:val="NICCYBodyText"/>
        <w:rPr>
          <w:lang w:val="en-US"/>
        </w:rPr>
      </w:pPr>
      <w:r>
        <w:rPr>
          <w:lang w:val="en-US"/>
        </w:rPr>
        <w:t>An updated programme for 0-19 year olds, known as ‘Healthy Child, Healthy Future: A Framework for</w:t>
      </w:r>
      <w:r w:rsidR="00744E52">
        <w:rPr>
          <w:lang w:val="en-US"/>
        </w:rPr>
        <w:t xml:space="preserve"> </w:t>
      </w:r>
      <w:r>
        <w:rPr>
          <w:lang w:val="en-US"/>
        </w:rPr>
        <w:t>the Universal Child Health Promotion Programme in Northern Ireland’, was issued in June 2010.</w:t>
      </w:r>
      <w:r w:rsidR="00744E52">
        <w:rPr>
          <w:lang w:val="en-US"/>
        </w:rPr>
        <w:t xml:space="preserve">  </w:t>
      </w:r>
      <w:r>
        <w:rPr>
          <w:lang w:val="en-US"/>
        </w:rPr>
        <w:t>The framework strengthened the existing programme and is central to securing improvements in</w:t>
      </w:r>
      <w:r w:rsidR="00744E52">
        <w:rPr>
          <w:lang w:val="en-US"/>
        </w:rPr>
        <w:t xml:space="preserve"> </w:t>
      </w:r>
      <w:r>
        <w:rPr>
          <w:lang w:val="en-US"/>
        </w:rPr>
        <w:t>child health for all children aged 0-19 y</w:t>
      </w:r>
      <w:r w:rsidR="00744E52">
        <w:rPr>
          <w:lang w:val="en-US"/>
        </w:rPr>
        <w:t xml:space="preserve">ears, across a range of issues.  </w:t>
      </w:r>
      <w:r>
        <w:rPr>
          <w:lang w:val="en-US"/>
        </w:rPr>
        <w:t>The framework sets out a core</w:t>
      </w:r>
      <w:r w:rsidR="00744E52">
        <w:rPr>
          <w:lang w:val="en-US"/>
        </w:rPr>
        <w:t xml:space="preserve"> </w:t>
      </w:r>
      <w:r>
        <w:rPr>
          <w:lang w:val="en-US"/>
        </w:rPr>
        <w:t>programme of child health contacts that every family can expect, whereve</w:t>
      </w:r>
      <w:r w:rsidR="00744E52">
        <w:rPr>
          <w:lang w:val="en-US"/>
        </w:rPr>
        <w:t xml:space="preserve">r they live in Northern Ireland </w:t>
      </w:r>
      <w:r>
        <w:rPr>
          <w:lang w:val="en-US"/>
        </w:rPr>
        <w:t>and every child and parent has access to a universal or core programme of preventative care with</w:t>
      </w:r>
      <w:r w:rsidR="00744E52">
        <w:rPr>
          <w:lang w:val="en-US"/>
        </w:rPr>
        <w:t xml:space="preserve"> </w:t>
      </w:r>
      <w:r>
        <w:rPr>
          <w:lang w:val="en-US"/>
        </w:rPr>
        <w:t>additional or targeted services for those with specific needs and risks.</w:t>
      </w:r>
    </w:p>
    <w:p w:rsidR="00744E52" w:rsidRDefault="00744E52" w:rsidP="00744E52">
      <w:pPr>
        <w:pStyle w:val="NICCYBodyText"/>
        <w:rPr>
          <w:lang w:val="en-US"/>
        </w:rPr>
      </w:pPr>
    </w:p>
    <w:p w:rsidR="00E84839" w:rsidRDefault="00E84839" w:rsidP="00744E52">
      <w:pPr>
        <w:pStyle w:val="NICCYBodyText"/>
        <w:rPr>
          <w:lang w:val="en-US"/>
        </w:rPr>
      </w:pPr>
      <w:r>
        <w:rPr>
          <w:lang w:val="en-US"/>
        </w:rPr>
        <w:t>The Child Health System which holds details of every child in Northern Ireland is programmed to</w:t>
      </w:r>
      <w:r w:rsidR="004C4E64">
        <w:rPr>
          <w:lang w:val="en-US"/>
        </w:rPr>
        <w:t xml:space="preserve"> </w:t>
      </w:r>
      <w:r>
        <w:rPr>
          <w:lang w:val="en-US"/>
        </w:rPr>
        <w:t>schedule children for appointments for health and development reviews as specified within the</w:t>
      </w:r>
      <w:r w:rsidR="004C4E64">
        <w:rPr>
          <w:lang w:val="en-US"/>
        </w:rPr>
        <w:t xml:space="preserve"> </w:t>
      </w:r>
      <w:r>
        <w:rPr>
          <w:lang w:val="en-US"/>
        </w:rPr>
        <w:t>‘Healthy</w:t>
      </w:r>
      <w:r w:rsidR="004C4E64">
        <w:rPr>
          <w:lang w:val="en-US"/>
        </w:rPr>
        <w:t xml:space="preserve"> </w:t>
      </w:r>
      <w:r>
        <w:rPr>
          <w:lang w:val="en-US"/>
        </w:rPr>
        <w:t>Ch</w:t>
      </w:r>
      <w:r w:rsidR="004C4E64">
        <w:rPr>
          <w:lang w:val="en-US"/>
        </w:rPr>
        <w:t xml:space="preserve">ild, Healthy Future’ framework.  </w:t>
      </w:r>
      <w:r>
        <w:rPr>
          <w:lang w:val="en-US"/>
        </w:rPr>
        <w:t>It can also provide information within each Trust on provision of the</w:t>
      </w:r>
      <w:r w:rsidR="004C4E64">
        <w:rPr>
          <w:lang w:val="en-US"/>
        </w:rPr>
        <w:t xml:space="preserve"> </w:t>
      </w:r>
      <w:r>
        <w:rPr>
          <w:lang w:val="en-US"/>
        </w:rPr>
        <w:t>child health promotion programme across each of the timescales within the core programme.</w:t>
      </w:r>
    </w:p>
    <w:p w:rsidR="004C4E64" w:rsidRDefault="004C4E64" w:rsidP="00744E52">
      <w:pPr>
        <w:pStyle w:val="NICCYBodyText"/>
        <w:rPr>
          <w:lang w:val="en-US"/>
        </w:rPr>
      </w:pPr>
    </w:p>
    <w:p w:rsidR="004C4E64" w:rsidRPr="004C4E64" w:rsidRDefault="004C4E64" w:rsidP="004C4E64">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Back to</w:t>
        </w:r>
        <w:r w:rsidRPr="007715F2">
          <w:rPr>
            <w:rStyle w:val="Hyperlink"/>
          </w:rPr>
          <w:t xml:space="preserve"> </w:t>
        </w:r>
        <w:r w:rsidRPr="007715F2">
          <w:rPr>
            <w:rStyle w:val="Hyperlink"/>
          </w:rPr>
          <w:t>Top</w:t>
        </w:r>
      </w:hyperlink>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Pr="004C4E64" w:rsidRDefault="00E84839" w:rsidP="004C4E64">
      <w:pPr>
        <w:pStyle w:val="Heading2"/>
        <w:rPr>
          <w:color w:val="23A4DE"/>
          <w:lang w:val="en-US"/>
        </w:rPr>
      </w:pPr>
      <w:bookmarkStart w:id="16" w:name="_Referral_Appointments_for"/>
      <w:bookmarkEnd w:id="16"/>
      <w:r w:rsidRPr="004C4E64">
        <w:rPr>
          <w:color w:val="23A4DE"/>
          <w:lang w:val="en-US"/>
        </w:rPr>
        <w:t>Referral Appointments for a Developmental Assessment</w:t>
      </w:r>
    </w:p>
    <w:p w:rsidR="00E84839" w:rsidRDefault="00E84839" w:rsidP="004C4E64">
      <w:pPr>
        <w:pStyle w:val="NICCYBodyText"/>
        <w:rPr>
          <w:lang w:val="en-US"/>
        </w:rPr>
      </w:pPr>
      <w:r w:rsidRPr="004C4E64">
        <w:rPr>
          <w:rFonts w:ascii="ITCFranklinGothicDemi" w:hAnsi="ITCFranklinGothicDemi" w:cs="ITCFranklinGothicDemi"/>
          <w:b/>
          <w:lang w:val="en-US"/>
        </w:rPr>
        <w:t>Ms Lo</w:t>
      </w:r>
      <w:r>
        <w:rPr>
          <w:rFonts w:ascii="ITCFranklinGothicDemi" w:hAnsi="ITCFranklinGothicDemi" w:cs="ITCFranklinGothicDemi"/>
          <w:lang w:val="en-US"/>
        </w:rPr>
        <w:t xml:space="preserve"> </w:t>
      </w:r>
      <w:r>
        <w:rPr>
          <w:lang w:val="en-US"/>
        </w:rPr>
        <w:t>asked the Minister of Health, Social Services and Public Safety to detail the time frame in</w:t>
      </w:r>
      <w:r w:rsidR="004C4E64">
        <w:rPr>
          <w:lang w:val="en-US"/>
        </w:rPr>
        <w:t xml:space="preserve"> </w:t>
      </w:r>
      <w:r>
        <w:rPr>
          <w:lang w:val="en-US"/>
        </w:rPr>
        <w:t>the Belfast Health and Social Care Trust within which a referral appointment for a developmental</w:t>
      </w:r>
      <w:r w:rsidR="004C4E64">
        <w:rPr>
          <w:lang w:val="en-US"/>
        </w:rPr>
        <w:t xml:space="preserve"> </w:t>
      </w:r>
      <w:r>
        <w:rPr>
          <w:lang w:val="en-US"/>
        </w:rPr>
        <w:t>assessment should be given for children under two years old.</w:t>
      </w:r>
    </w:p>
    <w:p w:rsidR="00E84839" w:rsidRDefault="00E84839" w:rsidP="004C4E64">
      <w:pPr>
        <w:pStyle w:val="NICCYBodyText"/>
        <w:rPr>
          <w:rFonts w:ascii="ITCFranklinGothicDemi" w:hAnsi="ITCFranklinGothicDemi" w:cs="ITCFranklinGothicDemi"/>
          <w:lang w:val="en-US"/>
        </w:rPr>
      </w:pPr>
      <w:r>
        <w:rPr>
          <w:rFonts w:ascii="ITCFranklinGothicDemi" w:hAnsi="ITCFranklinGothicDemi" w:cs="ITCFranklinGothicDemi"/>
          <w:lang w:val="en-US"/>
        </w:rPr>
        <w:t>(AQW 34779/11-15)</w:t>
      </w:r>
    </w:p>
    <w:p w:rsidR="004C4E64" w:rsidRDefault="004C4E64" w:rsidP="004C4E64">
      <w:pPr>
        <w:pStyle w:val="NICCYBodyText"/>
        <w:rPr>
          <w:rFonts w:ascii="ITCFranklinGothicDemi" w:hAnsi="ITCFranklinGothicDemi" w:cs="ITCFranklinGothicDemi"/>
          <w:lang w:val="en-US"/>
        </w:rPr>
      </w:pPr>
    </w:p>
    <w:p w:rsidR="00E84839" w:rsidRDefault="00E84839" w:rsidP="004C4E64">
      <w:pPr>
        <w:pStyle w:val="NICCYBodyText"/>
        <w:rPr>
          <w:lang w:val="en-US"/>
        </w:rPr>
      </w:pPr>
      <w:r w:rsidRPr="004C4E64">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 has a framework in place known as ‘Healthy Child, Healthy Future’ which</w:t>
      </w:r>
      <w:r w:rsidR="004C4E64">
        <w:rPr>
          <w:lang w:val="en-US"/>
        </w:rPr>
        <w:t xml:space="preserve"> </w:t>
      </w:r>
      <w:r>
        <w:rPr>
          <w:lang w:val="en-US"/>
        </w:rPr>
        <w:t>delivers the universal child health promotion programme for all children, young people and families</w:t>
      </w:r>
      <w:r w:rsidR="004C4E64">
        <w:rPr>
          <w:lang w:val="en-US"/>
        </w:rPr>
        <w:t xml:space="preserve"> </w:t>
      </w:r>
      <w:r>
        <w:rPr>
          <w:lang w:val="en-US"/>
        </w:rPr>
        <w:t>from birth a</w:t>
      </w:r>
      <w:r w:rsidR="004C4E64">
        <w:rPr>
          <w:lang w:val="en-US"/>
        </w:rPr>
        <w:t xml:space="preserve">nd throughout the school years.  </w:t>
      </w:r>
      <w:r>
        <w:rPr>
          <w:lang w:val="en-US"/>
        </w:rPr>
        <w:t>The programme includes a specific set of Health and</w:t>
      </w:r>
      <w:r w:rsidR="004C4E64">
        <w:rPr>
          <w:lang w:val="en-US"/>
        </w:rPr>
        <w:t xml:space="preserve"> </w:t>
      </w:r>
      <w:r>
        <w:rPr>
          <w:lang w:val="en-US"/>
        </w:rPr>
        <w:t>Development reviews delivered by health visitors in the preschool period as follows:</w:t>
      </w:r>
    </w:p>
    <w:p w:rsidR="00E84839" w:rsidRDefault="00E84839" w:rsidP="004C4E64">
      <w:pPr>
        <w:pStyle w:val="NICCYBodyText"/>
        <w:numPr>
          <w:ilvl w:val="0"/>
          <w:numId w:val="2"/>
        </w:numPr>
        <w:rPr>
          <w:lang w:val="en-US"/>
        </w:rPr>
      </w:pPr>
      <w:r>
        <w:rPr>
          <w:lang w:val="en-US"/>
        </w:rPr>
        <w:t>A new baby review (between 10-14 days old).</w:t>
      </w:r>
    </w:p>
    <w:p w:rsidR="00E84839" w:rsidRDefault="00E84839" w:rsidP="004C4E64">
      <w:pPr>
        <w:pStyle w:val="NICCYBodyText"/>
        <w:numPr>
          <w:ilvl w:val="0"/>
          <w:numId w:val="2"/>
        </w:numPr>
        <w:rPr>
          <w:lang w:val="en-US"/>
        </w:rPr>
      </w:pPr>
      <w:r>
        <w:rPr>
          <w:lang w:val="en-US"/>
        </w:rPr>
        <w:t>At six to eight weeks of age.</w:t>
      </w:r>
    </w:p>
    <w:p w:rsidR="00E84839" w:rsidRDefault="00E84839" w:rsidP="004C4E64">
      <w:pPr>
        <w:pStyle w:val="NICCYBodyText"/>
        <w:numPr>
          <w:ilvl w:val="0"/>
          <w:numId w:val="2"/>
        </w:numPr>
        <w:rPr>
          <w:lang w:val="en-US"/>
        </w:rPr>
      </w:pPr>
      <w:r>
        <w:rPr>
          <w:lang w:val="en-US"/>
        </w:rPr>
        <w:t>At 14-16 weeks of age.</w:t>
      </w:r>
    </w:p>
    <w:p w:rsidR="00E84839" w:rsidRDefault="00E84839" w:rsidP="004C4E64">
      <w:pPr>
        <w:pStyle w:val="NICCYBodyText"/>
        <w:numPr>
          <w:ilvl w:val="0"/>
          <w:numId w:val="2"/>
        </w:numPr>
        <w:rPr>
          <w:lang w:val="en-US"/>
        </w:rPr>
      </w:pPr>
      <w:r>
        <w:rPr>
          <w:lang w:val="en-US"/>
        </w:rPr>
        <w:t>At one year old.</w:t>
      </w:r>
    </w:p>
    <w:p w:rsidR="00E84839" w:rsidRDefault="00E84839" w:rsidP="004C4E64">
      <w:pPr>
        <w:pStyle w:val="NICCYBodyText"/>
        <w:numPr>
          <w:ilvl w:val="0"/>
          <w:numId w:val="2"/>
        </w:numPr>
        <w:rPr>
          <w:lang w:val="en-US"/>
        </w:rPr>
      </w:pPr>
      <w:r>
        <w:rPr>
          <w:lang w:val="en-US"/>
        </w:rPr>
        <w:t>At 2-21/2 years of age</w:t>
      </w:r>
    </w:p>
    <w:p w:rsidR="004C4E64" w:rsidRDefault="004C4E64" w:rsidP="004C4E64">
      <w:pPr>
        <w:pStyle w:val="NICCYBodyText"/>
        <w:ind w:left="720"/>
        <w:rPr>
          <w:lang w:val="en-US"/>
        </w:rPr>
      </w:pPr>
    </w:p>
    <w:p w:rsidR="004C4E64" w:rsidRDefault="004C4E64" w:rsidP="004C4E64">
      <w:pPr>
        <w:pStyle w:val="NICCYBodyText"/>
        <w:ind w:left="720"/>
        <w:rPr>
          <w:lang w:val="en-US"/>
        </w:rPr>
      </w:pPr>
    </w:p>
    <w:p w:rsidR="00E84839" w:rsidRDefault="00E84839" w:rsidP="004C4E64">
      <w:pPr>
        <w:pStyle w:val="NICCYBodyText"/>
        <w:rPr>
          <w:lang w:val="en-US"/>
        </w:rPr>
      </w:pPr>
      <w:r>
        <w:rPr>
          <w:lang w:val="en-US"/>
        </w:rPr>
        <w:lastRenderedPageBreak/>
        <w:t>The Child Health System which holds details of every child in Northern Ireland is programmed to</w:t>
      </w:r>
      <w:r w:rsidR="004C4E64">
        <w:rPr>
          <w:lang w:val="en-US"/>
        </w:rPr>
        <w:t xml:space="preserve"> </w:t>
      </w:r>
      <w:r>
        <w:rPr>
          <w:lang w:val="en-US"/>
        </w:rPr>
        <w:t>schedule children for appointments within the timeframe above for health and development reviews as</w:t>
      </w:r>
      <w:r w:rsidR="004C4E64">
        <w:rPr>
          <w:lang w:val="en-US"/>
        </w:rPr>
        <w:t xml:space="preserve"> </w:t>
      </w:r>
      <w:r>
        <w:rPr>
          <w:lang w:val="en-US"/>
        </w:rPr>
        <w:t>specified within the</w:t>
      </w:r>
      <w:r w:rsidR="004C4E64">
        <w:rPr>
          <w:lang w:val="en-US"/>
        </w:rPr>
        <w:t xml:space="preserve"> </w:t>
      </w:r>
      <w:r>
        <w:rPr>
          <w:lang w:val="en-US"/>
        </w:rPr>
        <w:t>‘Healthy Ch</w:t>
      </w:r>
      <w:r w:rsidR="004C4E64">
        <w:rPr>
          <w:lang w:val="en-US"/>
        </w:rPr>
        <w:t xml:space="preserve">ild, Healthy Future’ framework </w:t>
      </w:r>
    </w:p>
    <w:p w:rsidR="004C4E64" w:rsidRDefault="004C4E64" w:rsidP="004C4E64">
      <w:pPr>
        <w:pStyle w:val="NICCYBodyText"/>
        <w:rPr>
          <w:lang w:val="en-US"/>
        </w:rPr>
      </w:pPr>
    </w:p>
    <w:p w:rsidR="00E84839" w:rsidRPr="007B2173" w:rsidRDefault="004C4E64" w:rsidP="007B2173">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Back to Top</w:t>
        </w:r>
      </w:hyperlink>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Default="00E84839" w:rsidP="004C4E64">
      <w:pPr>
        <w:pStyle w:val="Heading2"/>
        <w:rPr>
          <w:lang w:val="en-US"/>
        </w:rPr>
      </w:pPr>
      <w:bookmarkStart w:id="17" w:name="_Transferring_Referrals_for"/>
      <w:bookmarkEnd w:id="17"/>
      <w:r>
        <w:rPr>
          <w:lang w:val="en-US"/>
        </w:rPr>
        <w:t>Transferring Referrals for the Child and Adolescent Mental Health Service</w:t>
      </w:r>
    </w:p>
    <w:p w:rsidR="00E84839" w:rsidRDefault="00E84839" w:rsidP="004C4E64">
      <w:pPr>
        <w:pStyle w:val="NICCYBodyText"/>
        <w:rPr>
          <w:lang w:val="en-US"/>
        </w:rPr>
      </w:pPr>
      <w:r w:rsidRPr="004C4E64">
        <w:rPr>
          <w:rFonts w:ascii="ITCFranklinGothicDemi" w:hAnsi="ITCFranklinGothicDemi" w:cs="ITCFranklinGothicDemi"/>
          <w:b/>
          <w:lang w:val="en-US"/>
        </w:rPr>
        <w:t>Ms Lo</w:t>
      </w:r>
      <w:r>
        <w:rPr>
          <w:rFonts w:ascii="ITCFranklinGothicDemi" w:hAnsi="ITCFranklinGothicDemi" w:cs="ITCFranklinGothicDemi"/>
          <w:lang w:val="en-US"/>
        </w:rPr>
        <w:t xml:space="preserve"> </w:t>
      </w:r>
      <w:r>
        <w:rPr>
          <w:lang w:val="en-US"/>
        </w:rPr>
        <w:t>asked the Minister of Health, Social Services and Public Safety to detail the process for</w:t>
      </w:r>
      <w:r w:rsidR="004C4E64">
        <w:rPr>
          <w:lang w:val="en-US"/>
        </w:rPr>
        <w:t xml:space="preserve"> </w:t>
      </w:r>
      <w:r>
        <w:rPr>
          <w:lang w:val="en-US"/>
        </w:rPr>
        <w:t>transferring referrals for the Child and Adolescent Mental Health Service units between Health and</w:t>
      </w:r>
      <w:r w:rsidR="004C4E64">
        <w:rPr>
          <w:lang w:val="en-US"/>
        </w:rPr>
        <w:t xml:space="preserve"> </w:t>
      </w:r>
      <w:r>
        <w:rPr>
          <w:lang w:val="en-US"/>
        </w:rPr>
        <w:t>Social Care Trusts, when a patient changes address.</w:t>
      </w:r>
    </w:p>
    <w:p w:rsidR="00E84839" w:rsidRDefault="00E84839" w:rsidP="004C4E64">
      <w:pPr>
        <w:pStyle w:val="NICCYBodyText"/>
        <w:rPr>
          <w:rFonts w:ascii="ITCFranklinGothicDemi" w:hAnsi="ITCFranklinGothicDemi" w:cs="ITCFranklinGothicDemi"/>
          <w:lang w:val="en-US"/>
        </w:rPr>
      </w:pPr>
      <w:r>
        <w:rPr>
          <w:rFonts w:ascii="ITCFranklinGothicDemi" w:hAnsi="ITCFranklinGothicDemi" w:cs="ITCFranklinGothicDemi"/>
          <w:lang w:val="en-US"/>
        </w:rPr>
        <w:t>(AQW 34780/11-15)</w:t>
      </w:r>
    </w:p>
    <w:p w:rsidR="004C4E64" w:rsidRDefault="004C4E64" w:rsidP="004C4E64">
      <w:pPr>
        <w:pStyle w:val="NICCYBodyText"/>
        <w:rPr>
          <w:rFonts w:ascii="ITCFranklinGothicDemi" w:hAnsi="ITCFranklinGothicDemi" w:cs="ITCFranklinGothicDemi"/>
          <w:lang w:val="en-US"/>
        </w:rPr>
      </w:pPr>
    </w:p>
    <w:p w:rsidR="00E84839" w:rsidRDefault="00E84839" w:rsidP="004C4E64">
      <w:pPr>
        <w:pStyle w:val="NICCYBodyText"/>
        <w:rPr>
          <w:lang w:val="en-US"/>
        </w:rPr>
      </w:pPr>
      <w:r w:rsidRPr="007B2173">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If a patient in receipt of Child and Adolescent Mental Health Services (CAMHS) changes</w:t>
      </w:r>
      <w:r w:rsidR="007B2173">
        <w:rPr>
          <w:lang w:val="en-US"/>
        </w:rPr>
        <w:t xml:space="preserve"> </w:t>
      </w:r>
      <w:r>
        <w:rPr>
          <w:lang w:val="en-US"/>
        </w:rPr>
        <w:t>address, the Health and Social Care Trust currently providing care will refer the case to the appropriate</w:t>
      </w:r>
      <w:r w:rsidR="007B2173">
        <w:rPr>
          <w:lang w:val="en-US"/>
        </w:rPr>
        <w:t xml:space="preserve"> receiving Trust.  </w:t>
      </w:r>
      <w:r>
        <w:rPr>
          <w:lang w:val="en-US"/>
        </w:rPr>
        <w:t>Appropriate information on the case will be s</w:t>
      </w:r>
      <w:r w:rsidR="007B2173">
        <w:rPr>
          <w:lang w:val="en-US"/>
        </w:rPr>
        <w:t xml:space="preserve">hared with the receiving Trust.  </w:t>
      </w:r>
      <w:r>
        <w:rPr>
          <w:lang w:val="en-US"/>
        </w:rPr>
        <w:t>The</w:t>
      </w:r>
      <w:r w:rsidR="007B2173">
        <w:rPr>
          <w:lang w:val="en-US"/>
        </w:rPr>
        <w:t xml:space="preserve"> </w:t>
      </w:r>
      <w:r>
        <w:rPr>
          <w:lang w:val="en-US"/>
        </w:rPr>
        <w:t>patient, his/her family and other professionals involved with the patient will be informed of the transfer</w:t>
      </w:r>
      <w:r w:rsidR="007B2173">
        <w:rPr>
          <w:lang w:val="en-US"/>
        </w:rPr>
        <w:t xml:space="preserve"> </w:t>
      </w:r>
      <w:r>
        <w:rPr>
          <w:lang w:val="en-US"/>
        </w:rPr>
        <w:t>arrangements.</w:t>
      </w:r>
      <w:r w:rsidR="007B2173">
        <w:rPr>
          <w:lang w:val="en-US"/>
        </w:rPr>
        <w:t xml:space="preserve">  </w:t>
      </w:r>
      <w:r>
        <w:rPr>
          <w:lang w:val="en-US"/>
        </w:rPr>
        <w:t>In some cases, depending on the stage in their treatment or where the programme of intervention is</w:t>
      </w:r>
      <w:r w:rsidR="007B2173">
        <w:rPr>
          <w:lang w:val="en-US"/>
        </w:rPr>
        <w:t xml:space="preserve"> </w:t>
      </w:r>
      <w:r>
        <w:rPr>
          <w:lang w:val="en-US"/>
        </w:rPr>
        <w:t>short term, a patient may continue to receive care from the current Trust after they change address</w:t>
      </w:r>
      <w:r w:rsidR="007B2173">
        <w:rPr>
          <w:lang w:val="en-US"/>
        </w:rPr>
        <w:t xml:space="preserve"> </w:t>
      </w:r>
      <w:r>
        <w:rPr>
          <w:lang w:val="en-US"/>
        </w:rPr>
        <w:t>rather than b</w:t>
      </w:r>
      <w:r w:rsidR="007B2173">
        <w:rPr>
          <w:lang w:val="en-US"/>
        </w:rPr>
        <w:t xml:space="preserve">e transferred to another Trust.  </w:t>
      </w:r>
      <w:r>
        <w:rPr>
          <w:lang w:val="en-US"/>
        </w:rPr>
        <w:t>Each case will be considered by clinicians and decisions</w:t>
      </w:r>
    </w:p>
    <w:p w:rsidR="00E84839" w:rsidRDefault="00E84839" w:rsidP="004C4E64">
      <w:pPr>
        <w:pStyle w:val="NICCYBodyText"/>
        <w:rPr>
          <w:lang w:val="en-US"/>
        </w:rPr>
      </w:pPr>
      <w:proofErr w:type="gramStart"/>
      <w:r>
        <w:rPr>
          <w:lang w:val="en-US"/>
        </w:rPr>
        <w:t>will</w:t>
      </w:r>
      <w:proofErr w:type="gramEnd"/>
      <w:r>
        <w:rPr>
          <w:lang w:val="en-US"/>
        </w:rPr>
        <w:t xml:space="preserve"> be based on what is best for the patient.</w:t>
      </w:r>
    </w:p>
    <w:p w:rsidR="00E84839" w:rsidRDefault="00E84839" w:rsidP="004C4E64">
      <w:pPr>
        <w:pStyle w:val="NICCYBodyText"/>
        <w:rPr>
          <w:lang w:val="en-US"/>
        </w:rPr>
      </w:pPr>
    </w:p>
    <w:p w:rsidR="007B2173" w:rsidRPr="007B2173" w:rsidRDefault="007B2173" w:rsidP="007B2173">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 xml:space="preserve">Back </w:t>
        </w:r>
        <w:r w:rsidRPr="007715F2">
          <w:rPr>
            <w:rStyle w:val="Hyperlink"/>
          </w:rPr>
          <w:t>t</w:t>
        </w:r>
        <w:r w:rsidRPr="007715F2">
          <w:rPr>
            <w:rStyle w:val="Hyperlink"/>
          </w:rPr>
          <w:t>o</w:t>
        </w:r>
        <w:r w:rsidRPr="007715F2">
          <w:rPr>
            <w:rStyle w:val="Hyperlink"/>
          </w:rPr>
          <w:t xml:space="preserve"> Top</w:t>
        </w:r>
      </w:hyperlink>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7B2173" w:rsidRDefault="007B2173" w:rsidP="004C4E64">
      <w:pPr>
        <w:pStyle w:val="NICCYBodyText"/>
        <w:rPr>
          <w:lang w:val="en-US"/>
        </w:rPr>
      </w:pPr>
    </w:p>
    <w:p w:rsidR="00E84839" w:rsidRPr="007B2173" w:rsidRDefault="00E84839" w:rsidP="007B2173">
      <w:pPr>
        <w:pStyle w:val="Heading2"/>
        <w:rPr>
          <w:color w:val="22A5DE"/>
          <w:lang w:val="en-US"/>
        </w:rPr>
      </w:pPr>
      <w:bookmarkStart w:id="18" w:name="_Change_of_Address"/>
      <w:bookmarkEnd w:id="18"/>
      <w:r w:rsidRPr="007B2173">
        <w:rPr>
          <w:color w:val="22A5DE"/>
          <w:lang w:val="en-US"/>
        </w:rPr>
        <w:lastRenderedPageBreak/>
        <w:t>Change of Address of Mental Health Patients</w:t>
      </w:r>
    </w:p>
    <w:p w:rsidR="00E84839" w:rsidRDefault="00E84839" w:rsidP="007B2173">
      <w:pPr>
        <w:pStyle w:val="NICCYBodyText"/>
        <w:rPr>
          <w:lang w:val="en-US"/>
        </w:rPr>
      </w:pPr>
      <w:r w:rsidRPr="007B2173">
        <w:rPr>
          <w:rFonts w:ascii="ITCFranklinGothicDemi" w:hAnsi="ITCFranklinGothicDemi" w:cs="ITCFranklinGothicDemi"/>
          <w:b/>
          <w:lang w:val="en-US"/>
        </w:rPr>
        <w:t>Ms Lo</w:t>
      </w:r>
      <w:r>
        <w:rPr>
          <w:rFonts w:ascii="ITCFranklinGothicDemi" w:hAnsi="ITCFranklinGothicDemi" w:cs="ITCFranklinGothicDemi"/>
          <w:lang w:val="en-US"/>
        </w:rPr>
        <w:t xml:space="preserve"> </w:t>
      </w:r>
      <w:r>
        <w:rPr>
          <w:lang w:val="en-US"/>
        </w:rPr>
        <w:t>asked the Minister of Health, Social Services and Public Safety whether it is the policy within</w:t>
      </w:r>
      <w:r w:rsidR="007B2173">
        <w:rPr>
          <w:lang w:val="en-US"/>
        </w:rPr>
        <w:t xml:space="preserve"> </w:t>
      </w:r>
      <w:r>
        <w:rPr>
          <w:lang w:val="en-US"/>
        </w:rPr>
        <w:t>Health and Social Care Trusts to discharge a patient from a Child and Adolescent Mental Health</w:t>
      </w:r>
      <w:r w:rsidR="007B2173">
        <w:rPr>
          <w:lang w:val="en-US"/>
        </w:rPr>
        <w:t xml:space="preserve"> </w:t>
      </w:r>
      <w:r>
        <w:rPr>
          <w:lang w:val="en-US"/>
        </w:rPr>
        <w:t>Service units due to a change of address.</w:t>
      </w:r>
    </w:p>
    <w:p w:rsidR="00E84839" w:rsidRDefault="00E84839" w:rsidP="007B2173">
      <w:pPr>
        <w:pStyle w:val="NICCYBodyText"/>
        <w:rPr>
          <w:rFonts w:ascii="ITCFranklinGothicDemi" w:hAnsi="ITCFranklinGothicDemi" w:cs="ITCFranklinGothicDemi"/>
          <w:lang w:val="en-US"/>
        </w:rPr>
      </w:pPr>
      <w:r>
        <w:rPr>
          <w:rFonts w:ascii="ITCFranklinGothicDemi" w:hAnsi="ITCFranklinGothicDemi" w:cs="ITCFranklinGothicDemi"/>
          <w:lang w:val="en-US"/>
        </w:rPr>
        <w:t>(AQW 34781/11-15)</w:t>
      </w:r>
    </w:p>
    <w:p w:rsidR="007B2173" w:rsidRDefault="007B2173" w:rsidP="007B2173">
      <w:pPr>
        <w:pStyle w:val="NICCYBodyText"/>
        <w:rPr>
          <w:rFonts w:ascii="ITCFranklinGothicDemi" w:hAnsi="ITCFranklinGothicDemi" w:cs="ITCFranklinGothicDemi"/>
          <w:lang w:val="en-US"/>
        </w:rPr>
      </w:pPr>
    </w:p>
    <w:p w:rsidR="00E84839" w:rsidRDefault="00E84839" w:rsidP="007B2173">
      <w:pPr>
        <w:pStyle w:val="NICCYBodyText"/>
        <w:rPr>
          <w:lang w:val="en-US"/>
        </w:rPr>
      </w:pPr>
      <w:r w:rsidRPr="007B2173">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There is no policy within the Trusts to discharge a patient from CAMHS due to a change</w:t>
      </w:r>
      <w:r w:rsidR="007B2173">
        <w:rPr>
          <w:lang w:val="en-US"/>
        </w:rPr>
        <w:t xml:space="preserve"> of address.  </w:t>
      </w:r>
      <w:r>
        <w:rPr>
          <w:lang w:val="en-US"/>
        </w:rPr>
        <w:t>Discharges are determined by clinical considerations and</w:t>
      </w:r>
      <w:r w:rsidR="007B2173">
        <w:rPr>
          <w:lang w:val="en-US"/>
        </w:rPr>
        <w:t xml:space="preserve"> patient choice, and not on the basis of a change of address.  </w:t>
      </w:r>
      <w:r>
        <w:rPr>
          <w:lang w:val="en-US"/>
        </w:rPr>
        <w:t>If a patient changes address and there is continuing need for clinical</w:t>
      </w:r>
      <w:r w:rsidR="007B2173">
        <w:rPr>
          <w:lang w:val="en-US"/>
        </w:rPr>
        <w:t xml:space="preserve"> </w:t>
      </w:r>
      <w:r>
        <w:rPr>
          <w:lang w:val="en-US"/>
        </w:rPr>
        <w:t>involvement, the case is transferred to the appropriate Trust.</w:t>
      </w: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Default="007B2173" w:rsidP="00E84839">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Bac</w:t>
        </w:r>
        <w:r w:rsidRPr="007715F2">
          <w:rPr>
            <w:rStyle w:val="Hyperlink"/>
          </w:rPr>
          <w:t>k</w:t>
        </w:r>
        <w:r w:rsidRPr="007715F2">
          <w:rPr>
            <w:rStyle w:val="Hyperlink"/>
          </w:rPr>
          <w:t xml:space="preserve"> </w:t>
        </w:r>
        <w:r w:rsidRPr="007715F2">
          <w:rPr>
            <w:rStyle w:val="Hyperlink"/>
          </w:rPr>
          <w:t>to</w:t>
        </w:r>
        <w:r w:rsidRPr="007715F2">
          <w:rPr>
            <w:rStyle w:val="Hyperlink"/>
          </w:rPr>
          <w:t xml:space="preserve"> </w:t>
        </w:r>
        <w:r w:rsidRPr="007715F2">
          <w:rPr>
            <w:rStyle w:val="Hyperlink"/>
          </w:rPr>
          <w:t>Top</w:t>
        </w:r>
      </w:hyperlink>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Pr="007B2173" w:rsidRDefault="00E84839" w:rsidP="007B2173">
      <w:pPr>
        <w:pStyle w:val="Heading2"/>
        <w:rPr>
          <w:color w:val="23A4DE"/>
          <w:lang w:val="en-US"/>
        </w:rPr>
      </w:pPr>
      <w:bookmarkStart w:id="19" w:name="_Children’s_Palliative_Care"/>
      <w:bookmarkEnd w:id="19"/>
      <w:r w:rsidRPr="007B2173">
        <w:rPr>
          <w:color w:val="23A4DE"/>
          <w:lang w:val="en-US"/>
        </w:rPr>
        <w:t>Children’s Palliative Care Review’s Recommendations</w:t>
      </w:r>
    </w:p>
    <w:p w:rsidR="007B2173" w:rsidRDefault="00E84839" w:rsidP="007B2173">
      <w:pPr>
        <w:pStyle w:val="NICCYBodyText"/>
        <w:rPr>
          <w:lang w:val="en-US"/>
        </w:rPr>
      </w:pPr>
      <w:r w:rsidRPr="007B2173">
        <w:rPr>
          <w:rFonts w:ascii="ITCFranklinGothicDemi" w:hAnsi="ITCFranklinGothicDemi" w:cs="ITCFranklinGothicDemi"/>
          <w:b/>
          <w:lang w:val="en-US"/>
        </w:rPr>
        <w:t>Mrs Dobson</w:t>
      </w:r>
      <w:r>
        <w:rPr>
          <w:rFonts w:ascii="ITCFranklinGothicDemi" w:hAnsi="ITCFranklinGothicDemi" w:cs="ITCFranklinGothicDemi"/>
          <w:lang w:val="en-US"/>
        </w:rPr>
        <w:t xml:space="preserve"> </w:t>
      </w:r>
      <w:r>
        <w:rPr>
          <w:lang w:val="en-US"/>
        </w:rPr>
        <w:t xml:space="preserve">asked the Minister of Health, Social Services and Public Safety </w:t>
      </w:r>
    </w:p>
    <w:p w:rsidR="007B2173" w:rsidRDefault="00E84839" w:rsidP="007B2173">
      <w:pPr>
        <w:pStyle w:val="NICCYBodyText"/>
        <w:rPr>
          <w:lang w:val="en-US"/>
        </w:rPr>
      </w:pPr>
      <w:r>
        <w:rPr>
          <w:lang w:val="en-US"/>
        </w:rPr>
        <w:t>(</w:t>
      </w:r>
      <w:proofErr w:type="spellStart"/>
      <w:r>
        <w:rPr>
          <w:lang w:val="en-US"/>
        </w:rPr>
        <w:t>i</w:t>
      </w:r>
      <w:proofErr w:type="spellEnd"/>
      <w:r>
        <w:rPr>
          <w:lang w:val="en-US"/>
        </w:rPr>
        <w:t>) how he will implement</w:t>
      </w:r>
      <w:r w:rsidR="007B2173">
        <w:rPr>
          <w:lang w:val="en-US"/>
        </w:rPr>
        <w:t xml:space="preserve"> </w:t>
      </w:r>
      <w:r>
        <w:rPr>
          <w:lang w:val="en-US"/>
        </w:rPr>
        <w:t xml:space="preserve">the Children’s Palliative Care review’s recommendations; </w:t>
      </w:r>
    </w:p>
    <w:p w:rsidR="007B2173" w:rsidRDefault="00E84839" w:rsidP="007B2173">
      <w:pPr>
        <w:pStyle w:val="NICCYBodyText"/>
        <w:rPr>
          <w:lang w:val="en-US"/>
        </w:rPr>
      </w:pPr>
      <w:r>
        <w:rPr>
          <w:lang w:val="en-US"/>
        </w:rPr>
        <w:t>(ii) what is the timescale for implementation;</w:t>
      </w:r>
      <w:r w:rsidR="007B2173">
        <w:rPr>
          <w:lang w:val="en-US"/>
        </w:rPr>
        <w:t xml:space="preserve"> </w:t>
      </w:r>
      <w:r>
        <w:rPr>
          <w:lang w:val="en-US"/>
        </w:rPr>
        <w:t xml:space="preserve">and </w:t>
      </w:r>
    </w:p>
    <w:p w:rsidR="00E84839" w:rsidRDefault="00E84839" w:rsidP="007B2173">
      <w:pPr>
        <w:pStyle w:val="NICCYBodyText"/>
        <w:rPr>
          <w:lang w:val="en-US"/>
        </w:rPr>
      </w:pPr>
      <w:r>
        <w:rPr>
          <w:lang w:val="en-US"/>
        </w:rPr>
        <w:t>(iii) whether this will involve a funded strategy.</w:t>
      </w:r>
    </w:p>
    <w:p w:rsidR="00E84839" w:rsidRDefault="00E84839" w:rsidP="007B2173">
      <w:pPr>
        <w:pStyle w:val="NICCYBodyText"/>
        <w:rPr>
          <w:rFonts w:ascii="ITCFranklinGothicDemi" w:hAnsi="ITCFranklinGothicDemi" w:cs="ITCFranklinGothicDemi"/>
          <w:lang w:val="en-US"/>
        </w:rPr>
      </w:pPr>
      <w:r>
        <w:rPr>
          <w:rFonts w:ascii="ITCFranklinGothicDemi" w:hAnsi="ITCFranklinGothicDemi" w:cs="ITCFranklinGothicDemi"/>
          <w:lang w:val="en-US"/>
        </w:rPr>
        <w:t>(AQW 34782/11-15)</w:t>
      </w:r>
    </w:p>
    <w:p w:rsidR="007B2173" w:rsidRDefault="007B2173" w:rsidP="007B2173">
      <w:pPr>
        <w:pStyle w:val="NICCYBodyText"/>
        <w:rPr>
          <w:rFonts w:ascii="ITCFranklinGothicDemi" w:hAnsi="ITCFranklinGothicDemi" w:cs="ITCFranklinGothicDemi"/>
          <w:lang w:val="en-US"/>
        </w:rPr>
      </w:pPr>
    </w:p>
    <w:p w:rsidR="00E84839" w:rsidRDefault="00E84839" w:rsidP="007B2173">
      <w:pPr>
        <w:pStyle w:val="NICCYBodyText"/>
        <w:rPr>
          <w:lang w:val="en-US"/>
        </w:rPr>
      </w:pPr>
      <w:r w:rsidRPr="007B2173">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Consultation on the review’s 18 recommendations closed on 28 March 2014. My officials</w:t>
      </w:r>
      <w:r w:rsidR="007B2173">
        <w:rPr>
          <w:lang w:val="en-US"/>
        </w:rPr>
        <w:t xml:space="preserve"> </w:t>
      </w:r>
      <w:r>
        <w:rPr>
          <w:lang w:val="en-US"/>
        </w:rPr>
        <w:t>are currently analysing the responses and will shortly be finalising the strategy, having taken into</w:t>
      </w:r>
      <w:r w:rsidR="007B2173">
        <w:rPr>
          <w:lang w:val="en-US"/>
        </w:rPr>
        <w:t xml:space="preserve"> </w:t>
      </w:r>
      <w:r>
        <w:rPr>
          <w:lang w:val="en-US"/>
        </w:rPr>
        <w:t>account the views expressed by consultees, for</w:t>
      </w:r>
      <w:r w:rsidR="007B2173">
        <w:rPr>
          <w:lang w:val="en-US"/>
        </w:rPr>
        <w:t xml:space="preserve"> my consideration and approval.  </w:t>
      </w:r>
      <w:r>
        <w:rPr>
          <w:lang w:val="en-US"/>
        </w:rPr>
        <w:t>I expect to be in a</w:t>
      </w:r>
      <w:r w:rsidR="007B2173">
        <w:rPr>
          <w:lang w:val="en-US"/>
        </w:rPr>
        <w:t xml:space="preserve"> </w:t>
      </w:r>
      <w:r>
        <w:rPr>
          <w:lang w:val="en-US"/>
        </w:rPr>
        <w:t>position to publish the final document by autumn 2014.</w:t>
      </w:r>
    </w:p>
    <w:p w:rsidR="007B2173" w:rsidRDefault="007B2173" w:rsidP="007B2173">
      <w:pPr>
        <w:pStyle w:val="NICCYBodyText"/>
        <w:rPr>
          <w:lang w:val="en-US"/>
        </w:rPr>
      </w:pPr>
    </w:p>
    <w:p w:rsidR="00E84839" w:rsidRDefault="00E84839" w:rsidP="007B2173">
      <w:pPr>
        <w:pStyle w:val="NICCYBodyText"/>
        <w:rPr>
          <w:lang w:val="en-US"/>
        </w:rPr>
      </w:pPr>
      <w:r>
        <w:rPr>
          <w:lang w:val="en-US"/>
        </w:rPr>
        <w:t>The Health and Social Care Board, as commissioner of healthcare services, will lead on the</w:t>
      </w:r>
      <w:r w:rsidR="007B2173">
        <w:rPr>
          <w:lang w:val="en-US"/>
        </w:rPr>
        <w:t xml:space="preserve"> </w:t>
      </w:r>
      <w:r>
        <w:rPr>
          <w:lang w:val="en-US"/>
        </w:rPr>
        <w:t>implementation of the strategy in par</w:t>
      </w:r>
      <w:r w:rsidR="007B2173">
        <w:rPr>
          <w:lang w:val="en-US"/>
        </w:rPr>
        <w:t xml:space="preserve">tnership with key stakeholders.  </w:t>
      </w:r>
      <w:r>
        <w:rPr>
          <w:lang w:val="en-US"/>
        </w:rPr>
        <w:t>The cost of implementing the</w:t>
      </w:r>
      <w:r w:rsidR="007B2173">
        <w:rPr>
          <w:lang w:val="en-US"/>
        </w:rPr>
        <w:t xml:space="preserve"> </w:t>
      </w:r>
      <w:r>
        <w:rPr>
          <w:lang w:val="en-US"/>
        </w:rPr>
        <w:t>strategy is</w:t>
      </w:r>
      <w:r w:rsidR="007B2173">
        <w:rPr>
          <w:lang w:val="en-US"/>
        </w:rPr>
        <w:t xml:space="preserve"> likely to require new funding.  </w:t>
      </w:r>
      <w:r>
        <w:rPr>
          <w:lang w:val="en-US"/>
        </w:rPr>
        <w:t>I expect to be in a position to announce decisions on funding</w:t>
      </w:r>
      <w:r w:rsidR="007B2173">
        <w:rPr>
          <w:lang w:val="en-US"/>
        </w:rPr>
        <w:t xml:space="preserve"> </w:t>
      </w:r>
      <w:r>
        <w:rPr>
          <w:lang w:val="en-US"/>
        </w:rPr>
        <w:t>for the strategy when I launch it this autumn, subject to the overall consideration of allocations for the</w:t>
      </w:r>
      <w:r w:rsidR="007B2173">
        <w:rPr>
          <w:lang w:val="en-US"/>
        </w:rPr>
        <w:t xml:space="preserve"> </w:t>
      </w:r>
      <w:r>
        <w:rPr>
          <w:lang w:val="en-US"/>
        </w:rPr>
        <w:t>healthcare budget, and approval of the business case for any service developments.</w:t>
      </w:r>
    </w:p>
    <w:p w:rsidR="00E84839" w:rsidRDefault="00E84839" w:rsidP="007B2173">
      <w:pPr>
        <w:pStyle w:val="NICCYBodyText"/>
        <w:rPr>
          <w:lang w:val="en-US"/>
        </w:rPr>
      </w:pPr>
    </w:p>
    <w:p w:rsidR="007B2173" w:rsidRDefault="007B2173" w:rsidP="007B2173">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Bac</w:t>
        </w:r>
        <w:r w:rsidRPr="007715F2">
          <w:rPr>
            <w:rStyle w:val="Hyperlink"/>
          </w:rPr>
          <w:t>k</w:t>
        </w:r>
        <w:r w:rsidRPr="007715F2">
          <w:rPr>
            <w:rStyle w:val="Hyperlink"/>
          </w:rPr>
          <w:t xml:space="preserve"> to</w:t>
        </w:r>
        <w:r w:rsidRPr="007715F2">
          <w:rPr>
            <w:rStyle w:val="Hyperlink"/>
          </w:rPr>
          <w:t xml:space="preserve"> </w:t>
        </w:r>
        <w:r w:rsidRPr="007715F2">
          <w:rPr>
            <w:rStyle w:val="Hyperlink"/>
          </w:rPr>
          <w:t>Top</w:t>
        </w:r>
      </w:hyperlink>
    </w:p>
    <w:p w:rsidR="007B2173" w:rsidRDefault="007B2173" w:rsidP="007B2173">
      <w:pPr>
        <w:pStyle w:val="NICCYBodyText"/>
        <w:rPr>
          <w:lang w:val="en-US"/>
        </w:rPr>
      </w:pPr>
    </w:p>
    <w:p w:rsidR="007B2173" w:rsidRDefault="007B2173" w:rsidP="00E84839">
      <w:pPr>
        <w:autoSpaceDE w:val="0"/>
        <w:autoSpaceDN w:val="0"/>
        <w:adjustRightInd w:val="0"/>
        <w:rPr>
          <w:rFonts w:ascii="ITCFranklinGothicBook" w:hAnsi="ITCFranklinGothicBook" w:cs="ITCFranklinGothicBook"/>
          <w:sz w:val="20"/>
          <w:szCs w:val="20"/>
          <w:lang w:val="en-US"/>
        </w:rPr>
      </w:pPr>
    </w:p>
    <w:p w:rsidR="00E84839" w:rsidRPr="007B2173" w:rsidRDefault="00E84839" w:rsidP="007B2173">
      <w:pPr>
        <w:pStyle w:val="Heading2"/>
        <w:rPr>
          <w:color w:val="23A4DE"/>
          <w:lang w:val="en-US"/>
        </w:rPr>
      </w:pPr>
      <w:bookmarkStart w:id="20" w:name="_SEA_and_SAI"/>
      <w:bookmarkEnd w:id="20"/>
      <w:r w:rsidRPr="007B2173">
        <w:rPr>
          <w:color w:val="23A4DE"/>
          <w:lang w:val="en-US"/>
        </w:rPr>
        <w:lastRenderedPageBreak/>
        <w:t>SEA and SAI Inquiries</w:t>
      </w:r>
    </w:p>
    <w:p w:rsidR="00E84839" w:rsidRDefault="00E84839" w:rsidP="007B2173">
      <w:pPr>
        <w:pStyle w:val="NICCYBodyText"/>
        <w:rPr>
          <w:lang w:val="en-US"/>
        </w:rPr>
      </w:pPr>
      <w:r w:rsidRPr="007B2173">
        <w:rPr>
          <w:rFonts w:ascii="ITCFranklinGothicDemi" w:hAnsi="ITCFranklinGothicDemi" w:cs="ITCFranklinGothicDemi"/>
          <w:b/>
          <w:lang w:val="en-US"/>
        </w:rPr>
        <w:t>Ms S Ramsey</w:t>
      </w:r>
      <w:r>
        <w:rPr>
          <w:rFonts w:ascii="ITCFranklinGothicDemi" w:hAnsi="ITCFranklinGothicDemi" w:cs="ITCFranklinGothicDemi"/>
          <w:lang w:val="en-US"/>
        </w:rPr>
        <w:t xml:space="preserve"> </w:t>
      </w:r>
      <w:r>
        <w:rPr>
          <w:lang w:val="en-US"/>
        </w:rPr>
        <w:t>asked the Minister of Health, Social Services and Public Safety to explain the difference</w:t>
      </w:r>
      <w:r w:rsidR="007B2173">
        <w:rPr>
          <w:lang w:val="en-US"/>
        </w:rPr>
        <w:t xml:space="preserve"> </w:t>
      </w:r>
      <w:r>
        <w:rPr>
          <w:lang w:val="en-US"/>
        </w:rPr>
        <w:t>between an SEA and SAI inquiry undertaken in Health and Social Care Trusts.</w:t>
      </w:r>
    </w:p>
    <w:p w:rsidR="00E84839" w:rsidRDefault="00E84839" w:rsidP="007B2173">
      <w:pPr>
        <w:pStyle w:val="NICCYBodyText"/>
        <w:rPr>
          <w:rFonts w:ascii="ITCFranklinGothicDemi" w:hAnsi="ITCFranklinGothicDemi" w:cs="ITCFranklinGothicDemi"/>
          <w:lang w:val="en-US"/>
        </w:rPr>
      </w:pPr>
      <w:r>
        <w:rPr>
          <w:rFonts w:ascii="ITCFranklinGothicDemi" w:hAnsi="ITCFranklinGothicDemi" w:cs="ITCFranklinGothicDemi"/>
          <w:lang w:val="en-US"/>
        </w:rPr>
        <w:t>(AQW 34939/11-15)</w:t>
      </w:r>
    </w:p>
    <w:p w:rsidR="007B2173" w:rsidRDefault="007B2173" w:rsidP="007B2173">
      <w:pPr>
        <w:pStyle w:val="NICCYBodyText"/>
        <w:rPr>
          <w:rFonts w:ascii="ITCFranklinGothicDemi" w:hAnsi="ITCFranklinGothicDemi" w:cs="ITCFranklinGothicDemi"/>
          <w:lang w:val="en-US"/>
        </w:rPr>
      </w:pPr>
    </w:p>
    <w:p w:rsidR="00E84839" w:rsidRDefault="00E84839" w:rsidP="007B2173">
      <w:pPr>
        <w:pStyle w:val="NICCYBodyText"/>
        <w:rPr>
          <w:lang w:val="en-US"/>
        </w:rPr>
      </w:pPr>
      <w:r w:rsidRPr="007B2173">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A Serious Event Audit (SEA) is part of The Serious Adverse Incident (SAI) investigation</w:t>
      </w:r>
      <w:r w:rsidR="007B2173">
        <w:rPr>
          <w:lang w:val="en-US"/>
        </w:rPr>
        <w:t xml:space="preserve"> </w:t>
      </w:r>
      <w:r>
        <w:rPr>
          <w:lang w:val="en-US"/>
        </w:rPr>
        <w:t xml:space="preserve">process; the regionally agreed approach to the reporting, management </w:t>
      </w:r>
      <w:r w:rsidR="007B2173">
        <w:rPr>
          <w:lang w:val="en-US"/>
        </w:rPr>
        <w:t xml:space="preserve">and follow-up of serious adverse </w:t>
      </w:r>
      <w:r>
        <w:rPr>
          <w:lang w:val="en-US"/>
        </w:rPr>
        <w:t>incidents; designed to identify and share learning in a meaningful way, with a focus on safety and</w:t>
      </w:r>
      <w:r w:rsidR="007B2173">
        <w:rPr>
          <w:lang w:val="en-US"/>
        </w:rPr>
        <w:t xml:space="preserve"> </w:t>
      </w:r>
      <w:r>
        <w:rPr>
          <w:lang w:val="en-US"/>
        </w:rPr>
        <w:t>quality, ultimately leading to service improvement for service users.</w:t>
      </w:r>
    </w:p>
    <w:p w:rsidR="007B2173" w:rsidRDefault="007B2173" w:rsidP="007B2173">
      <w:pPr>
        <w:pStyle w:val="NICCYBodyText"/>
        <w:rPr>
          <w:lang w:val="en-US"/>
        </w:rPr>
      </w:pPr>
    </w:p>
    <w:p w:rsidR="00E84839" w:rsidRDefault="00E84839" w:rsidP="007B2173">
      <w:pPr>
        <w:pStyle w:val="NICCYBodyText"/>
        <w:rPr>
          <w:lang w:val="en-US"/>
        </w:rPr>
      </w:pPr>
      <w:r>
        <w:rPr>
          <w:lang w:val="en-US"/>
        </w:rPr>
        <w:t>Revised procedures on the management of SAIs were published on 1 October 2013 which included</w:t>
      </w:r>
      <w:r w:rsidR="007B2173">
        <w:rPr>
          <w:lang w:val="en-US"/>
        </w:rPr>
        <w:t xml:space="preserve"> </w:t>
      </w:r>
      <w:r>
        <w:rPr>
          <w:lang w:val="en-US"/>
        </w:rPr>
        <w:t>replacing a single investigation process for all SAIs with</w:t>
      </w:r>
      <w:r w:rsidR="004064D7">
        <w:rPr>
          <w:lang w:val="en-US"/>
        </w:rPr>
        <w:t xml:space="preserve"> three levels of investigation.  </w:t>
      </w:r>
      <w:r>
        <w:rPr>
          <w:lang w:val="en-US"/>
        </w:rPr>
        <w:t>The first level of</w:t>
      </w:r>
      <w:r w:rsidR="004064D7">
        <w:rPr>
          <w:lang w:val="en-US"/>
        </w:rPr>
        <w:t xml:space="preserve"> </w:t>
      </w:r>
      <w:r>
        <w:rPr>
          <w:lang w:val="en-US"/>
        </w:rPr>
        <w:t>investigation is the SEA.</w:t>
      </w:r>
      <w:r w:rsidR="004064D7">
        <w:rPr>
          <w:lang w:val="en-US"/>
        </w:rPr>
        <w:t xml:space="preserve">  </w:t>
      </w:r>
      <w:r>
        <w:rPr>
          <w:lang w:val="en-US"/>
        </w:rPr>
        <w:t>Most SAI notifications will be investigated as an SEA with an immediate assessment of what has</w:t>
      </w:r>
      <w:r w:rsidR="004064D7">
        <w:rPr>
          <w:lang w:val="en-US"/>
        </w:rPr>
        <w:t xml:space="preserve"> </w:t>
      </w:r>
      <w:r>
        <w:rPr>
          <w:lang w:val="en-US"/>
        </w:rPr>
        <w:t>happened and why, followed by agreement on follow up actions and any l</w:t>
      </w:r>
      <w:r w:rsidR="004064D7">
        <w:rPr>
          <w:lang w:val="en-US"/>
        </w:rPr>
        <w:t xml:space="preserve">earning identified.  </w:t>
      </w:r>
      <w:r>
        <w:rPr>
          <w:lang w:val="en-US"/>
        </w:rPr>
        <w:t>This will</w:t>
      </w:r>
    </w:p>
    <w:p w:rsidR="00E84839" w:rsidRDefault="00E84839" w:rsidP="007B2173">
      <w:pPr>
        <w:pStyle w:val="NICCYBodyText"/>
        <w:rPr>
          <w:lang w:val="en-US"/>
        </w:rPr>
      </w:pPr>
      <w:r>
        <w:rPr>
          <w:lang w:val="en-US"/>
        </w:rPr>
        <w:t>re</w:t>
      </w:r>
      <w:r w:rsidR="004064D7">
        <w:rPr>
          <w:lang w:val="en-US"/>
        </w:rPr>
        <w:t xml:space="preserve">sult in the closure of The SAI.  </w:t>
      </w:r>
      <w:r>
        <w:rPr>
          <w:lang w:val="en-US"/>
        </w:rPr>
        <w:t>However, if the SEA determines the SAI is more complex and requires a</w:t>
      </w:r>
      <w:r w:rsidR="004064D7">
        <w:rPr>
          <w:lang w:val="en-US"/>
        </w:rPr>
        <w:t xml:space="preserve"> </w:t>
      </w:r>
      <w:r>
        <w:rPr>
          <w:lang w:val="en-US"/>
        </w:rPr>
        <w:t>more detailed investigation, it will be pursued as either a Level 2 or Level 3 investigation.</w:t>
      </w:r>
    </w:p>
    <w:p w:rsidR="004064D7" w:rsidRDefault="004064D7" w:rsidP="007B2173">
      <w:pPr>
        <w:pStyle w:val="NICCYBodyText"/>
        <w:rPr>
          <w:lang w:val="en-US"/>
        </w:rPr>
      </w:pPr>
    </w:p>
    <w:p w:rsidR="00E84839" w:rsidRDefault="00E84839" w:rsidP="007B2173">
      <w:pPr>
        <w:pStyle w:val="NICCYBodyText"/>
        <w:rPr>
          <w:lang w:val="en-US"/>
        </w:rPr>
      </w:pPr>
      <w:r>
        <w:rPr>
          <w:lang w:val="en-US"/>
        </w:rPr>
        <w:t>A copy of the HSCB Procedure for the Reporting and follow up of Serious Adverse Incidents can be</w:t>
      </w:r>
      <w:r w:rsidR="004064D7">
        <w:rPr>
          <w:lang w:val="en-US"/>
        </w:rPr>
        <w:t xml:space="preserve"> </w:t>
      </w:r>
      <w:r>
        <w:rPr>
          <w:lang w:val="en-US"/>
        </w:rPr>
        <w:t>accessed a</w:t>
      </w:r>
      <w:r w:rsidR="004064D7">
        <w:rPr>
          <w:lang w:val="en-US"/>
        </w:rPr>
        <w:t xml:space="preserve">t; </w:t>
      </w:r>
      <w:hyperlink r:id="rId8" w:history="1">
        <w:r w:rsidR="004064D7" w:rsidRPr="00E34202">
          <w:rPr>
            <w:rStyle w:val="Hyperlink"/>
            <w:lang w:val="en-US"/>
          </w:rPr>
          <w:t>http://www.hscboard.hscni.net/publications/Policies/102%20Procedure_for_the_reporting_and_followup_of_Serious_Adverse_Incidents-Oct2013.pdf</w:t>
        </w:r>
      </w:hyperlink>
    </w:p>
    <w:p w:rsidR="004064D7" w:rsidRDefault="004064D7" w:rsidP="007B2173">
      <w:pPr>
        <w:pStyle w:val="NICCYBodyText"/>
        <w:rPr>
          <w:lang w:val="en-US"/>
        </w:rPr>
      </w:pPr>
    </w:p>
    <w:p w:rsidR="004064D7" w:rsidRDefault="004064D7" w:rsidP="004064D7">
      <w:pPr>
        <w:autoSpaceDE w:val="0"/>
        <w:autoSpaceDN w:val="0"/>
        <w:adjustRightInd w:val="0"/>
        <w:rPr>
          <w:rFonts w:ascii="ITCFranklinGothicBook" w:hAnsi="ITCFranklinGothicBook" w:cs="ITCFranklinGothicBook"/>
          <w:sz w:val="20"/>
          <w:szCs w:val="20"/>
          <w:lang w:val="en-US"/>
        </w:rPr>
      </w:pPr>
      <w:hyperlink w:anchor="_top" w:history="1">
        <w:r w:rsidRPr="007715F2">
          <w:rPr>
            <w:rStyle w:val="Hyperlink"/>
          </w:rPr>
          <w:t>Back to Top</w:t>
        </w:r>
      </w:hyperlink>
    </w:p>
    <w:p w:rsidR="004064D7" w:rsidRDefault="004064D7" w:rsidP="007B2173">
      <w:pPr>
        <w:pStyle w:val="NICCYBodyText"/>
        <w:rPr>
          <w:lang w:val="en-US"/>
        </w:rPr>
      </w:pP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4064D7" w:rsidRDefault="004064D7" w:rsidP="00E84839">
      <w:pPr>
        <w:autoSpaceDE w:val="0"/>
        <w:autoSpaceDN w:val="0"/>
        <w:adjustRightInd w:val="0"/>
        <w:rPr>
          <w:rFonts w:ascii="ITCFranklinGothicBook" w:hAnsi="ITCFranklinGothicBook" w:cs="ITCFranklinGothicBook"/>
          <w:sz w:val="20"/>
          <w:szCs w:val="20"/>
          <w:lang w:val="en-US"/>
        </w:rPr>
      </w:pPr>
    </w:p>
    <w:p w:rsidR="00E84839" w:rsidRPr="004064D7" w:rsidRDefault="00E84839" w:rsidP="004064D7">
      <w:pPr>
        <w:pStyle w:val="Heading2"/>
        <w:rPr>
          <w:color w:val="23A4DE"/>
          <w:lang w:val="en-US"/>
        </w:rPr>
      </w:pPr>
      <w:bookmarkStart w:id="21" w:name="_SEA_and_SAI_1"/>
      <w:bookmarkEnd w:id="21"/>
      <w:r w:rsidRPr="004064D7">
        <w:rPr>
          <w:color w:val="23A4DE"/>
          <w:lang w:val="en-US"/>
        </w:rPr>
        <w:lastRenderedPageBreak/>
        <w:t>SEA and SAI Inquiries</w:t>
      </w:r>
    </w:p>
    <w:p w:rsidR="004064D7" w:rsidRDefault="00E84839" w:rsidP="004064D7">
      <w:pPr>
        <w:pStyle w:val="NICCYBodyText"/>
        <w:rPr>
          <w:lang w:val="en-US"/>
        </w:rPr>
      </w:pPr>
      <w:r w:rsidRPr="004064D7">
        <w:rPr>
          <w:rFonts w:ascii="ITCFranklinGothicDemi" w:hAnsi="ITCFranklinGothicDemi" w:cs="ITCFranklinGothicDemi"/>
          <w:b/>
          <w:lang w:val="en-US"/>
        </w:rPr>
        <w:t>Ms S Ramsey</w:t>
      </w:r>
      <w:r>
        <w:rPr>
          <w:rFonts w:ascii="ITCFranklinGothicDemi" w:hAnsi="ITCFranklinGothicDemi" w:cs="ITCFranklinGothicDemi"/>
          <w:lang w:val="en-US"/>
        </w:rPr>
        <w:t xml:space="preserve"> </w:t>
      </w:r>
      <w:r>
        <w:rPr>
          <w:lang w:val="en-US"/>
        </w:rPr>
        <w:t>asked the Minister of Health, Social Services and Public Safety how many (</w:t>
      </w:r>
      <w:proofErr w:type="spellStart"/>
      <w:r>
        <w:rPr>
          <w:lang w:val="en-US"/>
        </w:rPr>
        <w:t>i</w:t>
      </w:r>
      <w:proofErr w:type="spellEnd"/>
      <w:r>
        <w:rPr>
          <w:lang w:val="en-US"/>
        </w:rPr>
        <w:t xml:space="preserve">) SEA; and </w:t>
      </w:r>
    </w:p>
    <w:p w:rsidR="00E84839" w:rsidRDefault="00E84839" w:rsidP="004064D7">
      <w:pPr>
        <w:pStyle w:val="NICCYBodyText"/>
        <w:rPr>
          <w:lang w:val="en-US"/>
        </w:rPr>
      </w:pPr>
      <w:r>
        <w:rPr>
          <w:lang w:val="en-US"/>
        </w:rPr>
        <w:t>(ii)</w:t>
      </w:r>
      <w:r w:rsidR="004064D7">
        <w:rPr>
          <w:lang w:val="en-US"/>
        </w:rPr>
        <w:t xml:space="preserve"> </w:t>
      </w:r>
      <w:r>
        <w:rPr>
          <w:lang w:val="en-US"/>
        </w:rPr>
        <w:t>SAI inquiries are currently taking place in each Health and Social Care Trust; and how many have taken</w:t>
      </w:r>
      <w:r w:rsidR="004064D7">
        <w:rPr>
          <w:lang w:val="en-US"/>
        </w:rPr>
        <w:t xml:space="preserve"> </w:t>
      </w:r>
      <w:r>
        <w:rPr>
          <w:lang w:val="en-US"/>
        </w:rPr>
        <w:t>place over the last two years.</w:t>
      </w:r>
    </w:p>
    <w:p w:rsidR="00E84839" w:rsidRDefault="00E84839"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(AQW 34940/11-15)</w:t>
      </w:r>
    </w:p>
    <w:p w:rsidR="004064D7" w:rsidRDefault="004064D7" w:rsidP="004064D7">
      <w:pPr>
        <w:pStyle w:val="NICCYBodyText"/>
        <w:rPr>
          <w:rFonts w:ascii="ITCFranklinGothicDemi" w:hAnsi="ITCFranklinGothicDemi" w:cs="ITCFranklinGothicDemi"/>
          <w:lang w:val="en-US"/>
        </w:rPr>
      </w:pPr>
    </w:p>
    <w:p w:rsidR="00E84839" w:rsidRDefault="00E84839" w:rsidP="004064D7">
      <w:pPr>
        <w:pStyle w:val="NICCYBodyText"/>
        <w:rPr>
          <w:lang w:val="en-US"/>
        </w:rPr>
      </w:pPr>
      <w:r w:rsidRPr="004064D7">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Revised procedures on the management of Serious Adverse Incidents (SAIs) were published</w:t>
      </w:r>
      <w:r w:rsidR="004064D7">
        <w:rPr>
          <w:lang w:val="en-US"/>
        </w:rPr>
        <w:t xml:space="preserve"> </w:t>
      </w:r>
      <w:r>
        <w:rPr>
          <w:lang w:val="en-US"/>
        </w:rPr>
        <w:t>on 1 October 2013 which included replacing a single investigation process for all (SAIs) with three</w:t>
      </w:r>
      <w:r w:rsidR="004064D7">
        <w:rPr>
          <w:lang w:val="en-US"/>
        </w:rPr>
        <w:t xml:space="preserve"> levels of investigation.  </w:t>
      </w:r>
      <w:r>
        <w:rPr>
          <w:lang w:val="en-US"/>
        </w:rPr>
        <w:t>The first level of investigation is the Serious Event Audit (SEA).</w:t>
      </w:r>
      <w:r w:rsidR="004064D7">
        <w:rPr>
          <w:lang w:val="en-US"/>
        </w:rPr>
        <w:t xml:space="preserve">  </w:t>
      </w:r>
      <w:r>
        <w:rPr>
          <w:lang w:val="en-US"/>
        </w:rPr>
        <w:t>A copy of the revised procedure can be accessed at -</w:t>
      </w:r>
    </w:p>
    <w:p w:rsidR="00E84839" w:rsidRDefault="004064D7" w:rsidP="004064D7">
      <w:pPr>
        <w:pStyle w:val="NICCYBodyText"/>
        <w:rPr>
          <w:lang w:val="en-US"/>
        </w:rPr>
      </w:pPr>
      <w:hyperlink r:id="rId9" w:history="1">
        <w:r w:rsidRPr="00E34202">
          <w:rPr>
            <w:rStyle w:val="Hyperlink"/>
            <w:lang w:val="en-US"/>
          </w:rPr>
          <w:t>http://www.hscboard.hscni.net/publications/Policies/102%20Procedure_for_the_reporting_and_followup_of_Serious_Adverse_Incidents-Oct2013.pdf</w:t>
        </w:r>
      </w:hyperlink>
    </w:p>
    <w:p w:rsidR="004064D7" w:rsidRDefault="004064D7" w:rsidP="004064D7">
      <w:pPr>
        <w:pStyle w:val="NICCYBodyText"/>
        <w:rPr>
          <w:lang w:val="en-US"/>
        </w:rPr>
      </w:pPr>
    </w:p>
    <w:p w:rsidR="004064D7" w:rsidRDefault="00E84839" w:rsidP="004064D7">
      <w:pPr>
        <w:pStyle w:val="NICCYBodyText"/>
        <w:rPr>
          <w:lang w:val="en-US"/>
        </w:rPr>
      </w:pPr>
      <w:r>
        <w:rPr>
          <w:lang w:val="en-US"/>
        </w:rPr>
        <w:t>Information on the number of SAI and SEA investigations which are currently being carried out by Trusts</w:t>
      </w:r>
      <w:r w:rsidR="004064D7">
        <w:rPr>
          <w:lang w:val="en-US"/>
        </w:rPr>
        <w:t xml:space="preserve"> </w:t>
      </w:r>
      <w:r>
        <w:rPr>
          <w:lang w:val="en-US"/>
        </w:rPr>
        <w:t>is outlined in the table below.</w:t>
      </w:r>
    </w:p>
    <w:p w:rsidR="004064D7" w:rsidRDefault="004064D7" w:rsidP="004064D7">
      <w:pPr>
        <w:pStyle w:val="NICCYBodyText"/>
        <w:rPr>
          <w:lang w:val="en-US"/>
        </w:rPr>
      </w:pPr>
    </w:p>
    <w:tbl>
      <w:tblPr>
        <w:tblStyle w:val="TableGrid"/>
        <w:tblW w:w="0" w:type="auto"/>
        <w:tblLook w:val="04A0"/>
      </w:tblPr>
      <w:tblGrid>
        <w:gridCol w:w="3282"/>
        <w:gridCol w:w="3283"/>
        <w:gridCol w:w="3283"/>
      </w:tblGrid>
      <w:tr w:rsidR="004064D7" w:rsidTr="004064D7">
        <w:tc>
          <w:tcPr>
            <w:tcW w:w="3282" w:type="dxa"/>
          </w:tcPr>
          <w:p w:rsidR="004064D7" w:rsidRDefault="004064D7" w:rsidP="004064D7">
            <w:pPr>
              <w:pStyle w:val="NICCYBodyText"/>
              <w:rPr>
                <w:lang w:val="en-US"/>
              </w:rPr>
            </w:pPr>
            <w:r>
              <w:rPr>
                <w:lang w:val="en-US"/>
              </w:rPr>
              <w:t>Trusts</w:t>
            </w:r>
          </w:p>
        </w:tc>
        <w:tc>
          <w:tcPr>
            <w:tcW w:w="3283" w:type="dxa"/>
          </w:tcPr>
          <w:p w:rsidR="004064D7" w:rsidRDefault="004064D7" w:rsidP="004064D7">
            <w:pPr>
              <w:pStyle w:val="NICCYBodyText"/>
              <w:rPr>
                <w:lang w:val="en-US"/>
              </w:rPr>
            </w:pPr>
            <w:r>
              <w:rPr>
                <w:lang w:val="en-US"/>
              </w:rPr>
              <w:t>Total no of current SAI investigations including SEAs</w:t>
            </w:r>
          </w:p>
        </w:tc>
        <w:tc>
          <w:tcPr>
            <w:tcW w:w="3283" w:type="dxa"/>
          </w:tcPr>
          <w:p w:rsidR="004064D7" w:rsidRDefault="004064D7" w:rsidP="004064D7">
            <w:pPr>
              <w:pStyle w:val="NICCYBodyText"/>
              <w:rPr>
                <w:lang w:val="en-US"/>
              </w:rPr>
            </w:pPr>
            <w:r>
              <w:rPr>
                <w:lang w:val="en-US"/>
              </w:rPr>
              <w:t>*No of SEA investigations</w:t>
            </w:r>
          </w:p>
        </w:tc>
      </w:tr>
      <w:tr w:rsidR="004064D7" w:rsidTr="004064D7">
        <w:tc>
          <w:tcPr>
            <w:tcW w:w="3282" w:type="dxa"/>
          </w:tcPr>
          <w:p w:rsidR="004064D7" w:rsidRDefault="004064D7" w:rsidP="004064D7">
            <w:pPr>
              <w:pStyle w:val="NICCYBodyText"/>
              <w:rPr>
                <w:lang w:val="en-US"/>
              </w:rPr>
            </w:pPr>
            <w:r>
              <w:rPr>
                <w:lang w:val="en-US"/>
              </w:rPr>
              <w:t>BHSCT</w:t>
            </w:r>
          </w:p>
        </w:tc>
        <w:tc>
          <w:tcPr>
            <w:tcW w:w="3283" w:type="dxa"/>
          </w:tcPr>
          <w:p w:rsidR="004064D7" w:rsidRDefault="004064D7" w:rsidP="004064D7">
            <w:pPr>
              <w:pStyle w:val="NICCYBodyText"/>
              <w:rPr>
                <w:lang w:val="en-US"/>
              </w:rPr>
            </w:pPr>
            <w:r>
              <w:rPr>
                <w:lang w:val="en-US"/>
              </w:rPr>
              <w:t>119</w:t>
            </w:r>
          </w:p>
        </w:tc>
        <w:tc>
          <w:tcPr>
            <w:tcW w:w="3283" w:type="dxa"/>
          </w:tcPr>
          <w:p w:rsidR="004064D7" w:rsidRDefault="004064D7" w:rsidP="004064D7">
            <w:pPr>
              <w:pStyle w:val="NICCYBodyText"/>
              <w:rPr>
                <w:lang w:val="en-US"/>
              </w:rPr>
            </w:pPr>
            <w:r>
              <w:rPr>
                <w:lang w:val="en-US"/>
              </w:rPr>
              <w:t>49</w:t>
            </w:r>
          </w:p>
        </w:tc>
      </w:tr>
      <w:tr w:rsidR="004064D7" w:rsidTr="004064D7">
        <w:tc>
          <w:tcPr>
            <w:tcW w:w="3282" w:type="dxa"/>
          </w:tcPr>
          <w:p w:rsidR="004064D7" w:rsidRDefault="004064D7" w:rsidP="004064D7">
            <w:pPr>
              <w:pStyle w:val="NICCYBodyText"/>
              <w:rPr>
                <w:lang w:val="en-US"/>
              </w:rPr>
            </w:pPr>
            <w:r>
              <w:rPr>
                <w:lang w:val="en-US"/>
              </w:rPr>
              <w:t>NHSCT</w:t>
            </w:r>
          </w:p>
        </w:tc>
        <w:tc>
          <w:tcPr>
            <w:tcW w:w="3283" w:type="dxa"/>
          </w:tcPr>
          <w:p w:rsidR="004064D7" w:rsidRDefault="004064D7" w:rsidP="004064D7">
            <w:pPr>
              <w:pStyle w:val="NICCYBodyText"/>
              <w:rPr>
                <w:lang w:val="en-US"/>
              </w:rPr>
            </w:pPr>
            <w:r>
              <w:rPr>
                <w:lang w:val="en-US"/>
              </w:rPr>
              <w:t>185</w:t>
            </w:r>
          </w:p>
        </w:tc>
        <w:tc>
          <w:tcPr>
            <w:tcW w:w="3283" w:type="dxa"/>
          </w:tcPr>
          <w:p w:rsidR="004064D7" w:rsidRDefault="004064D7" w:rsidP="004064D7">
            <w:pPr>
              <w:pStyle w:val="NICCYBodyText"/>
              <w:rPr>
                <w:lang w:val="en-US"/>
              </w:rPr>
            </w:pPr>
            <w:r>
              <w:rPr>
                <w:lang w:val="en-US"/>
              </w:rPr>
              <w:t>64</w:t>
            </w:r>
          </w:p>
        </w:tc>
      </w:tr>
      <w:tr w:rsidR="004064D7" w:rsidTr="004064D7">
        <w:tc>
          <w:tcPr>
            <w:tcW w:w="3282" w:type="dxa"/>
          </w:tcPr>
          <w:p w:rsidR="004064D7" w:rsidRDefault="004064D7" w:rsidP="004064D7">
            <w:pPr>
              <w:pStyle w:val="NICCYBodyText"/>
              <w:rPr>
                <w:lang w:val="en-US"/>
              </w:rPr>
            </w:pPr>
            <w:r>
              <w:rPr>
                <w:lang w:val="en-US"/>
              </w:rPr>
              <w:t>NIAS</w:t>
            </w:r>
          </w:p>
        </w:tc>
        <w:tc>
          <w:tcPr>
            <w:tcW w:w="3283" w:type="dxa"/>
          </w:tcPr>
          <w:p w:rsidR="004064D7" w:rsidRDefault="004064D7" w:rsidP="004064D7">
            <w:pPr>
              <w:pStyle w:val="NICCYBodyText"/>
              <w:rPr>
                <w:lang w:val="en-US"/>
              </w:rPr>
            </w:pPr>
            <w:r>
              <w:rPr>
                <w:lang w:val="en-US"/>
              </w:rPr>
              <w:t>2</w:t>
            </w:r>
          </w:p>
        </w:tc>
        <w:tc>
          <w:tcPr>
            <w:tcW w:w="3283" w:type="dxa"/>
          </w:tcPr>
          <w:p w:rsidR="004064D7" w:rsidRDefault="004064D7" w:rsidP="004064D7">
            <w:pPr>
              <w:pStyle w:val="NICCYBodyText"/>
              <w:rPr>
                <w:lang w:val="en-US"/>
              </w:rPr>
            </w:pPr>
            <w:r>
              <w:rPr>
                <w:lang w:val="en-US"/>
              </w:rPr>
              <w:t>1</w:t>
            </w:r>
          </w:p>
        </w:tc>
      </w:tr>
      <w:tr w:rsidR="004064D7" w:rsidTr="004064D7">
        <w:tc>
          <w:tcPr>
            <w:tcW w:w="3282" w:type="dxa"/>
          </w:tcPr>
          <w:p w:rsidR="004064D7" w:rsidRDefault="004064D7" w:rsidP="004064D7">
            <w:pPr>
              <w:pStyle w:val="NICCYBodyText"/>
              <w:rPr>
                <w:lang w:val="en-US"/>
              </w:rPr>
            </w:pPr>
            <w:r>
              <w:rPr>
                <w:lang w:val="en-US"/>
              </w:rPr>
              <w:t>SEHSCT</w:t>
            </w:r>
          </w:p>
        </w:tc>
        <w:tc>
          <w:tcPr>
            <w:tcW w:w="3283" w:type="dxa"/>
          </w:tcPr>
          <w:p w:rsidR="004064D7" w:rsidRDefault="004064D7" w:rsidP="004064D7">
            <w:pPr>
              <w:pStyle w:val="NICCYBodyText"/>
              <w:rPr>
                <w:lang w:val="en-US"/>
              </w:rPr>
            </w:pPr>
            <w:r>
              <w:rPr>
                <w:lang w:val="en-US"/>
              </w:rPr>
              <w:t>72</w:t>
            </w:r>
          </w:p>
        </w:tc>
        <w:tc>
          <w:tcPr>
            <w:tcW w:w="3283" w:type="dxa"/>
          </w:tcPr>
          <w:p w:rsidR="004064D7" w:rsidRDefault="004064D7" w:rsidP="004064D7">
            <w:pPr>
              <w:pStyle w:val="NICCYBodyText"/>
              <w:rPr>
                <w:lang w:val="en-US"/>
              </w:rPr>
            </w:pPr>
            <w:r>
              <w:rPr>
                <w:lang w:val="en-US"/>
              </w:rPr>
              <w:t>25</w:t>
            </w:r>
          </w:p>
        </w:tc>
      </w:tr>
      <w:tr w:rsidR="004064D7" w:rsidTr="004064D7">
        <w:tc>
          <w:tcPr>
            <w:tcW w:w="3282" w:type="dxa"/>
          </w:tcPr>
          <w:p w:rsidR="004064D7" w:rsidRDefault="004064D7" w:rsidP="004064D7">
            <w:pPr>
              <w:pStyle w:val="NICCYBodyText"/>
              <w:rPr>
                <w:lang w:val="en-US"/>
              </w:rPr>
            </w:pPr>
            <w:r>
              <w:rPr>
                <w:lang w:val="en-US"/>
              </w:rPr>
              <w:t>SHSCT</w:t>
            </w:r>
          </w:p>
        </w:tc>
        <w:tc>
          <w:tcPr>
            <w:tcW w:w="3283" w:type="dxa"/>
          </w:tcPr>
          <w:p w:rsidR="004064D7" w:rsidRDefault="004064D7" w:rsidP="004064D7">
            <w:pPr>
              <w:pStyle w:val="NICCYBodyText"/>
              <w:rPr>
                <w:lang w:val="en-US"/>
              </w:rPr>
            </w:pPr>
            <w:r>
              <w:rPr>
                <w:lang w:val="en-US"/>
              </w:rPr>
              <w:t>72</w:t>
            </w:r>
          </w:p>
        </w:tc>
        <w:tc>
          <w:tcPr>
            <w:tcW w:w="3283" w:type="dxa"/>
          </w:tcPr>
          <w:p w:rsidR="004064D7" w:rsidRDefault="004064D7" w:rsidP="004064D7">
            <w:pPr>
              <w:pStyle w:val="NICCYBodyText"/>
              <w:rPr>
                <w:lang w:val="en-US"/>
              </w:rPr>
            </w:pPr>
            <w:r>
              <w:rPr>
                <w:lang w:val="en-US"/>
              </w:rPr>
              <w:t>29</w:t>
            </w:r>
          </w:p>
        </w:tc>
      </w:tr>
      <w:tr w:rsidR="004064D7" w:rsidTr="004064D7">
        <w:tc>
          <w:tcPr>
            <w:tcW w:w="3282" w:type="dxa"/>
          </w:tcPr>
          <w:p w:rsidR="004064D7" w:rsidRDefault="004064D7" w:rsidP="004064D7">
            <w:pPr>
              <w:pStyle w:val="NICCYBodyText"/>
              <w:rPr>
                <w:lang w:val="en-US"/>
              </w:rPr>
            </w:pPr>
            <w:r>
              <w:rPr>
                <w:lang w:val="en-US"/>
              </w:rPr>
              <w:t>WHSCT</w:t>
            </w:r>
          </w:p>
        </w:tc>
        <w:tc>
          <w:tcPr>
            <w:tcW w:w="3283" w:type="dxa"/>
          </w:tcPr>
          <w:p w:rsidR="004064D7" w:rsidRDefault="004064D7" w:rsidP="004064D7">
            <w:pPr>
              <w:pStyle w:val="NICCYBodyText"/>
              <w:rPr>
                <w:lang w:val="en-US"/>
              </w:rPr>
            </w:pPr>
            <w:r>
              <w:rPr>
                <w:lang w:val="en-US"/>
              </w:rPr>
              <w:t>78</w:t>
            </w:r>
          </w:p>
        </w:tc>
        <w:tc>
          <w:tcPr>
            <w:tcW w:w="3283" w:type="dxa"/>
          </w:tcPr>
          <w:p w:rsidR="004064D7" w:rsidRDefault="004064D7" w:rsidP="004064D7">
            <w:pPr>
              <w:pStyle w:val="NICCYBodyText"/>
              <w:rPr>
                <w:lang w:val="en-US"/>
              </w:rPr>
            </w:pPr>
            <w:r>
              <w:rPr>
                <w:lang w:val="en-US"/>
              </w:rPr>
              <w:t>16</w:t>
            </w:r>
          </w:p>
        </w:tc>
      </w:tr>
      <w:tr w:rsidR="004064D7" w:rsidTr="004064D7">
        <w:tc>
          <w:tcPr>
            <w:tcW w:w="3282" w:type="dxa"/>
          </w:tcPr>
          <w:p w:rsidR="004064D7" w:rsidRPr="004064D7" w:rsidRDefault="004064D7" w:rsidP="004064D7">
            <w:pPr>
              <w:pStyle w:val="NICCYBodyText"/>
              <w:rPr>
                <w:b/>
                <w:lang w:val="en-US"/>
              </w:rPr>
            </w:pPr>
            <w:r w:rsidRPr="004064D7">
              <w:rPr>
                <w:b/>
                <w:lang w:val="en-US"/>
              </w:rPr>
              <w:t>Totals</w:t>
            </w:r>
          </w:p>
        </w:tc>
        <w:tc>
          <w:tcPr>
            <w:tcW w:w="3283" w:type="dxa"/>
          </w:tcPr>
          <w:p w:rsidR="004064D7" w:rsidRPr="004064D7" w:rsidRDefault="004064D7" w:rsidP="004064D7">
            <w:pPr>
              <w:pStyle w:val="NICCYBodyText"/>
              <w:rPr>
                <w:b/>
                <w:lang w:val="en-US"/>
              </w:rPr>
            </w:pPr>
            <w:r w:rsidRPr="004064D7">
              <w:rPr>
                <w:b/>
                <w:lang w:val="en-US"/>
              </w:rPr>
              <w:t>528</w:t>
            </w:r>
          </w:p>
        </w:tc>
        <w:tc>
          <w:tcPr>
            <w:tcW w:w="3283" w:type="dxa"/>
          </w:tcPr>
          <w:p w:rsidR="004064D7" w:rsidRPr="004064D7" w:rsidRDefault="004064D7" w:rsidP="004064D7">
            <w:pPr>
              <w:pStyle w:val="NICCYBodyText"/>
              <w:rPr>
                <w:b/>
                <w:lang w:val="en-US"/>
              </w:rPr>
            </w:pPr>
            <w:r w:rsidRPr="004064D7">
              <w:rPr>
                <w:b/>
                <w:lang w:val="en-US"/>
              </w:rPr>
              <w:t>184</w:t>
            </w:r>
          </w:p>
        </w:tc>
      </w:tr>
    </w:tbl>
    <w:p w:rsidR="00E84839" w:rsidRDefault="00E84839" w:rsidP="00E84839">
      <w:pPr>
        <w:autoSpaceDE w:val="0"/>
        <w:autoSpaceDN w:val="0"/>
        <w:adjustRightInd w:val="0"/>
        <w:rPr>
          <w:rFonts w:ascii="ITCFranklinGothicDemi" w:hAnsi="ITCFranklinGothicDemi" w:cs="ITCFranklinGothicDemi"/>
          <w:sz w:val="20"/>
          <w:szCs w:val="20"/>
          <w:lang w:val="en-US"/>
        </w:rPr>
      </w:pPr>
    </w:p>
    <w:p w:rsidR="00E84839" w:rsidRPr="0049756B" w:rsidRDefault="00E84839" w:rsidP="004064D7">
      <w:pPr>
        <w:pStyle w:val="NICCYBodyText"/>
        <w:rPr>
          <w:sz w:val="20"/>
          <w:szCs w:val="20"/>
          <w:lang w:val="en-US"/>
        </w:rPr>
      </w:pPr>
      <w:r w:rsidRPr="0049756B">
        <w:rPr>
          <w:sz w:val="20"/>
          <w:szCs w:val="20"/>
          <w:lang w:val="en-US"/>
        </w:rPr>
        <w:t>*Information on the number of SEA investigations is only available from 1 October 2013.</w:t>
      </w:r>
    </w:p>
    <w:p w:rsidR="0049756B" w:rsidRDefault="0049756B" w:rsidP="0049756B">
      <w:pPr>
        <w:pStyle w:val="NICCYBodyText"/>
      </w:pPr>
    </w:p>
    <w:p w:rsidR="0049756B" w:rsidRDefault="0049756B" w:rsidP="0049756B">
      <w:pPr>
        <w:pStyle w:val="NICCYBodyText"/>
      </w:pPr>
    </w:p>
    <w:p w:rsidR="00157446" w:rsidRDefault="00157446" w:rsidP="0049756B">
      <w:pPr>
        <w:pStyle w:val="NICCYBodyText"/>
      </w:pPr>
    </w:p>
    <w:p w:rsidR="00157446" w:rsidRDefault="00157446" w:rsidP="0049756B">
      <w:pPr>
        <w:pStyle w:val="NICCYBodyText"/>
      </w:pPr>
    </w:p>
    <w:p w:rsidR="00157446" w:rsidRDefault="00157446" w:rsidP="0049756B">
      <w:pPr>
        <w:pStyle w:val="NICCYBodyText"/>
      </w:pPr>
    </w:p>
    <w:p w:rsidR="00157446" w:rsidRDefault="00157446" w:rsidP="0049756B">
      <w:pPr>
        <w:pStyle w:val="NICCYBodyText"/>
      </w:pPr>
    </w:p>
    <w:p w:rsidR="0049756B" w:rsidRDefault="0049756B" w:rsidP="004064D7">
      <w:pPr>
        <w:pStyle w:val="NICCYBodyText"/>
      </w:pPr>
    </w:p>
    <w:p w:rsidR="00E84839" w:rsidRPr="0049756B" w:rsidRDefault="00E84839" w:rsidP="004064D7">
      <w:pPr>
        <w:pStyle w:val="NICCYBodyText"/>
      </w:pPr>
      <w:r w:rsidRPr="0049756B">
        <w:lastRenderedPageBreak/>
        <w:t>The total number of SAI inquiries, including SEAs that have taken place in each Trust during the period</w:t>
      </w:r>
      <w:r w:rsidR="0049756B">
        <w:t xml:space="preserve"> </w:t>
      </w:r>
      <w:r>
        <w:rPr>
          <w:lang w:val="en-US"/>
        </w:rPr>
        <w:t>1 January 2012 to 31 December 2013 is outlined below.</w:t>
      </w:r>
    </w:p>
    <w:p w:rsidR="0049756B" w:rsidRDefault="0049756B" w:rsidP="004064D7">
      <w:pPr>
        <w:pStyle w:val="NICCYBodyText"/>
        <w:rPr>
          <w:rFonts w:ascii="ITCFranklinGothicDemi" w:hAnsi="ITCFranklinGothicDemi" w:cs="ITCFranklinGothicDemi"/>
          <w:lang w:val="en-US"/>
        </w:rPr>
      </w:pPr>
    </w:p>
    <w:tbl>
      <w:tblPr>
        <w:tblStyle w:val="TableGrid"/>
        <w:tblW w:w="0" w:type="auto"/>
        <w:tblLook w:val="04A0"/>
      </w:tblPr>
      <w:tblGrid>
        <w:gridCol w:w="1526"/>
        <w:gridCol w:w="2268"/>
        <w:gridCol w:w="2551"/>
        <w:gridCol w:w="2127"/>
        <w:gridCol w:w="1376"/>
      </w:tblGrid>
      <w:tr w:rsidR="0049756B" w:rsidTr="0049756B">
        <w:tc>
          <w:tcPr>
            <w:tcW w:w="1526" w:type="dxa"/>
          </w:tcPr>
          <w:p w:rsidR="0049756B" w:rsidRDefault="0049756B" w:rsidP="004064D7">
            <w:pPr>
              <w:pStyle w:val="NICCYBodyText"/>
              <w:rPr>
                <w:rFonts w:ascii="ITCFranklinGothicDemi" w:hAnsi="ITCFranklinGothicDemi" w:cs="ITCFranklinGothicDemi"/>
                <w:lang w:val="en-US"/>
              </w:rPr>
            </w:pPr>
          </w:p>
        </w:tc>
        <w:tc>
          <w:tcPr>
            <w:tcW w:w="2268" w:type="dxa"/>
          </w:tcPr>
          <w:p w:rsidR="0049756B" w:rsidRPr="0049756B" w:rsidRDefault="0049756B" w:rsidP="004064D7">
            <w:pPr>
              <w:pStyle w:val="NICCYBodyText"/>
              <w:rPr>
                <w:rFonts w:ascii="ITCFranklinGothicDemi" w:hAnsi="ITCFranklinGothicDemi" w:cs="ITCFranklinGothicDemi"/>
                <w:b/>
                <w:lang w:val="en-US"/>
              </w:rPr>
            </w:pPr>
            <w:r w:rsidRPr="0049756B">
              <w:rPr>
                <w:rFonts w:ascii="ITCFranklinGothicDemi" w:hAnsi="ITCFranklinGothicDemi" w:cs="ITCFranklinGothicDemi"/>
                <w:b/>
                <w:lang w:val="en-US"/>
              </w:rPr>
              <w:t>Total no of SAI Investigations 1/1/12 – 31/12/12</w:t>
            </w:r>
          </w:p>
        </w:tc>
        <w:tc>
          <w:tcPr>
            <w:tcW w:w="2551" w:type="dxa"/>
          </w:tcPr>
          <w:p w:rsidR="0049756B" w:rsidRPr="0049756B" w:rsidRDefault="0049756B" w:rsidP="004064D7">
            <w:pPr>
              <w:pStyle w:val="NICCYBodyText"/>
              <w:rPr>
                <w:rFonts w:ascii="ITCFranklinGothicDemi" w:hAnsi="ITCFranklinGothicDemi" w:cs="ITCFranklinGothicDemi"/>
                <w:b/>
                <w:lang w:val="en-US"/>
              </w:rPr>
            </w:pPr>
            <w:r w:rsidRPr="0049756B">
              <w:rPr>
                <w:rFonts w:ascii="ITCFranklinGothicDemi" w:hAnsi="ITCFranklinGothicDemi" w:cs="ITCFranklinGothicDemi"/>
                <w:b/>
                <w:lang w:val="en-US"/>
              </w:rPr>
              <w:t>Total no of SAI investigations including SEAs 1/1/13 – 31/12/13</w:t>
            </w:r>
          </w:p>
        </w:tc>
        <w:tc>
          <w:tcPr>
            <w:tcW w:w="2127" w:type="dxa"/>
          </w:tcPr>
          <w:p w:rsidR="0049756B" w:rsidRPr="0049756B" w:rsidRDefault="0049756B" w:rsidP="004064D7">
            <w:pPr>
              <w:pStyle w:val="NICCYBodyText"/>
              <w:rPr>
                <w:rFonts w:ascii="ITCFranklinGothicDemi" w:hAnsi="ITCFranklinGothicDemi" w:cs="ITCFranklinGothicDemi"/>
                <w:b/>
                <w:lang w:val="en-US"/>
              </w:rPr>
            </w:pPr>
            <w:r w:rsidRPr="0049756B">
              <w:rPr>
                <w:rFonts w:ascii="ITCFranklinGothicDemi" w:hAnsi="ITCFranklinGothicDemi" w:cs="ITCFranklinGothicDemi"/>
                <w:b/>
                <w:lang w:val="en-US"/>
              </w:rPr>
              <w:t>*No of SEAs 1/1/0/13 – 31/12/13</w:t>
            </w:r>
          </w:p>
        </w:tc>
        <w:tc>
          <w:tcPr>
            <w:tcW w:w="1376" w:type="dxa"/>
          </w:tcPr>
          <w:p w:rsidR="0049756B" w:rsidRPr="0049756B" w:rsidRDefault="0049756B" w:rsidP="004064D7">
            <w:pPr>
              <w:pStyle w:val="NICCYBodyText"/>
              <w:rPr>
                <w:rFonts w:ascii="ITCFranklinGothicDemi" w:hAnsi="ITCFranklinGothicDemi" w:cs="ITCFranklinGothicDemi"/>
                <w:b/>
                <w:lang w:val="en-US"/>
              </w:rPr>
            </w:pPr>
            <w:r w:rsidRPr="0049756B">
              <w:rPr>
                <w:rFonts w:ascii="ITCFranklinGothicDemi" w:hAnsi="ITCFranklinGothicDemi" w:cs="ITCFranklinGothicDemi"/>
                <w:b/>
                <w:lang w:val="en-US"/>
              </w:rPr>
              <w:t>Total</w:t>
            </w:r>
          </w:p>
        </w:tc>
      </w:tr>
      <w:tr w:rsidR="0049756B" w:rsidTr="0049756B">
        <w:tc>
          <w:tcPr>
            <w:tcW w:w="152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BHSCT</w:t>
            </w:r>
          </w:p>
        </w:tc>
        <w:tc>
          <w:tcPr>
            <w:tcW w:w="2268"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77</w:t>
            </w:r>
          </w:p>
        </w:tc>
        <w:tc>
          <w:tcPr>
            <w:tcW w:w="2551"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84</w:t>
            </w:r>
          </w:p>
        </w:tc>
        <w:tc>
          <w:tcPr>
            <w:tcW w:w="2127"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19</w:t>
            </w:r>
          </w:p>
        </w:tc>
        <w:tc>
          <w:tcPr>
            <w:tcW w:w="137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161</w:t>
            </w:r>
          </w:p>
        </w:tc>
      </w:tr>
      <w:tr w:rsidR="0049756B" w:rsidTr="0049756B">
        <w:tc>
          <w:tcPr>
            <w:tcW w:w="152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NHSCT</w:t>
            </w:r>
          </w:p>
        </w:tc>
        <w:tc>
          <w:tcPr>
            <w:tcW w:w="2268"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63</w:t>
            </w:r>
          </w:p>
        </w:tc>
        <w:tc>
          <w:tcPr>
            <w:tcW w:w="2551"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130</w:t>
            </w:r>
          </w:p>
        </w:tc>
        <w:tc>
          <w:tcPr>
            <w:tcW w:w="2127"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19</w:t>
            </w:r>
          </w:p>
        </w:tc>
        <w:tc>
          <w:tcPr>
            <w:tcW w:w="137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193</w:t>
            </w:r>
          </w:p>
        </w:tc>
      </w:tr>
      <w:tr w:rsidR="0049756B" w:rsidTr="0049756B">
        <w:tc>
          <w:tcPr>
            <w:tcW w:w="152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NIAS</w:t>
            </w:r>
          </w:p>
        </w:tc>
        <w:tc>
          <w:tcPr>
            <w:tcW w:w="2268"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4</w:t>
            </w:r>
          </w:p>
        </w:tc>
        <w:tc>
          <w:tcPr>
            <w:tcW w:w="2551"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3</w:t>
            </w:r>
          </w:p>
        </w:tc>
        <w:tc>
          <w:tcPr>
            <w:tcW w:w="2127"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0</w:t>
            </w:r>
          </w:p>
        </w:tc>
        <w:tc>
          <w:tcPr>
            <w:tcW w:w="137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7</w:t>
            </w:r>
          </w:p>
        </w:tc>
      </w:tr>
      <w:tr w:rsidR="0049756B" w:rsidTr="0049756B">
        <w:tc>
          <w:tcPr>
            <w:tcW w:w="152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SEHSCT</w:t>
            </w:r>
          </w:p>
        </w:tc>
        <w:tc>
          <w:tcPr>
            <w:tcW w:w="2268"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47</w:t>
            </w:r>
          </w:p>
        </w:tc>
        <w:tc>
          <w:tcPr>
            <w:tcW w:w="2551"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57</w:t>
            </w:r>
          </w:p>
        </w:tc>
        <w:tc>
          <w:tcPr>
            <w:tcW w:w="2127"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6</w:t>
            </w:r>
          </w:p>
        </w:tc>
        <w:tc>
          <w:tcPr>
            <w:tcW w:w="137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104</w:t>
            </w:r>
          </w:p>
        </w:tc>
      </w:tr>
      <w:tr w:rsidR="0049756B" w:rsidTr="0049756B">
        <w:tc>
          <w:tcPr>
            <w:tcW w:w="152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SHSCT</w:t>
            </w:r>
          </w:p>
        </w:tc>
        <w:tc>
          <w:tcPr>
            <w:tcW w:w="2268"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41</w:t>
            </w:r>
          </w:p>
        </w:tc>
        <w:tc>
          <w:tcPr>
            <w:tcW w:w="2551"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57</w:t>
            </w:r>
          </w:p>
        </w:tc>
        <w:tc>
          <w:tcPr>
            <w:tcW w:w="2127"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9</w:t>
            </w:r>
          </w:p>
        </w:tc>
        <w:tc>
          <w:tcPr>
            <w:tcW w:w="137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98</w:t>
            </w:r>
          </w:p>
        </w:tc>
      </w:tr>
      <w:tr w:rsidR="0049756B" w:rsidTr="0049756B">
        <w:tc>
          <w:tcPr>
            <w:tcW w:w="152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WHSCT</w:t>
            </w:r>
          </w:p>
        </w:tc>
        <w:tc>
          <w:tcPr>
            <w:tcW w:w="2268"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37</w:t>
            </w:r>
          </w:p>
        </w:tc>
        <w:tc>
          <w:tcPr>
            <w:tcW w:w="2551"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53</w:t>
            </w:r>
          </w:p>
        </w:tc>
        <w:tc>
          <w:tcPr>
            <w:tcW w:w="2127"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4</w:t>
            </w:r>
          </w:p>
        </w:tc>
        <w:tc>
          <w:tcPr>
            <w:tcW w:w="137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90</w:t>
            </w:r>
          </w:p>
        </w:tc>
      </w:tr>
      <w:tr w:rsidR="0049756B" w:rsidTr="0049756B">
        <w:tc>
          <w:tcPr>
            <w:tcW w:w="1526" w:type="dxa"/>
          </w:tcPr>
          <w:p w:rsidR="0049756B" w:rsidRPr="0049756B" w:rsidRDefault="0049756B" w:rsidP="004064D7">
            <w:pPr>
              <w:pStyle w:val="NICCYBodyText"/>
              <w:rPr>
                <w:rFonts w:ascii="ITCFranklinGothicDemi" w:hAnsi="ITCFranklinGothicDemi" w:cs="ITCFranklinGothicDemi"/>
                <w:b/>
                <w:lang w:val="en-US"/>
              </w:rPr>
            </w:pPr>
            <w:r>
              <w:rPr>
                <w:rFonts w:ascii="ITCFranklinGothicDemi" w:hAnsi="ITCFranklinGothicDemi" w:cs="ITCFranklinGothicDemi"/>
                <w:b/>
                <w:lang w:val="en-US"/>
              </w:rPr>
              <w:t>Totals</w:t>
            </w:r>
          </w:p>
        </w:tc>
        <w:tc>
          <w:tcPr>
            <w:tcW w:w="2268"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269</w:t>
            </w:r>
          </w:p>
        </w:tc>
        <w:tc>
          <w:tcPr>
            <w:tcW w:w="2551"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384</w:t>
            </w:r>
          </w:p>
        </w:tc>
        <w:tc>
          <w:tcPr>
            <w:tcW w:w="2127"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57</w:t>
            </w:r>
          </w:p>
        </w:tc>
        <w:tc>
          <w:tcPr>
            <w:tcW w:w="1376" w:type="dxa"/>
          </w:tcPr>
          <w:p w:rsidR="0049756B" w:rsidRDefault="0049756B" w:rsidP="004064D7">
            <w:pPr>
              <w:pStyle w:val="NICCYBodyText"/>
              <w:rPr>
                <w:rFonts w:ascii="ITCFranklinGothicDemi" w:hAnsi="ITCFranklinGothicDemi" w:cs="ITCFranklinGothicDemi"/>
                <w:lang w:val="en-US"/>
              </w:rPr>
            </w:pPr>
            <w:r>
              <w:rPr>
                <w:rFonts w:ascii="ITCFranklinGothicDemi" w:hAnsi="ITCFranklinGothicDemi" w:cs="ITCFranklinGothicDemi"/>
                <w:lang w:val="en-US"/>
              </w:rPr>
              <w:t>653</w:t>
            </w:r>
          </w:p>
        </w:tc>
      </w:tr>
    </w:tbl>
    <w:p w:rsidR="0049756B" w:rsidRPr="0049756B" w:rsidRDefault="0049756B" w:rsidP="0049756B">
      <w:pPr>
        <w:pStyle w:val="NICCYBodyText"/>
      </w:pPr>
    </w:p>
    <w:p w:rsidR="00E84839" w:rsidRDefault="0049756B" w:rsidP="00E84839">
      <w:pPr>
        <w:autoSpaceDE w:val="0"/>
        <w:autoSpaceDN w:val="0"/>
        <w:adjustRightInd w:val="0"/>
        <w:rPr>
          <w:rFonts w:ascii="ITCFranklinGothicDemi" w:hAnsi="ITCFranklinGothicDemi" w:cs="ITCFranklinGothicDemi"/>
          <w:sz w:val="20"/>
          <w:szCs w:val="20"/>
          <w:lang w:val="en-US"/>
        </w:rPr>
      </w:pPr>
      <w:hyperlink w:anchor="_top" w:history="1">
        <w:r w:rsidRPr="007715F2">
          <w:rPr>
            <w:rStyle w:val="Hyperlink"/>
          </w:rPr>
          <w:t>Ba</w:t>
        </w:r>
        <w:r w:rsidRPr="007715F2">
          <w:rPr>
            <w:rStyle w:val="Hyperlink"/>
          </w:rPr>
          <w:t>c</w:t>
        </w:r>
        <w:r w:rsidRPr="007715F2">
          <w:rPr>
            <w:rStyle w:val="Hyperlink"/>
          </w:rPr>
          <w:t>k to Top</w:t>
        </w:r>
      </w:hyperlink>
    </w:p>
    <w:p w:rsidR="00E84839" w:rsidRDefault="00E84839" w:rsidP="00E84839">
      <w:pPr>
        <w:autoSpaceDE w:val="0"/>
        <w:autoSpaceDN w:val="0"/>
        <w:adjustRightInd w:val="0"/>
        <w:rPr>
          <w:rFonts w:ascii="ITCFranklinGothicDemi" w:hAnsi="ITCFranklinGothicDemi" w:cs="ITCFranklinGothicDemi"/>
          <w:sz w:val="20"/>
          <w:szCs w:val="20"/>
          <w:lang w:val="en-US"/>
        </w:rPr>
      </w:pPr>
    </w:p>
    <w:p w:rsidR="00E84839" w:rsidRPr="00157446" w:rsidRDefault="00E84839" w:rsidP="00157446">
      <w:pPr>
        <w:pStyle w:val="Heading2"/>
        <w:rPr>
          <w:color w:val="23A4DE"/>
          <w:lang w:val="en-US"/>
        </w:rPr>
      </w:pPr>
      <w:bookmarkStart w:id="22" w:name="_Joint_Strategy_on"/>
      <w:bookmarkEnd w:id="22"/>
      <w:r w:rsidRPr="00157446">
        <w:rPr>
          <w:color w:val="23A4DE"/>
          <w:lang w:val="en-US"/>
        </w:rPr>
        <w:t>Joint Strategy on Domestic and Sexual Violence and Abuse</w:t>
      </w:r>
    </w:p>
    <w:p w:rsidR="00E84839" w:rsidRDefault="00E84839" w:rsidP="00157446">
      <w:pPr>
        <w:pStyle w:val="NICCYBodyText"/>
        <w:rPr>
          <w:lang w:val="en-US"/>
        </w:rPr>
      </w:pPr>
      <w:r w:rsidRPr="00157446">
        <w:rPr>
          <w:rFonts w:ascii="ITCFranklinGothicDemi" w:hAnsi="ITCFranklinGothicDemi" w:cs="ITCFranklinGothicDemi"/>
          <w:b/>
          <w:lang w:val="en-US"/>
        </w:rPr>
        <w:t>Mr McGimpsey</w:t>
      </w:r>
      <w:r>
        <w:rPr>
          <w:rFonts w:ascii="ITCFranklinGothicDemi" w:hAnsi="ITCFranklinGothicDemi" w:cs="ITCFranklinGothicDemi"/>
          <w:lang w:val="en-US"/>
        </w:rPr>
        <w:t xml:space="preserve"> </w:t>
      </w:r>
      <w:r>
        <w:rPr>
          <w:lang w:val="en-US"/>
        </w:rPr>
        <w:t>asked the Minister of Health, Social Services and Public Safety, pursuant to AQW</w:t>
      </w:r>
      <w:r w:rsidR="00157446">
        <w:rPr>
          <w:lang w:val="en-US"/>
        </w:rPr>
        <w:t xml:space="preserve"> </w:t>
      </w:r>
      <w:r>
        <w:rPr>
          <w:lang w:val="en-US"/>
        </w:rPr>
        <w:t>32933/11-15, what is the completion date for the joint strategy on Domestic and Sexual Violence and</w:t>
      </w:r>
      <w:r w:rsidR="00157446">
        <w:rPr>
          <w:lang w:val="en-US"/>
        </w:rPr>
        <w:t xml:space="preserve"> </w:t>
      </w:r>
      <w:r>
        <w:rPr>
          <w:lang w:val="en-US"/>
        </w:rPr>
        <w:t>Abuse; and when the strategy will be implemented.</w:t>
      </w:r>
    </w:p>
    <w:p w:rsidR="00E84839" w:rsidRDefault="00E84839" w:rsidP="00157446">
      <w:pPr>
        <w:pStyle w:val="NICCYBodyText"/>
        <w:rPr>
          <w:rFonts w:ascii="ITCFranklinGothicDemi" w:hAnsi="ITCFranklinGothicDemi" w:cs="ITCFranklinGothicDemi"/>
          <w:lang w:val="en-US"/>
        </w:rPr>
      </w:pPr>
      <w:r>
        <w:rPr>
          <w:rFonts w:ascii="ITCFranklinGothicDemi" w:hAnsi="ITCFranklinGothicDemi" w:cs="ITCFranklinGothicDemi"/>
          <w:lang w:val="en-US"/>
        </w:rPr>
        <w:t>(AQW 35022/11-15)</w:t>
      </w:r>
    </w:p>
    <w:p w:rsidR="00157446" w:rsidRDefault="00157446" w:rsidP="00157446">
      <w:pPr>
        <w:pStyle w:val="NICCYBodyText"/>
        <w:rPr>
          <w:rFonts w:ascii="ITCFranklinGothicDemi" w:hAnsi="ITCFranklinGothicDemi" w:cs="ITCFranklinGothicDemi"/>
          <w:lang w:val="en-US"/>
        </w:rPr>
      </w:pPr>
    </w:p>
    <w:p w:rsidR="00E84839" w:rsidRDefault="00E84839" w:rsidP="00157446">
      <w:pPr>
        <w:pStyle w:val="NICCYBodyText"/>
        <w:rPr>
          <w:lang w:val="en-US"/>
        </w:rPr>
      </w:pPr>
      <w:r w:rsidRPr="00157446">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My Department is working with the Department of Justice to develop the new Joint Strategy</w:t>
      </w:r>
      <w:r w:rsidR="00157446">
        <w:rPr>
          <w:lang w:val="en-US"/>
        </w:rPr>
        <w:t xml:space="preserve"> </w:t>
      </w:r>
      <w:r>
        <w:rPr>
          <w:lang w:val="en-US"/>
        </w:rPr>
        <w:t>on Stopping Domestic and Sexual Violence and</w:t>
      </w:r>
      <w:r w:rsidR="00157446">
        <w:rPr>
          <w:lang w:val="en-US"/>
        </w:rPr>
        <w:t xml:space="preserve"> Abuse.  </w:t>
      </w:r>
      <w:r>
        <w:rPr>
          <w:lang w:val="en-US"/>
        </w:rPr>
        <w:t>The intention is for the Strategy to be published</w:t>
      </w:r>
      <w:r w:rsidR="00157446">
        <w:rPr>
          <w:lang w:val="en-US"/>
        </w:rPr>
        <w:t xml:space="preserve"> </w:t>
      </w:r>
      <w:r>
        <w:rPr>
          <w:lang w:val="en-US"/>
        </w:rPr>
        <w:t>by the end of 2014.</w:t>
      </w:r>
    </w:p>
    <w:p w:rsidR="00157446" w:rsidRDefault="00157446" w:rsidP="00157446">
      <w:pPr>
        <w:pStyle w:val="NICCYBodyText"/>
        <w:rPr>
          <w:lang w:val="en-US"/>
        </w:rPr>
      </w:pPr>
    </w:p>
    <w:p w:rsidR="00E84839" w:rsidRDefault="00E84839" w:rsidP="00157446">
      <w:pPr>
        <w:pStyle w:val="NICCYBodyText"/>
        <w:rPr>
          <w:lang w:val="en-US"/>
        </w:rPr>
      </w:pPr>
      <w:r>
        <w:rPr>
          <w:lang w:val="en-US"/>
        </w:rPr>
        <w:t>Following the publication of the Strategy, the RSG will commence implementation of the delivery of</w:t>
      </w:r>
      <w:r w:rsidR="00157446">
        <w:rPr>
          <w:lang w:val="en-US"/>
        </w:rPr>
        <w:t xml:space="preserve"> </w:t>
      </w:r>
      <w:r>
        <w:rPr>
          <w:lang w:val="en-US"/>
        </w:rPr>
        <w:t>priorities through the development of Action Plans by stakeholder-led sub-groups and working groups.</w:t>
      </w:r>
      <w:r w:rsidR="00157446">
        <w:rPr>
          <w:lang w:val="en-US"/>
        </w:rPr>
        <w:t xml:space="preserve">  </w:t>
      </w:r>
      <w:r>
        <w:rPr>
          <w:lang w:val="en-US"/>
        </w:rPr>
        <w:t>This work will be ongoing throughout the lifetime of the Strategy.</w:t>
      </w: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157446" w:rsidRDefault="00157446" w:rsidP="00157446">
      <w:pPr>
        <w:autoSpaceDE w:val="0"/>
        <w:autoSpaceDN w:val="0"/>
        <w:adjustRightInd w:val="0"/>
        <w:rPr>
          <w:rFonts w:ascii="ITCFranklinGothicDemi" w:hAnsi="ITCFranklinGothicDemi" w:cs="ITCFranklinGothicDemi"/>
          <w:sz w:val="20"/>
          <w:szCs w:val="20"/>
          <w:lang w:val="en-US"/>
        </w:rPr>
      </w:pPr>
      <w:hyperlink w:anchor="_top" w:history="1">
        <w:r w:rsidRPr="007715F2">
          <w:rPr>
            <w:rStyle w:val="Hyperlink"/>
          </w:rPr>
          <w:t>Back t</w:t>
        </w:r>
        <w:r w:rsidRPr="007715F2">
          <w:rPr>
            <w:rStyle w:val="Hyperlink"/>
          </w:rPr>
          <w:t>o</w:t>
        </w:r>
        <w:r w:rsidRPr="007715F2">
          <w:rPr>
            <w:rStyle w:val="Hyperlink"/>
          </w:rPr>
          <w:t xml:space="preserve"> T</w:t>
        </w:r>
        <w:r w:rsidRPr="007715F2">
          <w:rPr>
            <w:rStyle w:val="Hyperlink"/>
          </w:rPr>
          <w:t>o</w:t>
        </w:r>
        <w:r w:rsidRPr="007715F2">
          <w:rPr>
            <w:rStyle w:val="Hyperlink"/>
          </w:rPr>
          <w:t>p</w:t>
        </w:r>
      </w:hyperlink>
    </w:p>
    <w:p w:rsidR="00157446" w:rsidRDefault="00157446" w:rsidP="00E84839">
      <w:pPr>
        <w:autoSpaceDE w:val="0"/>
        <w:autoSpaceDN w:val="0"/>
        <w:adjustRightInd w:val="0"/>
        <w:rPr>
          <w:rFonts w:ascii="ITCFranklinGothicBook" w:hAnsi="ITCFranklinGothicBook" w:cs="ITCFranklinGothicBook"/>
          <w:sz w:val="20"/>
          <w:szCs w:val="20"/>
          <w:lang w:val="en-US"/>
        </w:rPr>
      </w:pP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Default="00E84839" w:rsidP="00E84839">
      <w:pPr>
        <w:autoSpaceDE w:val="0"/>
        <w:autoSpaceDN w:val="0"/>
        <w:adjustRightInd w:val="0"/>
        <w:rPr>
          <w:rFonts w:ascii="ITCFranklinGothicBook" w:hAnsi="ITCFranklinGothicBook" w:cs="ITCFranklinGothicBook"/>
          <w:sz w:val="20"/>
          <w:szCs w:val="20"/>
          <w:lang w:val="en-US"/>
        </w:rPr>
      </w:pPr>
    </w:p>
    <w:p w:rsidR="00E84839" w:rsidRPr="00157446" w:rsidRDefault="00E84839" w:rsidP="00157446">
      <w:pPr>
        <w:pStyle w:val="Heading2"/>
        <w:rPr>
          <w:color w:val="23A4DE"/>
          <w:lang w:val="en-US"/>
        </w:rPr>
      </w:pPr>
      <w:bookmarkStart w:id="23" w:name="_Availability_of_Incubators"/>
      <w:bookmarkEnd w:id="23"/>
      <w:r w:rsidRPr="00157446">
        <w:rPr>
          <w:color w:val="23A4DE"/>
          <w:lang w:val="en-US"/>
        </w:rPr>
        <w:lastRenderedPageBreak/>
        <w:t>Availability of Incubators</w:t>
      </w:r>
    </w:p>
    <w:p w:rsidR="00E84839" w:rsidRDefault="00E84839" w:rsidP="00157446">
      <w:pPr>
        <w:pStyle w:val="NICCYBodyText"/>
        <w:rPr>
          <w:lang w:val="en-US"/>
        </w:rPr>
      </w:pPr>
      <w:r w:rsidRPr="00157446">
        <w:rPr>
          <w:rFonts w:ascii="ITCFranklinGothicDemi" w:hAnsi="ITCFranklinGothicDemi" w:cs="ITCFranklinGothicDemi"/>
          <w:b/>
          <w:lang w:val="en-US"/>
        </w:rPr>
        <w:t>Mr McGimpsey</w:t>
      </w:r>
      <w:r>
        <w:rPr>
          <w:rFonts w:ascii="ITCFranklinGothicDemi" w:hAnsi="ITCFranklinGothicDemi" w:cs="ITCFranklinGothicDemi"/>
          <w:lang w:val="en-US"/>
        </w:rPr>
        <w:t xml:space="preserve"> </w:t>
      </w:r>
      <w:r>
        <w:rPr>
          <w:lang w:val="en-US"/>
        </w:rPr>
        <w:t>asked the Minister of Health, Social Services and Public Safety to detail the number of</w:t>
      </w:r>
      <w:r w:rsidR="00157446">
        <w:rPr>
          <w:lang w:val="en-US"/>
        </w:rPr>
        <w:t xml:space="preserve"> </w:t>
      </w:r>
      <w:r>
        <w:rPr>
          <w:lang w:val="en-US"/>
        </w:rPr>
        <w:t>incubators available for premature babies in each hospital.</w:t>
      </w:r>
    </w:p>
    <w:p w:rsidR="00E84839" w:rsidRDefault="00E84839" w:rsidP="00157446">
      <w:pPr>
        <w:pStyle w:val="NICCYBodyText"/>
        <w:rPr>
          <w:rFonts w:ascii="ITCFranklinGothicDemi" w:hAnsi="ITCFranklinGothicDemi" w:cs="ITCFranklinGothicDemi"/>
          <w:lang w:val="en-US"/>
        </w:rPr>
      </w:pPr>
      <w:r>
        <w:rPr>
          <w:rFonts w:ascii="ITCFranklinGothicDemi" w:hAnsi="ITCFranklinGothicDemi" w:cs="ITCFranklinGothicDemi"/>
          <w:lang w:val="en-US"/>
        </w:rPr>
        <w:t>(AQW 35214/11-15)</w:t>
      </w:r>
    </w:p>
    <w:p w:rsidR="00157446" w:rsidRDefault="00157446" w:rsidP="00157446">
      <w:pPr>
        <w:pStyle w:val="NICCYBodyText"/>
        <w:rPr>
          <w:rFonts w:ascii="ITCFranklinGothicDemi" w:hAnsi="ITCFranklinGothicDemi" w:cs="ITCFranklinGothicDemi"/>
          <w:lang w:val="en-US"/>
        </w:rPr>
      </w:pPr>
    </w:p>
    <w:p w:rsidR="00E84839" w:rsidRDefault="00E84839" w:rsidP="00157446">
      <w:pPr>
        <w:pStyle w:val="NICCYBodyText"/>
        <w:rPr>
          <w:lang w:val="en-US"/>
        </w:rPr>
      </w:pPr>
      <w:r w:rsidRPr="00157446">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total number of incubators and the number of incubators available for use by premature</w:t>
      </w:r>
      <w:r w:rsidR="00157446">
        <w:rPr>
          <w:lang w:val="en-US"/>
        </w:rPr>
        <w:t xml:space="preserve"> </w:t>
      </w:r>
      <w:r>
        <w:rPr>
          <w:lang w:val="en-US"/>
        </w:rPr>
        <w:t>babies in each hospital at midnight on 30th June 2014 is given in the table below.</w:t>
      </w:r>
    </w:p>
    <w:p w:rsidR="00157446" w:rsidRDefault="00157446" w:rsidP="00157446">
      <w:pPr>
        <w:pStyle w:val="NICCYBodyText"/>
        <w:rPr>
          <w:lang w:val="en-US"/>
        </w:rPr>
      </w:pPr>
    </w:p>
    <w:tbl>
      <w:tblPr>
        <w:tblStyle w:val="TableGrid"/>
        <w:tblW w:w="0" w:type="auto"/>
        <w:tblLook w:val="04A0"/>
      </w:tblPr>
      <w:tblGrid>
        <w:gridCol w:w="2462"/>
        <w:gridCol w:w="2462"/>
        <w:gridCol w:w="2462"/>
        <w:gridCol w:w="2462"/>
      </w:tblGrid>
      <w:tr w:rsidR="00157446" w:rsidTr="00157446">
        <w:tc>
          <w:tcPr>
            <w:tcW w:w="2462" w:type="dxa"/>
          </w:tcPr>
          <w:p w:rsidR="00157446" w:rsidRPr="00157446" w:rsidRDefault="00157446" w:rsidP="00157446">
            <w:pPr>
              <w:pStyle w:val="NICCYBodyText"/>
              <w:rPr>
                <w:b/>
                <w:lang w:val="en-US"/>
              </w:rPr>
            </w:pPr>
            <w:r w:rsidRPr="00157446">
              <w:rPr>
                <w:b/>
                <w:lang w:val="en-US"/>
              </w:rPr>
              <w:t>HSC Trust</w:t>
            </w:r>
          </w:p>
        </w:tc>
        <w:tc>
          <w:tcPr>
            <w:tcW w:w="2462" w:type="dxa"/>
          </w:tcPr>
          <w:p w:rsidR="00157446" w:rsidRPr="00157446" w:rsidRDefault="00157446" w:rsidP="00157446">
            <w:pPr>
              <w:pStyle w:val="NICCYBodyText"/>
              <w:rPr>
                <w:b/>
                <w:lang w:val="en-US"/>
              </w:rPr>
            </w:pPr>
            <w:r w:rsidRPr="00157446">
              <w:rPr>
                <w:b/>
                <w:lang w:val="en-US"/>
              </w:rPr>
              <w:t xml:space="preserve">HSC Hospital </w:t>
            </w:r>
          </w:p>
        </w:tc>
        <w:tc>
          <w:tcPr>
            <w:tcW w:w="2462" w:type="dxa"/>
          </w:tcPr>
          <w:p w:rsidR="00157446" w:rsidRPr="00157446" w:rsidRDefault="00157446" w:rsidP="00157446">
            <w:pPr>
              <w:pStyle w:val="NICCYBodyText"/>
              <w:rPr>
                <w:b/>
                <w:lang w:val="en-US"/>
              </w:rPr>
            </w:pPr>
            <w:r w:rsidRPr="00157446">
              <w:rPr>
                <w:b/>
                <w:lang w:val="en-US"/>
              </w:rPr>
              <w:t>Total Incubators</w:t>
            </w:r>
          </w:p>
        </w:tc>
        <w:tc>
          <w:tcPr>
            <w:tcW w:w="2462" w:type="dxa"/>
          </w:tcPr>
          <w:p w:rsidR="00157446" w:rsidRPr="00157446" w:rsidRDefault="00157446" w:rsidP="00157446">
            <w:pPr>
              <w:pStyle w:val="NICCYBodyText"/>
              <w:rPr>
                <w:rFonts w:ascii="ITCFranklinGothicDemi" w:hAnsi="ITCFranklinGothicDemi" w:cs="ITCFranklinGothicDemi"/>
                <w:b/>
                <w:lang w:val="en-US"/>
              </w:rPr>
            </w:pPr>
            <w:r w:rsidRPr="00157446">
              <w:rPr>
                <w:rFonts w:ascii="ITCFranklinGothicDemi" w:hAnsi="ITCFranklinGothicDemi" w:cs="ITCFranklinGothicDemi"/>
                <w:b/>
                <w:lang w:val="en-US"/>
              </w:rPr>
              <w:t>Incubators available</w:t>
            </w:r>
          </w:p>
          <w:p w:rsidR="00157446" w:rsidRPr="00157446" w:rsidRDefault="00157446" w:rsidP="00157446">
            <w:pPr>
              <w:pStyle w:val="NICCYBodyText"/>
              <w:rPr>
                <w:rFonts w:ascii="ITCFranklinGothicDemi" w:hAnsi="ITCFranklinGothicDemi" w:cs="ITCFranklinGothicDemi"/>
                <w:b/>
                <w:sz w:val="12"/>
                <w:szCs w:val="12"/>
                <w:lang w:val="en-US"/>
              </w:rPr>
            </w:pPr>
            <w:r w:rsidRPr="00157446">
              <w:rPr>
                <w:rFonts w:ascii="ITCFranklinGothicDemi" w:hAnsi="ITCFranklinGothicDemi" w:cs="ITCFranklinGothicDemi"/>
                <w:b/>
                <w:lang w:val="en-US"/>
              </w:rPr>
              <w:t>for use</w:t>
            </w:r>
            <w:r w:rsidRPr="00157446">
              <w:rPr>
                <w:rFonts w:ascii="ITCFranklinGothicDemi" w:hAnsi="ITCFranklinGothicDemi" w:cs="ITCFranklinGothicDemi"/>
                <w:b/>
                <w:sz w:val="12"/>
                <w:szCs w:val="12"/>
                <w:lang w:val="en-US"/>
              </w:rPr>
              <w:t>1</w:t>
            </w:r>
          </w:p>
          <w:p w:rsidR="00157446" w:rsidRPr="00157446" w:rsidRDefault="00157446" w:rsidP="00157446">
            <w:pPr>
              <w:pStyle w:val="NICCYBodyText"/>
              <w:rPr>
                <w:b/>
                <w:lang w:val="en-US"/>
              </w:rPr>
            </w:pPr>
          </w:p>
        </w:tc>
      </w:tr>
      <w:tr w:rsidR="00157446" w:rsidTr="00157446">
        <w:tc>
          <w:tcPr>
            <w:tcW w:w="2462" w:type="dxa"/>
          </w:tcPr>
          <w:p w:rsidR="00157446" w:rsidRDefault="00157446" w:rsidP="00157446">
            <w:pPr>
              <w:pStyle w:val="NICCYBodyText"/>
              <w:rPr>
                <w:lang w:val="en-US"/>
              </w:rPr>
            </w:pPr>
            <w:r>
              <w:rPr>
                <w:lang w:val="en-US"/>
              </w:rPr>
              <w:t>Belfast</w:t>
            </w:r>
          </w:p>
        </w:tc>
        <w:tc>
          <w:tcPr>
            <w:tcW w:w="2462" w:type="dxa"/>
          </w:tcPr>
          <w:p w:rsidR="00157446" w:rsidRDefault="00157446" w:rsidP="00157446">
            <w:pPr>
              <w:pStyle w:val="NICCYBodyText"/>
              <w:rPr>
                <w:lang w:val="en-US"/>
              </w:rPr>
            </w:pPr>
            <w:r>
              <w:rPr>
                <w:lang w:val="en-US"/>
              </w:rPr>
              <w:t>Royal Maternity</w:t>
            </w:r>
          </w:p>
        </w:tc>
        <w:tc>
          <w:tcPr>
            <w:tcW w:w="2462" w:type="dxa"/>
          </w:tcPr>
          <w:p w:rsidR="00157446" w:rsidRDefault="00157446" w:rsidP="00157446">
            <w:pPr>
              <w:pStyle w:val="NICCYBodyText"/>
              <w:rPr>
                <w:lang w:val="en-US"/>
              </w:rPr>
            </w:pPr>
            <w:r>
              <w:rPr>
                <w:lang w:val="en-US"/>
              </w:rPr>
              <w:t>25</w:t>
            </w:r>
          </w:p>
        </w:tc>
        <w:tc>
          <w:tcPr>
            <w:tcW w:w="2462" w:type="dxa"/>
          </w:tcPr>
          <w:p w:rsidR="00157446" w:rsidRDefault="00157446" w:rsidP="00157446">
            <w:pPr>
              <w:pStyle w:val="NICCYBodyText"/>
              <w:rPr>
                <w:lang w:val="en-US"/>
              </w:rPr>
            </w:pPr>
            <w:r>
              <w:rPr>
                <w:lang w:val="en-US"/>
              </w:rPr>
              <w:t>0</w:t>
            </w:r>
          </w:p>
        </w:tc>
      </w:tr>
      <w:tr w:rsidR="00157446" w:rsidTr="00157446">
        <w:tc>
          <w:tcPr>
            <w:tcW w:w="2462" w:type="dxa"/>
          </w:tcPr>
          <w:p w:rsidR="00157446" w:rsidRDefault="00157446" w:rsidP="00157446">
            <w:pPr>
              <w:pStyle w:val="NICCYBodyText"/>
              <w:rPr>
                <w:lang w:val="en-US"/>
              </w:rPr>
            </w:pPr>
            <w:r>
              <w:rPr>
                <w:lang w:val="en-US"/>
              </w:rPr>
              <w:t>Northern</w:t>
            </w:r>
            <w:r>
              <w:rPr>
                <w:sz w:val="12"/>
                <w:szCs w:val="12"/>
                <w:lang w:val="en-US"/>
              </w:rPr>
              <w:t>2</w:t>
            </w:r>
          </w:p>
        </w:tc>
        <w:tc>
          <w:tcPr>
            <w:tcW w:w="2462" w:type="dxa"/>
          </w:tcPr>
          <w:p w:rsidR="00157446" w:rsidRDefault="00157446" w:rsidP="00157446">
            <w:pPr>
              <w:pStyle w:val="NICCYBodyText"/>
              <w:rPr>
                <w:lang w:val="en-US"/>
              </w:rPr>
            </w:pPr>
            <w:r>
              <w:rPr>
                <w:lang w:val="en-US"/>
              </w:rPr>
              <w:t>Antrim</w:t>
            </w:r>
          </w:p>
        </w:tc>
        <w:tc>
          <w:tcPr>
            <w:tcW w:w="2462" w:type="dxa"/>
          </w:tcPr>
          <w:p w:rsidR="00157446" w:rsidRDefault="00157446" w:rsidP="00157446">
            <w:pPr>
              <w:pStyle w:val="NICCYBodyText"/>
              <w:rPr>
                <w:lang w:val="en-US"/>
              </w:rPr>
            </w:pPr>
            <w:r>
              <w:rPr>
                <w:lang w:val="en-US"/>
              </w:rPr>
              <w:t>14</w:t>
            </w:r>
          </w:p>
        </w:tc>
        <w:tc>
          <w:tcPr>
            <w:tcW w:w="2462" w:type="dxa"/>
          </w:tcPr>
          <w:p w:rsidR="00157446" w:rsidRDefault="00157446" w:rsidP="00157446">
            <w:pPr>
              <w:pStyle w:val="NICCYBodyText"/>
              <w:rPr>
                <w:lang w:val="en-US"/>
              </w:rPr>
            </w:pPr>
            <w:r>
              <w:rPr>
                <w:lang w:val="en-US"/>
              </w:rPr>
              <w:t>1</w:t>
            </w:r>
          </w:p>
        </w:tc>
      </w:tr>
      <w:tr w:rsidR="00157446" w:rsidTr="00157446">
        <w:tc>
          <w:tcPr>
            <w:tcW w:w="2462" w:type="dxa"/>
          </w:tcPr>
          <w:p w:rsidR="00157446" w:rsidRDefault="00157446" w:rsidP="00157446">
            <w:pPr>
              <w:pStyle w:val="NICCYBodyText"/>
              <w:rPr>
                <w:lang w:val="en-US"/>
              </w:rPr>
            </w:pPr>
            <w:r>
              <w:rPr>
                <w:lang w:val="en-US"/>
              </w:rPr>
              <w:t xml:space="preserve">South Eastern </w:t>
            </w:r>
          </w:p>
        </w:tc>
        <w:tc>
          <w:tcPr>
            <w:tcW w:w="2462" w:type="dxa"/>
          </w:tcPr>
          <w:p w:rsidR="00157446" w:rsidRDefault="00157446" w:rsidP="00157446">
            <w:pPr>
              <w:pStyle w:val="NICCYBodyText"/>
              <w:rPr>
                <w:lang w:val="en-US"/>
              </w:rPr>
            </w:pPr>
            <w:r>
              <w:rPr>
                <w:lang w:val="en-US"/>
              </w:rPr>
              <w:t>Ulster Hospital</w:t>
            </w:r>
          </w:p>
        </w:tc>
        <w:tc>
          <w:tcPr>
            <w:tcW w:w="2462" w:type="dxa"/>
          </w:tcPr>
          <w:p w:rsidR="00157446" w:rsidRDefault="00157446" w:rsidP="00157446">
            <w:pPr>
              <w:pStyle w:val="NICCYBodyText"/>
              <w:rPr>
                <w:lang w:val="en-US"/>
              </w:rPr>
            </w:pPr>
            <w:r>
              <w:rPr>
                <w:lang w:val="en-US"/>
              </w:rPr>
              <w:t>13</w:t>
            </w:r>
          </w:p>
        </w:tc>
        <w:tc>
          <w:tcPr>
            <w:tcW w:w="2462" w:type="dxa"/>
          </w:tcPr>
          <w:p w:rsidR="00157446" w:rsidRDefault="00157446" w:rsidP="00157446">
            <w:pPr>
              <w:pStyle w:val="NICCYBodyText"/>
              <w:rPr>
                <w:lang w:val="en-US"/>
              </w:rPr>
            </w:pPr>
            <w:r>
              <w:rPr>
                <w:lang w:val="en-US"/>
              </w:rPr>
              <w:t>0</w:t>
            </w:r>
          </w:p>
        </w:tc>
      </w:tr>
      <w:tr w:rsidR="00157446" w:rsidTr="00157446">
        <w:tc>
          <w:tcPr>
            <w:tcW w:w="2462" w:type="dxa"/>
            <w:vMerge w:val="restart"/>
            <w:vAlign w:val="center"/>
          </w:tcPr>
          <w:p w:rsidR="00157446" w:rsidRDefault="00157446" w:rsidP="00157446">
            <w:pPr>
              <w:pStyle w:val="NICCYBodyText"/>
              <w:rPr>
                <w:lang w:val="en-US"/>
              </w:rPr>
            </w:pPr>
            <w:r>
              <w:rPr>
                <w:lang w:val="en-US"/>
              </w:rPr>
              <w:t>Southern</w:t>
            </w:r>
          </w:p>
        </w:tc>
        <w:tc>
          <w:tcPr>
            <w:tcW w:w="2462" w:type="dxa"/>
          </w:tcPr>
          <w:p w:rsidR="00157446" w:rsidRDefault="00157446" w:rsidP="00157446">
            <w:pPr>
              <w:pStyle w:val="NICCYBodyText"/>
              <w:rPr>
                <w:lang w:val="en-US"/>
              </w:rPr>
            </w:pPr>
            <w:r>
              <w:rPr>
                <w:lang w:val="en-US"/>
              </w:rPr>
              <w:t>Craigavon</w:t>
            </w:r>
          </w:p>
        </w:tc>
        <w:tc>
          <w:tcPr>
            <w:tcW w:w="2462" w:type="dxa"/>
          </w:tcPr>
          <w:p w:rsidR="00157446" w:rsidRDefault="00157446" w:rsidP="00157446">
            <w:pPr>
              <w:pStyle w:val="NICCYBodyText"/>
              <w:rPr>
                <w:lang w:val="en-US"/>
              </w:rPr>
            </w:pPr>
            <w:r>
              <w:rPr>
                <w:lang w:val="en-US"/>
              </w:rPr>
              <w:t>17</w:t>
            </w:r>
          </w:p>
        </w:tc>
        <w:tc>
          <w:tcPr>
            <w:tcW w:w="2462" w:type="dxa"/>
          </w:tcPr>
          <w:p w:rsidR="00157446" w:rsidRDefault="00157446" w:rsidP="00157446">
            <w:pPr>
              <w:pStyle w:val="NICCYBodyText"/>
              <w:rPr>
                <w:lang w:val="en-US"/>
              </w:rPr>
            </w:pPr>
            <w:r>
              <w:rPr>
                <w:lang w:val="en-US"/>
              </w:rPr>
              <w:t>13</w:t>
            </w:r>
          </w:p>
        </w:tc>
      </w:tr>
      <w:tr w:rsidR="00157446" w:rsidTr="00157446">
        <w:tc>
          <w:tcPr>
            <w:tcW w:w="2462" w:type="dxa"/>
            <w:vMerge/>
          </w:tcPr>
          <w:p w:rsidR="00157446" w:rsidRDefault="00157446" w:rsidP="00157446">
            <w:pPr>
              <w:pStyle w:val="NICCYBodyText"/>
              <w:rPr>
                <w:lang w:val="en-US"/>
              </w:rPr>
            </w:pPr>
          </w:p>
        </w:tc>
        <w:tc>
          <w:tcPr>
            <w:tcW w:w="2462" w:type="dxa"/>
          </w:tcPr>
          <w:p w:rsidR="00157446" w:rsidRDefault="00157446" w:rsidP="00157446">
            <w:pPr>
              <w:pStyle w:val="NICCYBodyText"/>
              <w:rPr>
                <w:lang w:val="en-US"/>
              </w:rPr>
            </w:pPr>
            <w:r>
              <w:rPr>
                <w:lang w:val="en-US"/>
              </w:rPr>
              <w:t>Daisy Hill</w:t>
            </w:r>
          </w:p>
        </w:tc>
        <w:tc>
          <w:tcPr>
            <w:tcW w:w="2462" w:type="dxa"/>
          </w:tcPr>
          <w:p w:rsidR="00157446" w:rsidRDefault="00157446" w:rsidP="00157446">
            <w:pPr>
              <w:pStyle w:val="NICCYBodyText"/>
              <w:rPr>
                <w:lang w:val="en-US"/>
              </w:rPr>
            </w:pPr>
            <w:r>
              <w:rPr>
                <w:lang w:val="en-US"/>
              </w:rPr>
              <w:t>7</w:t>
            </w:r>
          </w:p>
        </w:tc>
        <w:tc>
          <w:tcPr>
            <w:tcW w:w="2462" w:type="dxa"/>
          </w:tcPr>
          <w:p w:rsidR="00157446" w:rsidRDefault="00157446" w:rsidP="00157446">
            <w:pPr>
              <w:pStyle w:val="NICCYBodyText"/>
              <w:rPr>
                <w:lang w:val="en-US"/>
              </w:rPr>
            </w:pPr>
            <w:r>
              <w:rPr>
                <w:lang w:val="en-US"/>
              </w:rPr>
              <w:t>6</w:t>
            </w:r>
          </w:p>
        </w:tc>
      </w:tr>
      <w:tr w:rsidR="00157446" w:rsidTr="00157446">
        <w:tc>
          <w:tcPr>
            <w:tcW w:w="2462" w:type="dxa"/>
            <w:vMerge w:val="restart"/>
            <w:vAlign w:val="center"/>
          </w:tcPr>
          <w:p w:rsidR="00157446" w:rsidRDefault="00157446" w:rsidP="00157446">
            <w:pPr>
              <w:pStyle w:val="NICCYBodyText"/>
              <w:rPr>
                <w:lang w:val="en-US"/>
              </w:rPr>
            </w:pPr>
            <w:r>
              <w:rPr>
                <w:lang w:val="en-US"/>
              </w:rPr>
              <w:t>Western</w:t>
            </w:r>
            <w:r>
              <w:rPr>
                <w:sz w:val="12"/>
                <w:szCs w:val="12"/>
                <w:lang w:val="en-US"/>
              </w:rPr>
              <w:t>2</w:t>
            </w:r>
          </w:p>
        </w:tc>
        <w:tc>
          <w:tcPr>
            <w:tcW w:w="2462" w:type="dxa"/>
          </w:tcPr>
          <w:p w:rsidR="00157446" w:rsidRDefault="00157446" w:rsidP="00157446">
            <w:pPr>
              <w:pStyle w:val="NICCYBodyText"/>
              <w:rPr>
                <w:lang w:val="en-US"/>
              </w:rPr>
            </w:pPr>
            <w:r>
              <w:rPr>
                <w:lang w:val="en-US"/>
              </w:rPr>
              <w:t>Altnagelvin</w:t>
            </w:r>
          </w:p>
        </w:tc>
        <w:tc>
          <w:tcPr>
            <w:tcW w:w="2462" w:type="dxa"/>
          </w:tcPr>
          <w:p w:rsidR="00157446" w:rsidRDefault="00157446" w:rsidP="00157446">
            <w:pPr>
              <w:pStyle w:val="NICCYBodyText"/>
              <w:rPr>
                <w:lang w:val="en-US"/>
              </w:rPr>
            </w:pPr>
            <w:r>
              <w:rPr>
                <w:lang w:val="en-US"/>
              </w:rPr>
              <w:t>18</w:t>
            </w:r>
          </w:p>
        </w:tc>
        <w:tc>
          <w:tcPr>
            <w:tcW w:w="2462" w:type="dxa"/>
          </w:tcPr>
          <w:p w:rsidR="00157446" w:rsidRDefault="00157446" w:rsidP="00157446">
            <w:pPr>
              <w:pStyle w:val="NICCYBodyText"/>
              <w:rPr>
                <w:lang w:val="en-US"/>
              </w:rPr>
            </w:pPr>
            <w:r>
              <w:rPr>
                <w:lang w:val="en-US"/>
              </w:rPr>
              <w:t>4</w:t>
            </w:r>
          </w:p>
        </w:tc>
      </w:tr>
      <w:tr w:rsidR="00157446" w:rsidTr="00157446">
        <w:tc>
          <w:tcPr>
            <w:tcW w:w="2462" w:type="dxa"/>
            <w:vMerge/>
          </w:tcPr>
          <w:p w:rsidR="00157446" w:rsidRDefault="00157446" w:rsidP="00157446">
            <w:pPr>
              <w:pStyle w:val="NICCYBodyText"/>
              <w:rPr>
                <w:lang w:val="en-US"/>
              </w:rPr>
            </w:pPr>
          </w:p>
        </w:tc>
        <w:tc>
          <w:tcPr>
            <w:tcW w:w="2462" w:type="dxa"/>
          </w:tcPr>
          <w:p w:rsidR="00157446" w:rsidRDefault="00157446" w:rsidP="00157446">
            <w:pPr>
              <w:pStyle w:val="NICCYBodyText"/>
              <w:rPr>
                <w:lang w:val="en-US"/>
              </w:rPr>
            </w:pPr>
            <w:r>
              <w:rPr>
                <w:lang w:val="en-US"/>
              </w:rPr>
              <w:t>South West Acute</w:t>
            </w:r>
          </w:p>
        </w:tc>
        <w:tc>
          <w:tcPr>
            <w:tcW w:w="2462" w:type="dxa"/>
          </w:tcPr>
          <w:p w:rsidR="00157446" w:rsidRDefault="00157446" w:rsidP="00157446">
            <w:pPr>
              <w:pStyle w:val="NICCYBodyText"/>
              <w:rPr>
                <w:lang w:val="en-US"/>
              </w:rPr>
            </w:pPr>
            <w:r>
              <w:rPr>
                <w:lang w:val="en-US"/>
              </w:rPr>
              <w:t>6</w:t>
            </w:r>
          </w:p>
        </w:tc>
        <w:tc>
          <w:tcPr>
            <w:tcW w:w="2462" w:type="dxa"/>
          </w:tcPr>
          <w:p w:rsidR="00157446" w:rsidRDefault="00157446" w:rsidP="00157446">
            <w:pPr>
              <w:pStyle w:val="NICCYBodyText"/>
              <w:rPr>
                <w:lang w:val="en-US"/>
              </w:rPr>
            </w:pPr>
            <w:r>
              <w:rPr>
                <w:lang w:val="en-US"/>
              </w:rPr>
              <w:t>3</w:t>
            </w:r>
          </w:p>
        </w:tc>
      </w:tr>
    </w:tbl>
    <w:p w:rsidR="00E84839" w:rsidRDefault="00E84839" w:rsidP="00157446">
      <w:pPr>
        <w:pStyle w:val="NICCYBodyText"/>
        <w:rPr>
          <w:sz w:val="20"/>
          <w:szCs w:val="20"/>
          <w:lang w:val="en-US"/>
        </w:rPr>
      </w:pPr>
      <w:r w:rsidRPr="00157446">
        <w:rPr>
          <w:sz w:val="20"/>
          <w:szCs w:val="20"/>
          <w:lang w:val="en-US"/>
        </w:rPr>
        <w:t>Source: Health and Social Care Trusts</w:t>
      </w:r>
    </w:p>
    <w:p w:rsidR="00157446" w:rsidRPr="00157446" w:rsidRDefault="00157446" w:rsidP="00157446">
      <w:pPr>
        <w:pStyle w:val="NICCYBodyText"/>
        <w:rPr>
          <w:sz w:val="20"/>
          <w:szCs w:val="20"/>
          <w:lang w:val="en-US"/>
        </w:rPr>
      </w:pPr>
    </w:p>
    <w:p w:rsidR="00E84839" w:rsidRPr="00157446" w:rsidRDefault="00E84839" w:rsidP="00157446">
      <w:pPr>
        <w:pStyle w:val="NICCYBodyText"/>
        <w:rPr>
          <w:b/>
          <w:sz w:val="20"/>
          <w:szCs w:val="20"/>
          <w:lang w:val="en-US"/>
        </w:rPr>
      </w:pPr>
      <w:r w:rsidRPr="00157446">
        <w:rPr>
          <w:b/>
          <w:sz w:val="20"/>
          <w:szCs w:val="20"/>
          <w:lang w:val="en-US"/>
        </w:rPr>
        <w:t>Notes:</w:t>
      </w:r>
    </w:p>
    <w:p w:rsidR="00E84839" w:rsidRPr="00157446" w:rsidRDefault="00E84839" w:rsidP="00157446">
      <w:pPr>
        <w:pStyle w:val="NICCYBodyText"/>
        <w:rPr>
          <w:sz w:val="20"/>
          <w:szCs w:val="20"/>
          <w:lang w:val="en-US"/>
        </w:rPr>
      </w:pPr>
      <w:r w:rsidRPr="00157446">
        <w:rPr>
          <w:sz w:val="20"/>
          <w:szCs w:val="20"/>
          <w:lang w:val="en-US"/>
        </w:rPr>
        <w:t>1</w:t>
      </w:r>
      <w:r w:rsidR="00157446">
        <w:rPr>
          <w:sz w:val="20"/>
          <w:szCs w:val="20"/>
          <w:lang w:val="en-US"/>
        </w:rPr>
        <w:t xml:space="preserve"> - </w:t>
      </w:r>
      <w:r w:rsidRPr="00157446">
        <w:rPr>
          <w:sz w:val="20"/>
          <w:szCs w:val="20"/>
          <w:lang w:val="en-US"/>
        </w:rPr>
        <w:t xml:space="preserve"> Incubators available for use have been defined as those incubators that were empty and available for new</w:t>
      </w:r>
      <w:r w:rsidR="00157446">
        <w:rPr>
          <w:sz w:val="20"/>
          <w:szCs w:val="20"/>
          <w:lang w:val="en-US"/>
        </w:rPr>
        <w:t xml:space="preserve"> </w:t>
      </w:r>
      <w:r w:rsidRPr="00157446">
        <w:rPr>
          <w:sz w:val="20"/>
          <w:szCs w:val="20"/>
          <w:lang w:val="en-US"/>
        </w:rPr>
        <w:t>admission.</w:t>
      </w:r>
    </w:p>
    <w:p w:rsidR="00E84839" w:rsidRPr="00157446" w:rsidRDefault="00157446" w:rsidP="00157446">
      <w:pPr>
        <w:pStyle w:val="NICCYBodyText"/>
        <w:rPr>
          <w:sz w:val="20"/>
          <w:szCs w:val="20"/>
          <w:lang w:val="en-US"/>
        </w:rPr>
      </w:pPr>
      <w:r>
        <w:rPr>
          <w:sz w:val="20"/>
          <w:szCs w:val="20"/>
          <w:lang w:val="en-US"/>
        </w:rPr>
        <w:t xml:space="preserve">2 - </w:t>
      </w:r>
      <w:r w:rsidR="00E84839" w:rsidRPr="00157446">
        <w:rPr>
          <w:sz w:val="20"/>
          <w:szCs w:val="20"/>
          <w:lang w:val="en-US"/>
        </w:rPr>
        <w:t xml:space="preserve"> Northern and Western Trusts use the term ‘cots’ instead of ‘incubators’ therefore both Trusts have provided</w:t>
      </w:r>
      <w:r>
        <w:rPr>
          <w:sz w:val="20"/>
          <w:szCs w:val="20"/>
          <w:lang w:val="en-US"/>
        </w:rPr>
        <w:t xml:space="preserve"> </w:t>
      </w:r>
      <w:r w:rsidR="00E84839" w:rsidRPr="00157446">
        <w:rPr>
          <w:sz w:val="20"/>
          <w:szCs w:val="20"/>
          <w:lang w:val="en-US"/>
        </w:rPr>
        <w:t>information on the number of cots for premature babies</w:t>
      </w:r>
    </w:p>
    <w:p w:rsidR="00E84839" w:rsidRDefault="00E84839" w:rsidP="00E84839">
      <w:pPr>
        <w:autoSpaceDE w:val="0"/>
        <w:autoSpaceDN w:val="0"/>
        <w:adjustRightInd w:val="0"/>
        <w:rPr>
          <w:rFonts w:ascii="ITCFranklinGothicBook" w:hAnsi="ITCFranklinGothicBook" w:cs="ITCFranklinGothicBook"/>
          <w:sz w:val="18"/>
          <w:szCs w:val="18"/>
          <w:lang w:val="en-US"/>
        </w:rPr>
      </w:pPr>
    </w:p>
    <w:p w:rsidR="00157446" w:rsidRDefault="00157446" w:rsidP="00157446">
      <w:pPr>
        <w:autoSpaceDE w:val="0"/>
        <w:autoSpaceDN w:val="0"/>
        <w:adjustRightInd w:val="0"/>
        <w:rPr>
          <w:rFonts w:ascii="ITCFranklinGothicDemi" w:hAnsi="ITCFranklinGothicDemi" w:cs="ITCFranklinGothicDemi"/>
          <w:sz w:val="20"/>
          <w:szCs w:val="20"/>
          <w:lang w:val="en-US"/>
        </w:rPr>
      </w:pPr>
      <w:hyperlink w:anchor="_top" w:history="1">
        <w:r w:rsidRPr="007715F2">
          <w:rPr>
            <w:rStyle w:val="Hyperlink"/>
          </w:rPr>
          <w:t>Back to Top</w:t>
        </w:r>
      </w:hyperlink>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E84839" w:rsidRDefault="00E84839"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157446" w:rsidRDefault="00157446" w:rsidP="00E84839">
      <w:pPr>
        <w:autoSpaceDE w:val="0"/>
        <w:autoSpaceDN w:val="0"/>
        <w:adjustRightInd w:val="0"/>
        <w:rPr>
          <w:rFonts w:ascii="ITCFranklinGothicBook" w:hAnsi="ITCFranklinGothicBook" w:cs="ITCFranklinGothicBook"/>
          <w:sz w:val="18"/>
          <w:szCs w:val="18"/>
          <w:lang w:val="en-US"/>
        </w:rPr>
      </w:pPr>
    </w:p>
    <w:p w:rsidR="00E84839" w:rsidRPr="00157446" w:rsidRDefault="00E84839" w:rsidP="00157446">
      <w:pPr>
        <w:pStyle w:val="Heading2"/>
        <w:rPr>
          <w:color w:val="23A4DE"/>
          <w:lang w:val="en-US"/>
        </w:rPr>
      </w:pPr>
      <w:bookmarkStart w:id="24" w:name="_Occupancy_Rates_of"/>
      <w:bookmarkEnd w:id="24"/>
      <w:r w:rsidRPr="00157446">
        <w:rPr>
          <w:color w:val="23A4DE"/>
          <w:lang w:val="en-US"/>
        </w:rPr>
        <w:lastRenderedPageBreak/>
        <w:t>Occupancy Rates of Incubators</w:t>
      </w:r>
    </w:p>
    <w:p w:rsidR="00E84839" w:rsidRDefault="00E84839" w:rsidP="00157446">
      <w:pPr>
        <w:pStyle w:val="NICCYBodyText"/>
        <w:rPr>
          <w:lang w:val="en-US"/>
        </w:rPr>
      </w:pPr>
      <w:r w:rsidRPr="00157446">
        <w:rPr>
          <w:rFonts w:ascii="ITCFranklinGothicDemi" w:hAnsi="ITCFranklinGothicDemi" w:cs="ITCFranklinGothicDemi"/>
          <w:b/>
          <w:lang w:val="en-US"/>
        </w:rPr>
        <w:t>Mr McGimpsey</w:t>
      </w:r>
      <w:r>
        <w:rPr>
          <w:rFonts w:ascii="ITCFranklinGothicDemi" w:hAnsi="ITCFranklinGothicDemi" w:cs="ITCFranklinGothicDemi"/>
          <w:lang w:val="en-US"/>
        </w:rPr>
        <w:t xml:space="preserve"> </w:t>
      </w:r>
      <w:r>
        <w:rPr>
          <w:lang w:val="en-US"/>
        </w:rPr>
        <w:t>asked the Minister of Health, Social Services and Public Safety to detail the current</w:t>
      </w:r>
      <w:r w:rsidR="00157446">
        <w:rPr>
          <w:lang w:val="en-US"/>
        </w:rPr>
        <w:t xml:space="preserve"> </w:t>
      </w:r>
      <w:r>
        <w:rPr>
          <w:lang w:val="en-US"/>
        </w:rPr>
        <w:t>occupancy rates of incubators for premature babies in each hospital.</w:t>
      </w:r>
    </w:p>
    <w:p w:rsidR="00E84839" w:rsidRDefault="00E84839" w:rsidP="00157446">
      <w:pPr>
        <w:pStyle w:val="NICCYBodyText"/>
        <w:rPr>
          <w:rFonts w:ascii="ITCFranklinGothicDemi" w:hAnsi="ITCFranklinGothicDemi" w:cs="ITCFranklinGothicDemi"/>
          <w:lang w:val="en-US"/>
        </w:rPr>
      </w:pPr>
      <w:r>
        <w:rPr>
          <w:rFonts w:ascii="ITCFranklinGothicDemi" w:hAnsi="ITCFranklinGothicDemi" w:cs="ITCFranklinGothicDemi"/>
          <w:lang w:val="en-US"/>
        </w:rPr>
        <w:t>(AQW 35216/11-15)</w:t>
      </w:r>
    </w:p>
    <w:p w:rsidR="00157446" w:rsidRDefault="00157446" w:rsidP="00157446">
      <w:pPr>
        <w:pStyle w:val="NICCYBodyText"/>
        <w:rPr>
          <w:rFonts w:ascii="ITCFranklinGothicDemi" w:hAnsi="ITCFranklinGothicDemi" w:cs="ITCFranklinGothicDemi"/>
          <w:lang w:val="en-US"/>
        </w:rPr>
      </w:pPr>
    </w:p>
    <w:p w:rsidR="00E84839" w:rsidRDefault="00E84839" w:rsidP="00157446">
      <w:pPr>
        <w:pStyle w:val="NICCYBodyText"/>
        <w:rPr>
          <w:lang w:val="en-US"/>
        </w:rPr>
      </w:pPr>
      <w:r w:rsidRPr="00157446">
        <w:rPr>
          <w:rFonts w:ascii="ITCFranklinGothicDemi" w:hAnsi="ITCFranklinGothicDemi" w:cs="ITCFranklinGothicDemi"/>
          <w:b/>
          <w:lang w:val="en-US"/>
        </w:rPr>
        <w:t>Mr Poots:</w:t>
      </w:r>
      <w:r>
        <w:rPr>
          <w:rFonts w:ascii="ITCFranklinGothicDemi" w:hAnsi="ITCFranklinGothicDemi" w:cs="ITCFranklinGothicDemi"/>
          <w:lang w:val="en-US"/>
        </w:rPr>
        <w:t xml:space="preserve"> </w:t>
      </w:r>
      <w:r>
        <w:rPr>
          <w:lang w:val="en-US"/>
        </w:rPr>
        <w:t>The occupancy rate of incubators for premature babies in each hospital at midnight on 30</w:t>
      </w:r>
      <w:r w:rsidRPr="00157446">
        <w:rPr>
          <w:vertAlign w:val="superscript"/>
          <w:lang w:val="en-US"/>
        </w:rPr>
        <w:t>th</w:t>
      </w:r>
      <w:r w:rsidR="00157446">
        <w:rPr>
          <w:lang w:val="en-US"/>
        </w:rPr>
        <w:t xml:space="preserve"> </w:t>
      </w:r>
      <w:r>
        <w:rPr>
          <w:lang w:val="en-US"/>
        </w:rPr>
        <w:t>June 2014 is given in the table below.</w:t>
      </w:r>
    </w:p>
    <w:p w:rsidR="00157446" w:rsidRDefault="00157446" w:rsidP="00157446">
      <w:pPr>
        <w:pStyle w:val="NICCYBodyText"/>
        <w:rPr>
          <w:lang w:val="en-US"/>
        </w:rPr>
      </w:pPr>
    </w:p>
    <w:tbl>
      <w:tblPr>
        <w:tblStyle w:val="TableGrid"/>
        <w:tblW w:w="0" w:type="auto"/>
        <w:tblLook w:val="04A0"/>
      </w:tblPr>
      <w:tblGrid>
        <w:gridCol w:w="3282"/>
        <w:gridCol w:w="3283"/>
        <w:gridCol w:w="3283"/>
      </w:tblGrid>
      <w:tr w:rsidR="00E921A4" w:rsidTr="00E921A4">
        <w:tc>
          <w:tcPr>
            <w:tcW w:w="3282" w:type="dxa"/>
          </w:tcPr>
          <w:p w:rsidR="00E921A4" w:rsidRPr="00E921A4" w:rsidRDefault="00E921A4" w:rsidP="00157446">
            <w:pPr>
              <w:pStyle w:val="NICCYBodyText"/>
              <w:rPr>
                <w:b/>
                <w:lang w:val="en-US"/>
              </w:rPr>
            </w:pPr>
            <w:r>
              <w:rPr>
                <w:b/>
                <w:lang w:val="en-US"/>
              </w:rPr>
              <w:t>HSC Trust</w:t>
            </w:r>
          </w:p>
        </w:tc>
        <w:tc>
          <w:tcPr>
            <w:tcW w:w="3283" w:type="dxa"/>
          </w:tcPr>
          <w:p w:rsidR="00E921A4" w:rsidRPr="00E921A4" w:rsidRDefault="00E921A4" w:rsidP="00157446">
            <w:pPr>
              <w:pStyle w:val="NICCYBodyText"/>
              <w:rPr>
                <w:b/>
                <w:lang w:val="en-US"/>
              </w:rPr>
            </w:pPr>
            <w:r>
              <w:rPr>
                <w:b/>
                <w:lang w:val="en-US"/>
              </w:rPr>
              <w:t>HSC Hospital</w:t>
            </w:r>
          </w:p>
        </w:tc>
        <w:tc>
          <w:tcPr>
            <w:tcW w:w="3283" w:type="dxa"/>
          </w:tcPr>
          <w:p w:rsidR="00E921A4" w:rsidRPr="00E921A4" w:rsidRDefault="00E921A4" w:rsidP="00157446">
            <w:pPr>
              <w:pStyle w:val="NICCYBodyText"/>
              <w:rPr>
                <w:b/>
                <w:lang w:val="en-US"/>
              </w:rPr>
            </w:pPr>
            <w:r>
              <w:rPr>
                <w:b/>
                <w:lang w:val="en-US"/>
              </w:rPr>
              <w:t>Occupancy Rate</w:t>
            </w:r>
          </w:p>
        </w:tc>
      </w:tr>
      <w:tr w:rsidR="00E921A4" w:rsidTr="00E921A4">
        <w:tc>
          <w:tcPr>
            <w:tcW w:w="3282" w:type="dxa"/>
          </w:tcPr>
          <w:p w:rsidR="00E921A4" w:rsidRPr="00E921A4" w:rsidRDefault="00E921A4" w:rsidP="00157446">
            <w:pPr>
              <w:pStyle w:val="NICCYBodyText"/>
              <w:rPr>
                <w:lang w:val="en-US"/>
              </w:rPr>
            </w:pPr>
            <w:r>
              <w:rPr>
                <w:lang w:val="en-US"/>
              </w:rPr>
              <w:t>Belfast</w:t>
            </w:r>
          </w:p>
        </w:tc>
        <w:tc>
          <w:tcPr>
            <w:tcW w:w="3283" w:type="dxa"/>
          </w:tcPr>
          <w:p w:rsidR="00E921A4" w:rsidRDefault="00E921A4" w:rsidP="00157446">
            <w:pPr>
              <w:pStyle w:val="NICCYBodyText"/>
              <w:rPr>
                <w:lang w:val="en-US"/>
              </w:rPr>
            </w:pPr>
            <w:r>
              <w:rPr>
                <w:lang w:val="en-US"/>
              </w:rPr>
              <w:t>Royal Maternity</w:t>
            </w:r>
          </w:p>
        </w:tc>
        <w:tc>
          <w:tcPr>
            <w:tcW w:w="3283" w:type="dxa"/>
          </w:tcPr>
          <w:p w:rsidR="00E921A4" w:rsidRDefault="00E921A4" w:rsidP="00157446">
            <w:pPr>
              <w:pStyle w:val="NICCYBodyText"/>
              <w:rPr>
                <w:lang w:val="en-US"/>
              </w:rPr>
            </w:pPr>
            <w:r>
              <w:rPr>
                <w:lang w:val="en-US"/>
              </w:rPr>
              <w:t>100%</w:t>
            </w:r>
          </w:p>
        </w:tc>
      </w:tr>
      <w:tr w:rsidR="00E921A4" w:rsidTr="00E921A4">
        <w:tc>
          <w:tcPr>
            <w:tcW w:w="3282" w:type="dxa"/>
          </w:tcPr>
          <w:p w:rsidR="00E921A4" w:rsidRDefault="00E921A4" w:rsidP="00157446">
            <w:pPr>
              <w:pStyle w:val="NICCYBodyText"/>
              <w:rPr>
                <w:lang w:val="en-US"/>
              </w:rPr>
            </w:pPr>
            <w:r>
              <w:rPr>
                <w:lang w:val="en-US"/>
              </w:rPr>
              <w:t>Northern</w:t>
            </w:r>
            <w:r>
              <w:rPr>
                <w:sz w:val="12"/>
                <w:szCs w:val="12"/>
                <w:lang w:val="en-US"/>
              </w:rPr>
              <w:t>1</w:t>
            </w:r>
          </w:p>
        </w:tc>
        <w:tc>
          <w:tcPr>
            <w:tcW w:w="3283" w:type="dxa"/>
          </w:tcPr>
          <w:p w:rsidR="00E921A4" w:rsidRDefault="00E921A4" w:rsidP="00157446">
            <w:pPr>
              <w:pStyle w:val="NICCYBodyText"/>
              <w:rPr>
                <w:lang w:val="en-US"/>
              </w:rPr>
            </w:pPr>
            <w:r>
              <w:rPr>
                <w:lang w:val="en-US"/>
              </w:rPr>
              <w:t>Antrim</w:t>
            </w:r>
          </w:p>
        </w:tc>
        <w:tc>
          <w:tcPr>
            <w:tcW w:w="3283" w:type="dxa"/>
          </w:tcPr>
          <w:p w:rsidR="00E921A4" w:rsidRDefault="00E921A4" w:rsidP="00157446">
            <w:pPr>
              <w:pStyle w:val="NICCYBodyText"/>
              <w:rPr>
                <w:lang w:val="en-US"/>
              </w:rPr>
            </w:pPr>
            <w:r>
              <w:rPr>
                <w:lang w:val="en-US"/>
              </w:rPr>
              <w:t>92.9%</w:t>
            </w:r>
          </w:p>
        </w:tc>
      </w:tr>
      <w:tr w:rsidR="00E921A4" w:rsidTr="00E921A4">
        <w:tc>
          <w:tcPr>
            <w:tcW w:w="3282" w:type="dxa"/>
          </w:tcPr>
          <w:p w:rsidR="00E921A4" w:rsidRDefault="00E921A4" w:rsidP="00157446">
            <w:pPr>
              <w:pStyle w:val="NICCYBodyText"/>
              <w:rPr>
                <w:lang w:val="en-US"/>
              </w:rPr>
            </w:pPr>
            <w:r>
              <w:rPr>
                <w:lang w:val="en-US"/>
              </w:rPr>
              <w:t xml:space="preserve">South Eastern </w:t>
            </w:r>
          </w:p>
        </w:tc>
        <w:tc>
          <w:tcPr>
            <w:tcW w:w="3283" w:type="dxa"/>
          </w:tcPr>
          <w:p w:rsidR="00E921A4" w:rsidRDefault="00E921A4" w:rsidP="00157446">
            <w:pPr>
              <w:pStyle w:val="NICCYBodyText"/>
              <w:rPr>
                <w:lang w:val="en-US"/>
              </w:rPr>
            </w:pPr>
            <w:r>
              <w:rPr>
                <w:lang w:val="en-US"/>
              </w:rPr>
              <w:t>Ulster Hospital</w:t>
            </w:r>
          </w:p>
        </w:tc>
        <w:tc>
          <w:tcPr>
            <w:tcW w:w="3283" w:type="dxa"/>
          </w:tcPr>
          <w:p w:rsidR="00E921A4" w:rsidRDefault="00E921A4" w:rsidP="00157446">
            <w:pPr>
              <w:pStyle w:val="NICCYBodyText"/>
              <w:rPr>
                <w:lang w:val="en-US"/>
              </w:rPr>
            </w:pPr>
            <w:r>
              <w:rPr>
                <w:lang w:val="en-US"/>
              </w:rPr>
              <w:t>100%</w:t>
            </w:r>
          </w:p>
        </w:tc>
      </w:tr>
      <w:tr w:rsidR="00E921A4" w:rsidTr="00E921A4">
        <w:tc>
          <w:tcPr>
            <w:tcW w:w="3282" w:type="dxa"/>
            <w:vMerge w:val="restart"/>
            <w:vAlign w:val="center"/>
          </w:tcPr>
          <w:p w:rsidR="00E921A4" w:rsidRDefault="00E921A4" w:rsidP="00E921A4">
            <w:pPr>
              <w:pStyle w:val="NICCYBodyText"/>
              <w:rPr>
                <w:lang w:val="en-US"/>
              </w:rPr>
            </w:pPr>
            <w:r>
              <w:rPr>
                <w:lang w:val="en-US"/>
              </w:rPr>
              <w:t>Southern</w:t>
            </w:r>
          </w:p>
        </w:tc>
        <w:tc>
          <w:tcPr>
            <w:tcW w:w="3283" w:type="dxa"/>
          </w:tcPr>
          <w:p w:rsidR="00E921A4" w:rsidRDefault="00E921A4" w:rsidP="00157446">
            <w:pPr>
              <w:pStyle w:val="NICCYBodyText"/>
              <w:rPr>
                <w:lang w:val="en-US"/>
              </w:rPr>
            </w:pPr>
            <w:r>
              <w:rPr>
                <w:lang w:val="en-US"/>
              </w:rPr>
              <w:t>Craigavon</w:t>
            </w:r>
          </w:p>
        </w:tc>
        <w:tc>
          <w:tcPr>
            <w:tcW w:w="3283" w:type="dxa"/>
          </w:tcPr>
          <w:p w:rsidR="00E921A4" w:rsidRDefault="00E921A4" w:rsidP="00157446">
            <w:pPr>
              <w:pStyle w:val="NICCYBodyText"/>
              <w:rPr>
                <w:lang w:val="en-US"/>
              </w:rPr>
            </w:pPr>
            <w:r>
              <w:rPr>
                <w:lang w:val="en-US"/>
              </w:rPr>
              <w:t>23.5%</w:t>
            </w:r>
          </w:p>
        </w:tc>
      </w:tr>
      <w:tr w:rsidR="00E921A4" w:rsidTr="00E921A4">
        <w:tc>
          <w:tcPr>
            <w:tcW w:w="3282" w:type="dxa"/>
            <w:vMerge/>
          </w:tcPr>
          <w:p w:rsidR="00E921A4" w:rsidRDefault="00E921A4" w:rsidP="00157446">
            <w:pPr>
              <w:pStyle w:val="NICCYBodyText"/>
              <w:rPr>
                <w:lang w:val="en-US"/>
              </w:rPr>
            </w:pPr>
          </w:p>
        </w:tc>
        <w:tc>
          <w:tcPr>
            <w:tcW w:w="3283" w:type="dxa"/>
          </w:tcPr>
          <w:p w:rsidR="00E921A4" w:rsidRDefault="00E921A4" w:rsidP="00157446">
            <w:pPr>
              <w:pStyle w:val="NICCYBodyText"/>
              <w:rPr>
                <w:lang w:val="en-US"/>
              </w:rPr>
            </w:pPr>
            <w:r>
              <w:rPr>
                <w:lang w:val="en-US"/>
              </w:rPr>
              <w:t>Daisy Hill</w:t>
            </w:r>
          </w:p>
        </w:tc>
        <w:tc>
          <w:tcPr>
            <w:tcW w:w="3283" w:type="dxa"/>
          </w:tcPr>
          <w:p w:rsidR="00E921A4" w:rsidRDefault="00E921A4" w:rsidP="00157446">
            <w:pPr>
              <w:pStyle w:val="NICCYBodyText"/>
              <w:rPr>
                <w:lang w:val="en-US"/>
              </w:rPr>
            </w:pPr>
            <w:r>
              <w:rPr>
                <w:lang w:val="en-US"/>
              </w:rPr>
              <w:t>14.3%</w:t>
            </w:r>
          </w:p>
        </w:tc>
      </w:tr>
      <w:tr w:rsidR="00E921A4" w:rsidTr="00E921A4">
        <w:tc>
          <w:tcPr>
            <w:tcW w:w="3282" w:type="dxa"/>
            <w:vMerge w:val="restart"/>
            <w:vAlign w:val="center"/>
          </w:tcPr>
          <w:p w:rsidR="00E921A4" w:rsidRDefault="00E921A4" w:rsidP="00E921A4">
            <w:pPr>
              <w:pStyle w:val="NICCYBodyText"/>
              <w:rPr>
                <w:lang w:val="en-US"/>
              </w:rPr>
            </w:pPr>
            <w:r>
              <w:rPr>
                <w:lang w:val="en-US"/>
              </w:rPr>
              <w:t>Western</w:t>
            </w:r>
            <w:r>
              <w:rPr>
                <w:sz w:val="12"/>
                <w:szCs w:val="12"/>
                <w:lang w:val="en-US"/>
              </w:rPr>
              <w:t>1</w:t>
            </w:r>
          </w:p>
        </w:tc>
        <w:tc>
          <w:tcPr>
            <w:tcW w:w="3283" w:type="dxa"/>
          </w:tcPr>
          <w:p w:rsidR="00E921A4" w:rsidRDefault="00E921A4" w:rsidP="00157446">
            <w:pPr>
              <w:pStyle w:val="NICCYBodyText"/>
              <w:rPr>
                <w:lang w:val="en-US"/>
              </w:rPr>
            </w:pPr>
            <w:r>
              <w:rPr>
                <w:lang w:val="en-US"/>
              </w:rPr>
              <w:t>Altnagelvin</w:t>
            </w:r>
          </w:p>
        </w:tc>
        <w:tc>
          <w:tcPr>
            <w:tcW w:w="3283" w:type="dxa"/>
          </w:tcPr>
          <w:p w:rsidR="00E921A4" w:rsidRDefault="00E921A4" w:rsidP="00157446">
            <w:pPr>
              <w:pStyle w:val="NICCYBodyText"/>
              <w:rPr>
                <w:lang w:val="en-US"/>
              </w:rPr>
            </w:pPr>
            <w:r>
              <w:rPr>
                <w:lang w:val="en-US"/>
              </w:rPr>
              <w:t>77.8%</w:t>
            </w:r>
          </w:p>
        </w:tc>
      </w:tr>
      <w:tr w:rsidR="00E921A4" w:rsidTr="00E921A4">
        <w:tc>
          <w:tcPr>
            <w:tcW w:w="3282" w:type="dxa"/>
            <w:vMerge/>
          </w:tcPr>
          <w:p w:rsidR="00E921A4" w:rsidRDefault="00E921A4" w:rsidP="00157446">
            <w:pPr>
              <w:pStyle w:val="NICCYBodyText"/>
              <w:rPr>
                <w:lang w:val="en-US"/>
              </w:rPr>
            </w:pPr>
          </w:p>
        </w:tc>
        <w:tc>
          <w:tcPr>
            <w:tcW w:w="3283" w:type="dxa"/>
          </w:tcPr>
          <w:p w:rsidR="00E921A4" w:rsidRDefault="00E921A4" w:rsidP="00157446">
            <w:pPr>
              <w:pStyle w:val="NICCYBodyText"/>
              <w:rPr>
                <w:lang w:val="en-US"/>
              </w:rPr>
            </w:pPr>
            <w:r>
              <w:rPr>
                <w:lang w:val="en-US"/>
              </w:rPr>
              <w:t>South West Acute</w:t>
            </w:r>
          </w:p>
        </w:tc>
        <w:tc>
          <w:tcPr>
            <w:tcW w:w="3283" w:type="dxa"/>
          </w:tcPr>
          <w:p w:rsidR="00E921A4" w:rsidRDefault="00E921A4" w:rsidP="00157446">
            <w:pPr>
              <w:pStyle w:val="NICCYBodyText"/>
              <w:rPr>
                <w:lang w:val="en-US"/>
              </w:rPr>
            </w:pPr>
            <w:r>
              <w:rPr>
                <w:lang w:val="en-US"/>
              </w:rPr>
              <w:t>50%</w:t>
            </w:r>
          </w:p>
        </w:tc>
      </w:tr>
    </w:tbl>
    <w:p w:rsidR="00E84839" w:rsidRPr="00E921A4" w:rsidRDefault="00E84839" w:rsidP="00E84839">
      <w:pPr>
        <w:autoSpaceDE w:val="0"/>
        <w:autoSpaceDN w:val="0"/>
        <w:adjustRightInd w:val="0"/>
        <w:rPr>
          <w:sz w:val="20"/>
          <w:szCs w:val="20"/>
          <w:lang w:val="en-US"/>
        </w:rPr>
      </w:pPr>
      <w:r w:rsidRPr="00E921A4">
        <w:rPr>
          <w:sz w:val="20"/>
          <w:szCs w:val="20"/>
          <w:lang w:val="en-US"/>
        </w:rPr>
        <w:t>Source: Health and Social Care Trusts</w:t>
      </w:r>
    </w:p>
    <w:p w:rsidR="00E921A4" w:rsidRPr="00E921A4" w:rsidRDefault="00E921A4" w:rsidP="00E84839">
      <w:pPr>
        <w:autoSpaceDE w:val="0"/>
        <w:autoSpaceDN w:val="0"/>
        <w:adjustRightInd w:val="0"/>
        <w:rPr>
          <w:sz w:val="20"/>
          <w:szCs w:val="20"/>
          <w:lang w:val="en-US"/>
        </w:rPr>
      </w:pPr>
    </w:p>
    <w:p w:rsidR="00E84839" w:rsidRPr="00E921A4" w:rsidRDefault="00E84839" w:rsidP="00E84839">
      <w:pPr>
        <w:autoSpaceDE w:val="0"/>
        <w:autoSpaceDN w:val="0"/>
        <w:adjustRightInd w:val="0"/>
        <w:rPr>
          <w:sz w:val="20"/>
          <w:szCs w:val="20"/>
          <w:lang w:val="en-US"/>
        </w:rPr>
      </w:pPr>
      <w:r w:rsidRPr="00E921A4">
        <w:rPr>
          <w:sz w:val="20"/>
          <w:szCs w:val="20"/>
          <w:lang w:val="en-US"/>
        </w:rPr>
        <w:t>Notes:</w:t>
      </w:r>
    </w:p>
    <w:p w:rsidR="00E84839" w:rsidRPr="00E921A4" w:rsidRDefault="00E921A4" w:rsidP="00E84839">
      <w:pPr>
        <w:autoSpaceDE w:val="0"/>
        <w:autoSpaceDN w:val="0"/>
        <w:adjustRightInd w:val="0"/>
        <w:rPr>
          <w:sz w:val="20"/>
          <w:szCs w:val="20"/>
          <w:lang w:val="en-US"/>
        </w:rPr>
      </w:pPr>
      <w:r>
        <w:rPr>
          <w:sz w:val="20"/>
          <w:szCs w:val="20"/>
          <w:lang w:val="en-US"/>
        </w:rPr>
        <w:t xml:space="preserve">1 - </w:t>
      </w:r>
      <w:r w:rsidR="00E84839" w:rsidRPr="00E921A4">
        <w:rPr>
          <w:sz w:val="20"/>
          <w:szCs w:val="20"/>
          <w:lang w:val="en-US"/>
        </w:rPr>
        <w:t>Northern and Western Trusts use the term ‘cots’ instead of ‘incubators’, therefore both Trusts have provided</w:t>
      </w:r>
      <w:r>
        <w:rPr>
          <w:sz w:val="20"/>
          <w:szCs w:val="20"/>
          <w:lang w:val="en-US"/>
        </w:rPr>
        <w:t xml:space="preserve"> </w:t>
      </w:r>
      <w:r w:rsidR="00E84839" w:rsidRPr="00E921A4">
        <w:rPr>
          <w:sz w:val="20"/>
          <w:szCs w:val="20"/>
          <w:lang w:val="en-US"/>
        </w:rPr>
        <w:t>information relating to the occupancy rate of cots for premature babies.</w:t>
      </w:r>
    </w:p>
    <w:p w:rsidR="00E84839" w:rsidRPr="00E921A4" w:rsidRDefault="00E84839" w:rsidP="00E84839">
      <w:pPr>
        <w:autoSpaceDE w:val="0"/>
        <w:autoSpaceDN w:val="0"/>
        <w:adjustRightInd w:val="0"/>
        <w:rPr>
          <w:sz w:val="18"/>
          <w:szCs w:val="18"/>
          <w:lang w:val="en-US"/>
        </w:rPr>
      </w:pPr>
    </w:p>
    <w:p w:rsidR="00E921A4" w:rsidRDefault="00E921A4" w:rsidP="00E921A4">
      <w:pPr>
        <w:autoSpaceDE w:val="0"/>
        <w:autoSpaceDN w:val="0"/>
        <w:adjustRightInd w:val="0"/>
        <w:rPr>
          <w:rFonts w:ascii="ITCFranklinGothicDemi" w:hAnsi="ITCFranklinGothicDemi" w:cs="ITCFranklinGothicDemi"/>
          <w:sz w:val="20"/>
          <w:szCs w:val="20"/>
          <w:lang w:val="en-US"/>
        </w:rPr>
      </w:pPr>
      <w:hyperlink w:anchor="_top" w:history="1">
        <w:r w:rsidRPr="007715F2">
          <w:rPr>
            <w:rStyle w:val="Hyperlink"/>
          </w:rPr>
          <w:t>Back t</w:t>
        </w:r>
        <w:r w:rsidRPr="007715F2">
          <w:rPr>
            <w:rStyle w:val="Hyperlink"/>
          </w:rPr>
          <w:t>o</w:t>
        </w:r>
        <w:r w:rsidRPr="007715F2">
          <w:rPr>
            <w:rStyle w:val="Hyperlink"/>
          </w:rPr>
          <w:t xml:space="preserve"> </w:t>
        </w:r>
        <w:r w:rsidRPr="007715F2">
          <w:rPr>
            <w:rStyle w:val="Hyperlink"/>
          </w:rPr>
          <w:t>Top</w:t>
        </w:r>
      </w:hyperlink>
    </w:p>
    <w:p w:rsidR="00E84839" w:rsidRDefault="00E84839" w:rsidP="00E84839">
      <w:pPr>
        <w:autoSpaceDE w:val="0"/>
        <w:autoSpaceDN w:val="0"/>
        <w:adjustRightInd w:val="0"/>
        <w:rPr>
          <w:rFonts w:ascii="ITCFranklinGothicBook" w:hAnsi="ITCFranklinGothicBook" w:cs="ITCFranklinGothicBook"/>
          <w:sz w:val="18"/>
          <w:szCs w:val="18"/>
          <w:lang w:val="en-US"/>
        </w:rPr>
      </w:pPr>
    </w:p>
    <w:p w:rsidR="00E84839" w:rsidRDefault="00E84839"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84839">
      <w:pPr>
        <w:autoSpaceDE w:val="0"/>
        <w:autoSpaceDN w:val="0"/>
        <w:adjustRightInd w:val="0"/>
        <w:rPr>
          <w:rFonts w:ascii="ITCFranklinGothicBook" w:hAnsi="ITCFranklinGothicBook" w:cs="ITCFranklinGothicBook"/>
          <w:sz w:val="18"/>
          <w:szCs w:val="18"/>
          <w:lang w:val="en-US"/>
        </w:rPr>
      </w:pPr>
    </w:p>
    <w:p w:rsidR="00E921A4" w:rsidRDefault="00E921A4" w:rsidP="00E921A4">
      <w:pPr>
        <w:pStyle w:val="NICCYHeading"/>
        <w:rPr>
          <w:lang w:val="en-US"/>
        </w:rPr>
      </w:pPr>
      <w:r>
        <w:rPr>
          <w:lang w:val="en-US"/>
        </w:rPr>
        <w:lastRenderedPageBreak/>
        <w:t>Department of Justice</w:t>
      </w:r>
    </w:p>
    <w:p w:rsidR="00E84839" w:rsidRPr="00E921A4" w:rsidRDefault="00E84839" w:rsidP="00E921A4">
      <w:pPr>
        <w:pStyle w:val="Heading2"/>
        <w:rPr>
          <w:color w:val="23A4DE"/>
          <w:lang w:val="en-US"/>
        </w:rPr>
      </w:pPr>
      <w:bookmarkStart w:id="25" w:name="_Preventing_and_Combating"/>
      <w:bookmarkEnd w:id="25"/>
      <w:r w:rsidRPr="00E921A4">
        <w:rPr>
          <w:color w:val="23A4DE"/>
          <w:lang w:val="en-US"/>
        </w:rPr>
        <w:t>Preventing and Combating Violence Against Women and Domestic Violence Treaty</w:t>
      </w:r>
    </w:p>
    <w:p w:rsidR="00E84839" w:rsidRDefault="00E84839" w:rsidP="00E921A4">
      <w:pPr>
        <w:pStyle w:val="NICCYBodyText"/>
        <w:rPr>
          <w:lang w:val="en-US"/>
        </w:rPr>
      </w:pPr>
      <w:r w:rsidRPr="00E921A4">
        <w:rPr>
          <w:rFonts w:ascii="ITCFranklinGothicDemi" w:hAnsi="ITCFranklinGothicDemi" w:cs="ITCFranklinGothicDemi"/>
          <w:b/>
          <w:lang w:val="en-US"/>
        </w:rPr>
        <w:t>Mrs Cameron</w:t>
      </w:r>
      <w:r>
        <w:rPr>
          <w:rFonts w:ascii="ITCFranklinGothicDemi" w:hAnsi="ITCFranklinGothicDemi" w:cs="ITCFranklinGothicDemi"/>
          <w:lang w:val="en-US"/>
        </w:rPr>
        <w:t xml:space="preserve"> </w:t>
      </w:r>
      <w:r>
        <w:rPr>
          <w:lang w:val="en-US"/>
        </w:rPr>
        <w:t>asked the Minister of Justice what legislation he plans to introduce once the Council</w:t>
      </w:r>
      <w:r w:rsidR="00E921A4">
        <w:rPr>
          <w:lang w:val="en-US"/>
        </w:rPr>
        <w:t xml:space="preserve"> </w:t>
      </w:r>
      <w:r>
        <w:rPr>
          <w:lang w:val="en-US"/>
        </w:rPr>
        <w:t xml:space="preserve">of Europe Convention on Preventing and Combating Violence </w:t>
      </w:r>
      <w:proofErr w:type="gramStart"/>
      <w:r>
        <w:rPr>
          <w:lang w:val="en-US"/>
        </w:rPr>
        <w:t>Against</w:t>
      </w:r>
      <w:proofErr w:type="gramEnd"/>
      <w:r>
        <w:rPr>
          <w:lang w:val="en-US"/>
        </w:rPr>
        <w:t xml:space="preserve"> Women and Domestic Violence</w:t>
      </w:r>
      <w:r w:rsidR="00E921A4">
        <w:rPr>
          <w:lang w:val="en-US"/>
        </w:rPr>
        <w:t xml:space="preserve"> </w:t>
      </w:r>
      <w:r>
        <w:rPr>
          <w:lang w:val="en-US"/>
        </w:rPr>
        <w:t>Treaty comes into force on 1 August 2014.</w:t>
      </w:r>
    </w:p>
    <w:p w:rsidR="00E84839" w:rsidRDefault="00E84839" w:rsidP="00E921A4">
      <w:pPr>
        <w:pStyle w:val="NICCYBodyText"/>
        <w:rPr>
          <w:rFonts w:ascii="ITCFranklinGothicDemi" w:hAnsi="ITCFranklinGothicDemi" w:cs="ITCFranklinGothicDemi"/>
          <w:lang w:val="en-US"/>
        </w:rPr>
      </w:pPr>
      <w:r>
        <w:rPr>
          <w:rFonts w:ascii="ITCFranklinGothicDemi" w:hAnsi="ITCFranklinGothicDemi" w:cs="ITCFranklinGothicDemi"/>
          <w:lang w:val="en-US"/>
        </w:rPr>
        <w:t>(AQW 34635/11-15)</w:t>
      </w:r>
    </w:p>
    <w:p w:rsidR="00E921A4" w:rsidRDefault="00E921A4" w:rsidP="00E921A4">
      <w:pPr>
        <w:pStyle w:val="NICCYBodyText"/>
        <w:rPr>
          <w:rFonts w:ascii="ITCFranklinGothicDemi" w:hAnsi="ITCFranklinGothicDemi" w:cs="ITCFranklinGothicDemi"/>
          <w:lang w:val="en-US"/>
        </w:rPr>
      </w:pPr>
    </w:p>
    <w:p w:rsidR="00E84839" w:rsidRDefault="00E84839" w:rsidP="00E921A4">
      <w:pPr>
        <w:pStyle w:val="NICCYBodyText"/>
        <w:rPr>
          <w:lang w:val="en-US"/>
        </w:rPr>
      </w:pPr>
      <w:r w:rsidRPr="00E921A4">
        <w:rPr>
          <w:b/>
        </w:rPr>
        <w:t>Mr Ford:</w:t>
      </w:r>
      <w:r>
        <w:rPr>
          <w:rFonts w:ascii="ITCFranklinGothicDemi" w:hAnsi="ITCFranklinGothicDemi" w:cs="ITCFranklinGothicDemi"/>
          <w:lang w:val="en-US"/>
        </w:rPr>
        <w:t xml:space="preserve"> </w:t>
      </w:r>
      <w:r>
        <w:rPr>
          <w:lang w:val="en-US"/>
        </w:rPr>
        <w:t>In May 2012, following consultation with Ministerial colleagues, I advised the Home Secretary</w:t>
      </w:r>
      <w:r w:rsidR="00582988">
        <w:rPr>
          <w:lang w:val="en-US"/>
        </w:rPr>
        <w:t xml:space="preserve"> </w:t>
      </w:r>
      <w:r>
        <w:rPr>
          <w:lang w:val="en-US"/>
        </w:rPr>
        <w:t>that the Northern Ireland Executive supported</w:t>
      </w:r>
      <w:r w:rsidR="00582988">
        <w:rPr>
          <w:lang w:val="en-US"/>
        </w:rPr>
        <w:t xml:space="preserve"> the signing of the convention.  </w:t>
      </w:r>
      <w:r>
        <w:rPr>
          <w:lang w:val="en-US"/>
        </w:rPr>
        <w:t>The convention was</w:t>
      </w:r>
      <w:r w:rsidR="00582988">
        <w:rPr>
          <w:lang w:val="en-US"/>
        </w:rPr>
        <w:t xml:space="preserve"> </w:t>
      </w:r>
      <w:r>
        <w:rPr>
          <w:lang w:val="en-US"/>
        </w:rPr>
        <w:t>subsequently signed by the United Kingdom Government as a member state.</w:t>
      </w:r>
      <w:r w:rsidR="00582988">
        <w:rPr>
          <w:lang w:val="en-US"/>
        </w:rPr>
        <w:t xml:space="preserve">  </w:t>
      </w:r>
      <w:r>
        <w:rPr>
          <w:lang w:val="en-US"/>
        </w:rPr>
        <w:t>A signature alone does not impose on the State obligations under the treaty and the UK has not</w:t>
      </w:r>
      <w:r w:rsidR="00582988">
        <w:rPr>
          <w:lang w:val="en-US"/>
        </w:rPr>
        <w:t xml:space="preserve"> </w:t>
      </w:r>
      <w:r>
        <w:rPr>
          <w:lang w:val="en-US"/>
        </w:rPr>
        <w:t>expressed its consent to be bound by t</w:t>
      </w:r>
      <w:r w:rsidR="00582988">
        <w:rPr>
          <w:lang w:val="en-US"/>
        </w:rPr>
        <w:t xml:space="preserve">he treaty until it is ratified.  </w:t>
      </w:r>
      <w:r>
        <w:rPr>
          <w:lang w:val="en-US"/>
        </w:rPr>
        <w:t>Ratification is a process which</w:t>
      </w:r>
      <w:r w:rsidR="00582988">
        <w:rPr>
          <w:lang w:val="en-US"/>
        </w:rPr>
        <w:t xml:space="preserve"> </w:t>
      </w:r>
      <w:r>
        <w:rPr>
          <w:lang w:val="en-US"/>
        </w:rPr>
        <w:t>requires the consideration of Parliament.</w:t>
      </w:r>
    </w:p>
    <w:p w:rsidR="00582988" w:rsidRDefault="00582988" w:rsidP="00E921A4">
      <w:pPr>
        <w:pStyle w:val="NICCYBodyText"/>
        <w:rPr>
          <w:lang w:val="en-US"/>
        </w:rPr>
      </w:pPr>
    </w:p>
    <w:p w:rsidR="00E84839" w:rsidRDefault="00E84839" w:rsidP="00E921A4">
      <w:pPr>
        <w:pStyle w:val="NICCYBodyText"/>
        <w:rPr>
          <w:lang w:val="en-US"/>
        </w:rPr>
      </w:pPr>
      <w:r>
        <w:rPr>
          <w:lang w:val="en-US"/>
        </w:rPr>
        <w:t>I am aware that the Treaty will come into force on 1 August 2014 for the eleven member states that</w:t>
      </w:r>
      <w:r w:rsidR="00582988">
        <w:rPr>
          <w:lang w:val="en-US"/>
        </w:rPr>
        <w:t xml:space="preserve"> have now ratified it.  </w:t>
      </w:r>
      <w:r>
        <w:rPr>
          <w:lang w:val="en-US"/>
        </w:rPr>
        <w:t>However the United Kingdom has yet to ratify the Treaty.</w:t>
      </w:r>
    </w:p>
    <w:p w:rsidR="00E84839" w:rsidRDefault="00E84839" w:rsidP="00E921A4">
      <w:pPr>
        <w:pStyle w:val="NICCYBodyText"/>
        <w:rPr>
          <w:lang w:val="en-US"/>
        </w:rPr>
      </w:pPr>
      <w:r>
        <w:rPr>
          <w:lang w:val="en-US"/>
        </w:rPr>
        <w:t>My Department will of course monitor progress.</w:t>
      </w:r>
    </w:p>
    <w:p w:rsidR="00E84839" w:rsidRDefault="00E84839" w:rsidP="00E921A4">
      <w:pPr>
        <w:pStyle w:val="NICCYBodyText"/>
        <w:rPr>
          <w:lang w:val="en-US"/>
        </w:rPr>
      </w:pPr>
    </w:p>
    <w:p w:rsidR="00582988" w:rsidRDefault="00582988" w:rsidP="00582988">
      <w:pPr>
        <w:autoSpaceDE w:val="0"/>
        <w:autoSpaceDN w:val="0"/>
        <w:adjustRightInd w:val="0"/>
        <w:rPr>
          <w:rFonts w:ascii="ITCFranklinGothicDemi" w:hAnsi="ITCFranklinGothicDemi" w:cs="ITCFranklinGothicDemi"/>
          <w:sz w:val="20"/>
          <w:szCs w:val="20"/>
          <w:lang w:val="en-US"/>
        </w:rPr>
      </w:pPr>
      <w:hyperlink w:anchor="_top" w:history="1">
        <w:r w:rsidRPr="007715F2">
          <w:rPr>
            <w:rStyle w:val="Hyperlink"/>
          </w:rPr>
          <w:t>Back</w:t>
        </w:r>
        <w:r w:rsidRPr="007715F2">
          <w:rPr>
            <w:rStyle w:val="Hyperlink"/>
          </w:rPr>
          <w:t xml:space="preserve"> </w:t>
        </w:r>
        <w:r w:rsidRPr="007715F2">
          <w:rPr>
            <w:rStyle w:val="Hyperlink"/>
          </w:rPr>
          <w:t>t</w:t>
        </w:r>
        <w:r w:rsidRPr="007715F2">
          <w:rPr>
            <w:rStyle w:val="Hyperlink"/>
          </w:rPr>
          <w:t>o Top</w:t>
        </w:r>
      </w:hyperlink>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E921A4">
      <w:pPr>
        <w:pStyle w:val="NICCYBodyText"/>
        <w:rPr>
          <w:lang w:val="en-US"/>
        </w:rPr>
      </w:pPr>
    </w:p>
    <w:p w:rsidR="00582988" w:rsidRDefault="00582988" w:rsidP="00582988">
      <w:pPr>
        <w:pStyle w:val="NICCYHeading"/>
        <w:rPr>
          <w:lang w:val="en-US"/>
        </w:rPr>
      </w:pPr>
      <w:r>
        <w:rPr>
          <w:lang w:val="en-US"/>
        </w:rPr>
        <w:lastRenderedPageBreak/>
        <w:t>Department for Social Development</w:t>
      </w:r>
    </w:p>
    <w:p w:rsidR="00E84839" w:rsidRPr="00582988" w:rsidRDefault="00E84839" w:rsidP="00582988">
      <w:pPr>
        <w:pStyle w:val="Heading2"/>
        <w:rPr>
          <w:color w:val="23A4DE"/>
          <w:lang w:val="en-US"/>
        </w:rPr>
      </w:pPr>
      <w:bookmarkStart w:id="26" w:name="_Tackling_Low_Educational"/>
      <w:bookmarkEnd w:id="26"/>
      <w:r w:rsidRPr="00582988">
        <w:rPr>
          <w:color w:val="23A4DE"/>
          <w:lang w:val="en-US"/>
        </w:rPr>
        <w:t>Tackling Low Educational Achievement</w:t>
      </w:r>
    </w:p>
    <w:p w:rsidR="00E84839" w:rsidRDefault="00E84839" w:rsidP="00582988">
      <w:pPr>
        <w:pStyle w:val="NICCYBodyText"/>
        <w:rPr>
          <w:lang w:val="en-US"/>
        </w:rPr>
      </w:pPr>
      <w:r w:rsidRPr="00582988">
        <w:rPr>
          <w:rFonts w:ascii="ITCFranklinGothicDemi" w:hAnsi="ITCFranklinGothicDemi" w:cs="ITCFranklinGothicDemi"/>
          <w:b/>
          <w:lang w:val="en-US"/>
        </w:rPr>
        <w:t>Mr Weir</w:t>
      </w:r>
      <w:r>
        <w:rPr>
          <w:rFonts w:ascii="ITCFranklinGothicDemi" w:hAnsi="ITCFranklinGothicDemi" w:cs="ITCFranklinGothicDemi"/>
          <w:lang w:val="en-US"/>
        </w:rPr>
        <w:t xml:space="preserve"> </w:t>
      </w:r>
      <w:r>
        <w:rPr>
          <w:lang w:val="en-US"/>
        </w:rPr>
        <w:t>asked the Minister for Social Development to detail the departmental projects or funding</w:t>
      </w:r>
      <w:r w:rsidR="00582988">
        <w:rPr>
          <w:lang w:val="en-US"/>
        </w:rPr>
        <w:t xml:space="preserve"> </w:t>
      </w:r>
      <w:r>
        <w:rPr>
          <w:lang w:val="en-US"/>
        </w:rPr>
        <w:t>schemes available to community organisations to help tackle low educational achievement.</w:t>
      </w:r>
    </w:p>
    <w:p w:rsidR="00E84839" w:rsidRDefault="00E84839" w:rsidP="00582988">
      <w:pPr>
        <w:pStyle w:val="NICCYBodyText"/>
        <w:rPr>
          <w:rFonts w:ascii="ITCFranklinGothicDemi" w:hAnsi="ITCFranklinGothicDemi" w:cs="ITCFranklinGothicDemi"/>
          <w:lang w:val="en-US"/>
        </w:rPr>
      </w:pPr>
      <w:r>
        <w:rPr>
          <w:rFonts w:ascii="ITCFranklinGothicDemi" w:hAnsi="ITCFranklinGothicDemi" w:cs="ITCFranklinGothicDemi"/>
          <w:lang w:val="en-US"/>
        </w:rPr>
        <w:t>(AQW 35003/11-15)</w:t>
      </w:r>
    </w:p>
    <w:p w:rsidR="00582988" w:rsidRDefault="00582988" w:rsidP="00582988">
      <w:pPr>
        <w:pStyle w:val="NICCYBodyText"/>
        <w:rPr>
          <w:rFonts w:ascii="ITCFranklinGothicDemi" w:hAnsi="ITCFranklinGothicDemi" w:cs="ITCFranklinGothicDemi"/>
          <w:lang w:val="en-US"/>
        </w:rPr>
      </w:pPr>
    </w:p>
    <w:p w:rsidR="00E84839" w:rsidRDefault="00E84839" w:rsidP="00582988">
      <w:pPr>
        <w:pStyle w:val="NICCYBodyText"/>
        <w:rPr>
          <w:lang w:val="en-US"/>
        </w:rPr>
      </w:pPr>
      <w:r w:rsidRPr="00582988">
        <w:rPr>
          <w:rFonts w:ascii="ITCFranklinGothicDemi" w:hAnsi="ITCFranklinGothicDemi" w:cs="ITCFranklinGothicDemi"/>
          <w:b/>
          <w:lang w:val="en-US"/>
        </w:rPr>
        <w:t>Mr McCausland</w:t>
      </w:r>
      <w:r>
        <w:rPr>
          <w:rFonts w:ascii="ITCFranklinGothicDemi" w:hAnsi="ITCFranklinGothicDemi" w:cs="ITCFranklinGothicDemi"/>
          <w:lang w:val="en-US"/>
        </w:rPr>
        <w:t xml:space="preserve">: </w:t>
      </w:r>
      <w:r>
        <w:rPr>
          <w:lang w:val="en-US"/>
        </w:rPr>
        <w:t>My Department does not have any direct funding schemes to help tackle low</w:t>
      </w:r>
      <w:r w:rsidR="00582988">
        <w:rPr>
          <w:lang w:val="en-US"/>
        </w:rPr>
        <w:t xml:space="preserve"> educational achievement.  </w:t>
      </w:r>
      <w:r>
        <w:rPr>
          <w:lang w:val="en-US"/>
        </w:rPr>
        <w:t xml:space="preserve">However, through its </w:t>
      </w:r>
      <w:r w:rsidR="00582988">
        <w:rPr>
          <w:lang w:val="en-US"/>
        </w:rPr>
        <w:t>Neighbourhood</w:t>
      </w:r>
      <w:r>
        <w:rPr>
          <w:lang w:val="en-US"/>
        </w:rPr>
        <w:t xml:space="preserve"> Renewal Strategy, funding may be</w:t>
      </w:r>
      <w:r w:rsidR="00582988">
        <w:rPr>
          <w:lang w:val="en-US"/>
        </w:rPr>
        <w:t xml:space="preserve"> </w:t>
      </w:r>
      <w:r>
        <w:rPr>
          <w:lang w:val="en-US"/>
        </w:rPr>
        <w:t>provided where a priority need for action is identified within local Neighbourhood Renewal Action Plans</w:t>
      </w:r>
      <w:r w:rsidR="00582988">
        <w:rPr>
          <w:lang w:val="en-US"/>
        </w:rPr>
        <w:t xml:space="preserve"> </w:t>
      </w:r>
      <w:r>
        <w:rPr>
          <w:lang w:val="en-US"/>
        </w:rPr>
        <w:t>and where resources are available.</w:t>
      </w:r>
    </w:p>
    <w:p w:rsidR="00582988" w:rsidRDefault="00582988" w:rsidP="00582988">
      <w:pPr>
        <w:pStyle w:val="NICCYBodyText"/>
        <w:rPr>
          <w:lang w:val="en-US"/>
        </w:rPr>
      </w:pPr>
    </w:p>
    <w:p w:rsidR="00E84839" w:rsidRDefault="00E84839" w:rsidP="00582988">
      <w:pPr>
        <w:pStyle w:val="NICCYBodyText"/>
        <w:rPr>
          <w:lang w:val="en-US"/>
        </w:rPr>
      </w:pPr>
      <w:r>
        <w:rPr>
          <w:lang w:val="en-US"/>
        </w:rPr>
        <w:t xml:space="preserve">Currently my department supports a number of projects through its </w:t>
      </w:r>
      <w:proofErr w:type="spellStart"/>
      <w:r>
        <w:rPr>
          <w:lang w:val="en-US"/>
        </w:rPr>
        <w:t>Neighbourhood</w:t>
      </w:r>
      <w:proofErr w:type="spellEnd"/>
      <w:r>
        <w:rPr>
          <w:lang w:val="en-US"/>
        </w:rPr>
        <w:t xml:space="preserve"> Renewal Investment</w:t>
      </w:r>
      <w:r w:rsidR="00582988">
        <w:rPr>
          <w:lang w:val="en-US"/>
        </w:rPr>
        <w:t xml:space="preserve"> </w:t>
      </w:r>
      <w:r>
        <w:rPr>
          <w:lang w:val="en-US"/>
        </w:rPr>
        <w:t>Fund which are designed to address low educational achievement. These range from Nurture Units</w:t>
      </w:r>
      <w:r w:rsidR="00582988">
        <w:rPr>
          <w:lang w:val="en-US"/>
        </w:rPr>
        <w:t xml:space="preserve"> </w:t>
      </w:r>
      <w:r>
        <w:rPr>
          <w:lang w:val="en-US"/>
        </w:rPr>
        <w:t>in primary schools, After School Homework Clubs, Literacy and Numeracy programmes to Education</w:t>
      </w:r>
      <w:r w:rsidR="00582988">
        <w:rPr>
          <w:lang w:val="en-US"/>
        </w:rPr>
        <w:t xml:space="preserve"> </w:t>
      </w:r>
      <w:r>
        <w:rPr>
          <w:lang w:val="en-US"/>
        </w:rPr>
        <w:t>Mentoring programmes.</w:t>
      </w:r>
    </w:p>
    <w:p w:rsidR="00582988" w:rsidRDefault="00582988" w:rsidP="00C8585F">
      <w:pPr>
        <w:pStyle w:val="NICCYBodyText"/>
        <w:rPr>
          <w:lang w:val="en-US"/>
        </w:rPr>
      </w:pPr>
    </w:p>
    <w:p w:rsidR="00C8585F" w:rsidRDefault="00C852E2" w:rsidP="00C8585F">
      <w:pPr>
        <w:pStyle w:val="NICCYBodyText"/>
      </w:pPr>
      <w:hyperlink w:anchor="_top" w:history="1">
        <w:r w:rsidR="00C8585F" w:rsidRPr="007715F2">
          <w:rPr>
            <w:rStyle w:val="Hyperlink"/>
          </w:rPr>
          <w:t>Bac</w:t>
        </w:r>
        <w:r w:rsidR="00C8585F" w:rsidRPr="007715F2">
          <w:rPr>
            <w:rStyle w:val="Hyperlink"/>
          </w:rPr>
          <w:t>k</w:t>
        </w:r>
        <w:r w:rsidR="00C8585F" w:rsidRPr="007715F2">
          <w:rPr>
            <w:rStyle w:val="Hyperlink"/>
          </w:rPr>
          <w:t xml:space="preserve"> to Top</w:t>
        </w:r>
      </w:hyperlink>
    </w:p>
    <w:p w:rsidR="00C8585F" w:rsidRDefault="00C8585F" w:rsidP="00F3229A">
      <w:pPr>
        <w:pStyle w:val="NICCYHeading"/>
      </w:pPr>
    </w:p>
    <w:p w:rsidR="0018790D" w:rsidRDefault="0018790D" w:rsidP="00F3229A">
      <w:pPr>
        <w:pStyle w:val="NICCYHeading"/>
      </w:pPr>
    </w:p>
    <w:sectPr w:rsidR="0018790D" w:rsidSect="008F4BE3">
      <w:headerReference w:type="default" r:id="rId10"/>
      <w:footerReference w:type="even" r:id="rId11"/>
      <w:footerReference w:type="default" r:id="rId12"/>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1A4" w:rsidRDefault="00E921A4" w:rsidP="00CC53D4">
      <w:r>
        <w:separator/>
      </w:r>
    </w:p>
  </w:endnote>
  <w:endnote w:type="continuationSeparator" w:id="0">
    <w:p w:rsidR="00E921A4" w:rsidRDefault="00E921A4"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ITCFranklinGothicDemi">
    <w:panose1 w:val="00000000000000000000"/>
    <w:charset w:val="00"/>
    <w:family w:val="swiss"/>
    <w:notTrueType/>
    <w:pitch w:val="default"/>
    <w:sig w:usb0="00000003" w:usb1="00000000" w:usb2="00000000" w:usb3="00000000" w:csb0="00000001" w:csb1="00000000"/>
  </w:font>
  <w:font w:name="ITCFranklinGothicBook">
    <w:altName w:val="MS Gothic"/>
    <w:panose1 w:val="00000000000000000000"/>
    <w:charset w:val="00"/>
    <w:family w:val="swiss"/>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A4" w:rsidRDefault="00E921A4"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E921A4" w:rsidRDefault="00E921A4"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1A4" w:rsidRPr="00D81956" w:rsidRDefault="00E921A4"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582988">
      <w:rPr>
        <w:rStyle w:val="PageNumber"/>
        <w:rFonts w:ascii="Arial" w:hAnsi="Arial" w:cs="Arial"/>
        <w:noProof/>
        <w:sz w:val="16"/>
        <w:szCs w:val="16"/>
      </w:rPr>
      <w:t>3</w:t>
    </w:r>
    <w:r w:rsidRPr="00D81956">
      <w:rPr>
        <w:rStyle w:val="PageNumber"/>
        <w:rFonts w:ascii="Arial" w:hAnsi="Arial" w:cs="Arial"/>
        <w:sz w:val="16"/>
        <w:szCs w:val="16"/>
      </w:rPr>
      <w:fldChar w:fldCharType="end"/>
    </w:r>
  </w:p>
  <w:p w:rsidR="00E921A4" w:rsidRPr="00D81956" w:rsidRDefault="00E921A4"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E921A4" w:rsidRDefault="00E921A4"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E921A4" w:rsidRDefault="00E921A4"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E921A4" w:rsidRDefault="00E921A4"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E921A4" w:rsidRDefault="00E921A4"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E921A4" w:rsidRDefault="00E921A4"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1A4" w:rsidRDefault="00E921A4" w:rsidP="00CC53D4">
      <w:r>
        <w:separator/>
      </w:r>
    </w:p>
  </w:footnote>
  <w:footnote w:type="continuationSeparator" w:id="0">
    <w:p w:rsidR="00E921A4" w:rsidRDefault="00E921A4"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E921A4" w:rsidTr="000D52AB">
      <w:tc>
        <w:tcPr>
          <w:tcW w:w="5027" w:type="dxa"/>
          <w:shd w:val="clear" w:color="auto" w:fill="auto"/>
        </w:tcPr>
        <w:p w:rsidR="00E921A4" w:rsidRDefault="00E921A4" w:rsidP="00CC53D4">
          <w:pPr>
            <w:pStyle w:val="CompanyName"/>
          </w:pPr>
        </w:p>
      </w:tc>
      <w:tc>
        <w:tcPr>
          <w:tcW w:w="4855" w:type="dxa"/>
          <w:shd w:val="clear" w:color="auto" w:fill="auto"/>
        </w:tcPr>
        <w:p w:rsidR="00E921A4" w:rsidRDefault="00E921A4" w:rsidP="00CC53D4">
          <w:pPr>
            <w:pStyle w:val="CompanyName"/>
          </w:pPr>
        </w:p>
      </w:tc>
    </w:tr>
  </w:tbl>
  <w:p w:rsidR="00E921A4" w:rsidRDefault="00E921A4"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FC7155"/>
    <w:multiLevelType w:val="hybridMultilevel"/>
    <w:tmpl w:val="F97A6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D23377B"/>
    <w:multiLevelType w:val="hybridMultilevel"/>
    <w:tmpl w:val="59AA3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0741"/>
    <w:rsid w:val="000211FE"/>
    <w:rsid w:val="000234A1"/>
    <w:rsid w:val="000444A3"/>
    <w:rsid w:val="00055EA0"/>
    <w:rsid w:val="00071D77"/>
    <w:rsid w:val="000738F5"/>
    <w:rsid w:val="000834FA"/>
    <w:rsid w:val="000837F5"/>
    <w:rsid w:val="00093189"/>
    <w:rsid w:val="000A35EF"/>
    <w:rsid w:val="000B7622"/>
    <w:rsid w:val="000D1CB1"/>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52D28"/>
    <w:rsid w:val="00157446"/>
    <w:rsid w:val="00162F1C"/>
    <w:rsid w:val="0017007C"/>
    <w:rsid w:val="0017312A"/>
    <w:rsid w:val="00176027"/>
    <w:rsid w:val="0018348D"/>
    <w:rsid w:val="0018790D"/>
    <w:rsid w:val="00190478"/>
    <w:rsid w:val="001911A0"/>
    <w:rsid w:val="001936E2"/>
    <w:rsid w:val="001B1E34"/>
    <w:rsid w:val="001B4509"/>
    <w:rsid w:val="001B6EC2"/>
    <w:rsid w:val="001C021B"/>
    <w:rsid w:val="001C07DB"/>
    <w:rsid w:val="001C3FD9"/>
    <w:rsid w:val="001E0551"/>
    <w:rsid w:val="002229F6"/>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201AE"/>
    <w:rsid w:val="0032022E"/>
    <w:rsid w:val="003313EA"/>
    <w:rsid w:val="00342A06"/>
    <w:rsid w:val="00346313"/>
    <w:rsid w:val="003505C8"/>
    <w:rsid w:val="003715DF"/>
    <w:rsid w:val="00392605"/>
    <w:rsid w:val="00394F1A"/>
    <w:rsid w:val="003A1BB8"/>
    <w:rsid w:val="003B0C0B"/>
    <w:rsid w:val="003E6232"/>
    <w:rsid w:val="003E67E9"/>
    <w:rsid w:val="003F5501"/>
    <w:rsid w:val="004064D7"/>
    <w:rsid w:val="00414AF9"/>
    <w:rsid w:val="00432B30"/>
    <w:rsid w:val="00434D7C"/>
    <w:rsid w:val="00451456"/>
    <w:rsid w:val="00454EA3"/>
    <w:rsid w:val="0046603E"/>
    <w:rsid w:val="00474AFE"/>
    <w:rsid w:val="00483941"/>
    <w:rsid w:val="00490ABC"/>
    <w:rsid w:val="00494024"/>
    <w:rsid w:val="00497479"/>
    <w:rsid w:val="0049756B"/>
    <w:rsid w:val="004C026E"/>
    <w:rsid w:val="004C4E64"/>
    <w:rsid w:val="004E47E2"/>
    <w:rsid w:val="004F785C"/>
    <w:rsid w:val="0050043B"/>
    <w:rsid w:val="00502CBF"/>
    <w:rsid w:val="00516B9E"/>
    <w:rsid w:val="0052135F"/>
    <w:rsid w:val="0053253A"/>
    <w:rsid w:val="00534C9C"/>
    <w:rsid w:val="00534EB5"/>
    <w:rsid w:val="00541146"/>
    <w:rsid w:val="00542EC1"/>
    <w:rsid w:val="00546DA4"/>
    <w:rsid w:val="005525FB"/>
    <w:rsid w:val="00560EC9"/>
    <w:rsid w:val="005730D0"/>
    <w:rsid w:val="005776FA"/>
    <w:rsid w:val="00581031"/>
    <w:rsid w:val="00582988"/>
    <w:rsid w:val="0058693C"/>
    <w:rsid w:val="00594766"/>
    <w:rsid w:val="005A0429"/>
    <w:rsid w:val="005A3E39"/>
    <w:rsid w:val="005C465F"/>
    <w:rsid w:val="005C4D0D"/>
    <w:rsid w:val="005E6076"/>
    <w:rsid w:val="005F4C21"/>
    <w:rsid w:val="005F5FAB"/>
    <w:rsid w:val="006013F5"/>
    <w:rsid w:val="006240F5"/>
    <w:rsid w:val="0062524B"/>
    <w:rsid w:val="00635A59"/>
    <w:rsid w:val="006373CF"/>
    <w:rsid w:val="006460E2"/>
    <w:rsid w:val="00654528"/>
    <w:rsid w:val="00655558"/>
    <w:rsid w:val="006608EA"/>
    <w:rsid w:val="006701B4"/>
    <w:rsid w:val="00671F7C"/>
    <w:rsid w:val="006754C4"/>
    <w:rsid w:val="00676A55"/>
    <w:rsid w:val="006830EB"/>
    <w:rsid w:val="00686E42"/>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44E52"/>
    <w:rsid w:val="00751ADC"/>
    <w:rsid w:val="007526F9"/>
    <w:rsid w:val="00752EBD"/>
    <w:rsid w:val="0076185E"/>
    <w:rsid w:val="00764644"/>
    <w:rsid w:val="00773FE9"/>
    <w:rsid w:val="00774E6A"/>
    <w:rsid w:val="00775C69"/>
    <w:rsid w:val="007764FD"/>
    <w:rsid w:val="007902A6"/>
    <w:rsid w:val="007910C9"/>
    <w:rsid w:val="007915E7"/>
    <w:rsid w:val="007954C5"/>
    <w:rsid w:val="007A5E2D"/>
    <w:rsid w:val="007B2173"/>
    <w:rsid w:val="007B6113"/>
    <w:rsid w:val="007C183C"/>
    <w:rsid w:val="007D1642"/>
    <w:rsid w:val="008131FD"/>
    <w:rsid w:val="00815A2F"/>
    <w:rsid w:val="00831BDB"/>
    <w:rsid w:val="008578C9"/>
    <w:rsid w:val="008654D4"/>
    <w:rsid w:val="00873EBD"/>
    <w:rsid w:val="00874143"/>
    <w:rsid w:val="008822D4"/>
    <w:rsid w:val="008860ED"/>
    <w:rsid w:val="00894865"/>
    <w:rsid w:val="008A31A5"/>
    <w:rsid w:val="008A32FE"/>
    <w:rsid w:val="008B4F31"/>
    <w:rsid w:val="008D31BB"/>
    <w:rsid w:val="008D406D"/>
    <w:rsid w:val="008E3945"/>
    <w:rsid w:val="008F3863"/>
    <w:rsid w:val="008F4BE3"/>
    <w:rsid w:val="009108C4"/>
    <w:rsid w:val="00913158"/>
    <w:rsid w:val="00922E3B"/>
    <w:rsid w:val="00922EB4"/>
    <w:rsid w:val="0094155F"/>
    <w:rsid w:val="00951984"/>
    <w:rsid w:val="00955B1B"/>
    <w:rsid w:val="009560AE"/>
    <w:rsid w:val="009675A2"/>
    <w:rsid w:val="00971DFA"/>
    <w:rsid w:val="00976C7A"/>
    <w:rsid w:val="00977BED"/>
    <w:rsid w:val="00997DF0"/>
    <w:rsid w:val="009A5DED"/>
    <w:rsid w:val="009B022D"/>
    <w:rsid w:val="009B121E"/>
    <w:rsid w:val="009B1AF6"/>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80E8D"/>
    <w:rsid w:val="00A840D8"/>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935F3"/>
    <w:rsid w:val="00BA0F69"/>
    <w:rsid w:val="00BA2319"/>
    <w:rsid w:val="00BA23C1"/>
    <w:rsid w:val="00BB3142"/>
    <w:rsid w:val="00BB603F"/>
    <w:rsid w:val="00BD589F"/>
    <w:rsid w:val="00BE13B4"/>
    <w:rsid w:val="00BF5014"/>
    <w:rsid w:val="00C0081D"/>
    <w:rsid w:val="00C06BD6"/>
    <w:rsid w:val="00C10EA2"/>
    <w:rsid w:val="00C24F32"/>
    <w:rsid w:val="00C31FED"/>
    <w:rsid w:val="00C434B2"/>
    <w:rsid w:val="00C61EEA"/>
    <w:rsid w:val="00C637A4"/>
    <w:rsid w:val="00C714F2"/>
    <w:rsid w:val="00C749C1"/>
    <w:rsid w:val="00C852E2"/>
    <w:rsid w:val="00C8585F"/>
    <w:rsid w:val="00CA27CA"/>
    <w:rsid w:val="00CB439A"/>
    <w:rsid w:val="00CB450B"/>
    <w:rsid w:val="00CC2DCC"/>
    <w:rsid w:val="00CC488F"/>
    <w:rsid w:val="00CC4EEF"/>
    <w:rsid w:val="00CC53D4"/>
    <w:rsid w:val="00CC7A32"/>
    <w:rsid w:val="00CD26FC"/>
    <w:rsid w:val="00CE29B6"/>
    <w:rsid w:val="00CF0D19"/>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0B3"/>
    <w:rsid w:val="00E44493"/>
    <w:rsid w:val="00E531E2"/>
    <w:rsid w:val="00E62C60"/>
    <w:rsid w:val="00E65508"/>
    <w:rsid w:val="00E84839"/>
    <w:rsid w:val="00E84CEC"/>
    <w:rsid w:val="00E85371"/>
    <w:rsid w:val="00E921A4"/>
    <w:rsid w:val="00EA058E"/>
    <w:rsid w:val="00EA55B7"/>
    <w:rsid w:val="00EB7847"/>
    <w:rsid w:val="00ED0BC6"/>
    <w:rsid w:val="00EE20AD"/>
    <w:rsid w:val="00EE7908"/>
    <w:rsid w:val="00EF62E7"/>
    <w:rsid w:val="00F231CF"/>
    <w:rsid w:val="00F255DF"/>
    <w:rsid w:val="00F2595C"/>
    <w:rsid w:val="00F3229A"/>
    <w:rsid w:val="00F3674D"/>
    <w:rsid w:val="00F6320A"/>
    <w:rsid w:val="00F81B86"/>
    <w:rsid w:val="00F875F8"/>
    <w:rsid w:val="00F90386"/>
    <w:rsid w:val="00FA1731"/>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cboard.hscni.net/publications/Policies/102%20Procedure_for_the_reporting_and_followup_of_Serious_Adverse_Incidents-Oct2013.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scboard.hscni.net/publications/Policies/102%20Procedure_for_the_reporting_and_followup_of_Serious_Adverse_Incidents-Oct2013.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6D4FE-E2B6-4BD5-A2F6-76EFCB368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24</Pages>
  <Words>5724</Words>
  <Characters>32632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38280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5</cp:revision>
  <cp:lastPrinted>2013-09-30T10:53:00Z</cp:lastPrinted>
  <dcterms:created xsi:type="dcterms:W3CDTF">2014-07-21T11:07:00Z</dcterms:created>
  <dcterms:modified xsi:type="dcterms:W3CDTF">2014-07-21T14:13:00Z</dcterms:modified>
</cp:coreProperties>
</file>