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1F" w:rsidRDefault="00D3030C" w:rsidP="00CA4CD4">
      <w:pPr>
        <w:spacing w:after="0" w:line="240" w:lineRule="auto"/>
        <w:jc w:val="center"/>
        <w:rPr>
          <w:b/>
        </w:rPr>
      </w:pPr>
      <w:r>
        <w:rPr>
          <w:b/>
        </w:rPr>
        <w:t>Submission</w:t>
      </w:r>
      <w:r w:rsidR="00115A91" w:rsidRPr="00115A91">
        <w:rPr>
          <w:b/>
        </w:rPr>
        <w:t xml:space="preserve"> </w:t>
      </w:r>
      <w:r w:rsidR="00115A91" w:rsidRPr="00926458">
        <w:rPr>
          <w:b/>
        </w:rPr>
        <w:t>by the Northern Ireland Commissioner for Children and Young People</w:t>
      </w:r>
      <w:r w:rsidR="00115A91" w:rsidRPr="00115A91">
        <w:rPr>
          <w:b/>
        </w:rPr>
        <w:t xml:space="preserve"> </w:t>
      </w:r>
      <w:r w:rsidR="00115A91">
        <w:rPr>
          <w:b/>
        </w:rPr>
        <w:t xml:space="preserve">to the Public Bill Committee on the </w:t>
      </w:r>
    </w:p>
    <w:p w:rsidR="00D3030C" w:rsidRDefault="00115A91" w:rsidP="00CA4CD4">
      <w:pPr>
        <w:spacing w:after="0" w:line="240" w:lineRule="auto"/>
        <w:jc w:val="center"/>
        <w:rPr>
          <w:b/>
        </w:rPr>
      </w:pPr>
      <w:r>
        <w:rPr>
          <w:b/>
        </w:rPr>
        <w:t>Protection of Freedoms Bill</w:t>
      </w:r>
      <w:r w:rsidR="006B64F5">
        <w:rPr>
          <w:b/>
        </w:rPr>
        <w:t>, 13 May 2011</w:t>
      </w:r>
    </w:p>
    <w:p w:rsidR="00D3030C" w:rsidRDefault="00D3030C" w:rsidP="00C43A26">
      <w:pPr>
        <w:spacing w:after="0" w:line="240" w:lineRule="auto"/>
        <w:rPr>
          <w:b/>
        </w:rPr>
      </w:pPr>
      <w:r>
        <w:rPr>
          <w:b/>
        </w:rPr>
        <w:t xml:space="preserve"> </w:t>
      </w:r>
    </w:p>
    <w:p w:rsidR="00692857" w:rsidRPr="008437EB" w:rsidRDefault="00692857" w:rsidP="00C43A26">
      <w:pPr>
        <w:spacing w:after="0" w:line="240" w:lineRule="auto"/>
        <w:rPr>
          <w:b/>
        </w:rPr>
      </w:pPr>
      <w:r w:rsidRPr="008437EB">
        <w:rPr>
          <w:b/>
        </w:rPr>
        <w:t>Introduction</w:t>
      </w:r>
    </w:p>
    <w:p w:rsidR="005C7286" w:rsidRDefault="005C7286" w:rsidP="00C16306">
      <w:pPr>
        <w:spacing w:after="0" w:line="240" w:lineRule="auto"/>
      </w:pPr>
    </w:p>
    <w:p w:rsidR="004776CC" w:rsidRDefault="00C16306" w:rsidP="004776CC">
      <w:pPr>
        <w:spacing w:after="0" w:line="240" w:lineRule="auto"/>
      </w:pPr>
      <w:r w:rsidRPr="00B209F0">
        <w:t xml:space="preserve">The </w:t>
      </w:r>
      <w:r w:rsidR="005C7286">
        <w:t xml:space="preserve">Northern Ireland </w:t>
      </w:r>
      <w:r>
        <w:t>O</w:t>
      </w:r>
      <w:r w:rsidRPr="00B209F0">
        <w:t xml:space="preserve">ffice of </w:t>
      </w:r>
      <w:r w:rsidR="000C7062">
        <w:t xml:space="preserve">the </w:t>
      </w:r>
      <w:r w:rsidRPr="00B209F0">
        <w:t xml:space="preserve">Commissioner for Children and Young People (NICCY) was created in accordance with ‘The Commissioner for Children and Young People (Northern Ireland) Order’ (2003) </w:t>
      </w:r>
      <w:r w:rsidRPr="00B209F0">
        <w:rPr>
          <w:rFonts w:cs="Arial"/>
        </w:rPr>
        <w:t xml:space="preserve">to </w:t>
      </w:r>
      <w:r>
        <w:rPr>
          <w:rFonts w:cs="Arial"/>
        </w:rPr>
        <w:t>safeguard and promote</w:t>
      </w:r>
      <w:r w:rsidRPr="00B209F0">
        <w:rPr>
          <w:rFonts w:cs="Arial"/>
        </w:rPr>
        <w:t xml:space="preserve"> the rights</w:t>
      </w:r>
      <w:r>
        <w:rPr>
          <w:rFonts w:cs="Arial"/>
        </w:rPr>
        <w:t xml:space="preserve"> and best interests</w:t>
      </w:r>
      <w:r w:rsidRPr="00B209F0">
        <w:rPr>
          <w:rFonts w:cs="Arial"/>
        </w:rPr>
        <w:t xml:space="preserve"> of children and young people in Northern Ireland</w:t>
      </w:r>
      <w:r>
        <w:rPr>
          <w:rFonts w:cs="Arial"/>
        </w:rPr>
        <w:t xml:space="preserve">. </w:t>
      </w:r>
      <w:r w:rsidR="004776CC">
        <w:t xml:space="preserve">Vetting and barring regimes play a key part in the arrangements to protect children and young people from abuse by seeking to ensure that adults who pose a risk to children are not placed in roles, paid or voluntary, which enable them to establish relationships of trust which may be exploited. We therefore welcome the opportunity to comment on the </w:t>
      </w:r>
      <w:r w:rsidR="000C7062">
        <w:t>Protection of Freedoms Bill</w:t>
      </w:r>
      <w:r w:rsidR="004776CC">
        <w:t>.</w:t>
      </w:r>
    </w:p>
    <w:p w:rsidR="004776CC" w:rsidRDefault="004776CC" w:rsidP="00C16306">
      <w:pPr>
        <w:spacing w:after="0" w:line="240" w:lineRule="auto"/>
        <w:rPr>
          <w:rFonts w:cs="Arial"/>
        </w:rPr>
      </w:pPr>
    </w:p>
    <w:p w:rsidR="002842CB" w:rsidRDefault="00C16306" w:rsidP="00C16306">
      <w:pPr>
        <w:spacing w:after="0" w:line="240" w:lineRule="auto"/>
        <w:rPr>
          <w:rFonts w:cs="Arial"/>
          <w:szCs w:val="24"/>
        </w:rPr>
      </w:pPr>
      <w:r>
        <w:t>T</w:t>
      </w:r>
      <w:r>
        <w:rPr>
          <w:rFonts w:cs="Arial"/>
          <w:szCs w:val="24"/>
        </w:rPr>
        <w:t xml:space="preserve">he provisions of the Bill </w:t>
      </w:r>
      <w:r w:rsidR="005635BF">
        <w:rPr>
          <w:rFonts w:cs="Arial"/>
          <w:szCs w:val="24"/>
        </w:rPr>
        <w:t xml:space="preserve">relating to vetting and barring arrangements will come </w:t>
      </w:r>
      <w:r>
        <w:rPr>
          <w:rFonts w:cs="Arial"/>
          <w:szCs w:val="24"/>
        </w:rPr>
        <w:t xml:space="preserve">into effect in </w:t>
      </w:r>
      <w:r w:rsidR="002842CB">
        <w:rPr>
          <w:rFonts w:cs="Arial"/>
          <w:szCs w:val="24"/>
        </w:rPr>
        <w:t xml:space="preserve">this jurisdiction </w:t>
      </w:r>
      <w:r>
        <w:rPr>
          <w:rFonts w:cs="Arial"/>
          <w:szCs w:val="24"/>
        </w:rPr>
        <w:t xml:space="preserve">while </w:t>
      </w:r>
      <w:r w:rsidR="002842CB">
        <w:rPr>
          <w:rFonts w:cs="Arial"/>
          <w:szCs w:val="24"/>
        </w:rPr>
        <w:t xml:space="preserve">the </w:t>
      </w:r>
      <w:r w:rsidR="00405DB2">
        <w:rPr>
          <w:rFonts w:cs="Arial"/>
          <w:szCs w:val="24"/>
        </w:rPr>
        <w:t>Northern Ireland Minister for Justice has initiated a Review of the Criminal Records Regime</w:t>
      </w:r>
      <w:r w:rsidR="003D2B3B">
        <w:rPr>
          <w:rFonts w:cs="Arial"/>
          <w:szCs w:val="24"/>
        </w:rPr>
        <w:t xml:space="preserve"> which will consider the management and sharing of disclosure information and criminal records checks</w:t>
      </w:r>
      <w:r w:rsidR="00405DB2">
        <w:rPr>
          <w:rFonts w:cs="Arial"/>
          <w:szCs w:val="24"/>
        </w:rPr>
        <w:t xml:space="preserve">. </w:t>
      </w:r>
      <w:r w:rsidR="002842CB">
        <w:rPr>
          <w:rFonts w:cs="Arial"/>
          <w:szCs w:val="24"/>
        </w:rPr>
        <w:t xml:space="preserve">This submission </w:t>
      </w:r>
      <w:r w:rsidR="00405DB2">
        <w:rPr>
          <w:rFonts w:cs="Arial"/>
          <w:szCs w:val="24"/>
        </w:rPr>
        <w:t>therefore relate</w:t>
      </w:r>
      <w:r w:rsidR="002842CB">
        <w:rPr>
          <w:rFonts w:cs="Arial"/>
          <w:szCs w:val="24"/>
        </w:rPr>
        <w:t>s</w:t>
      </w:r>
      <w:r w:rsidR="00405DB2">
        <w:rPr>
          <w:rFonts w:cs="Arial"/>
          <w:szCs w:val="24"/>
        </w:rPr>
        <w:t xml:space="preserve"> to the provisions of </w:t>
      </w:r>
      <w:r>
        <w:rPr>
          <w:rFonts w:cs="Arial"/>
          <w:szCs w:val="24"/>
        </w:rPr>
        <w:t xml:space="preserve">part five chapter two </w:t>
      </w:r>
      <w:r w:rsidR="00405DB2">
        <w:rPr>
          <w:rFonts w:cs="Arial"/>
          <w:szCs w:val="24"/>
        </w:rPr>
        <w:t xml:space="preserve">of the </w:t>
      </w:r>
      <w:r w:rsidR="000C7062">
        <w:t>Protection of Freedoms Bill</w:t>
      </w:r>
      <w:r w:rsidR="00405DB2">
        <w:rPr>
          <w:rFonts w:cs="Arial"/>
          <w:szCs w:val="24"/>
        </w:rPr>
        <w:t xml:space="preserve">. </w:t>
      </w:r>
      <w:r w:rsidR="00D0446F">
        <w:rPr>
          <w:rFonts w:cs="Arial"/>
          <w:szCs w:val="24"/>
        </w:rPr>
        <w:t xml:space="preserve"> </w:t>
      </w:r>
    </w:p>
    <w:p w:rsidR="00F1151F" w:rsidRDefault="00F1151F" w:rsidP="005C7286">
      <w:pPr>
        <w:spacing w:after="0" w:line="240" w:lineRule="auto"/>
      </w:pPr>
    </w:p>
    <w:p w:rsidR="005C7286" w:rsidRDefault="005C7286" w:rsidP="005C7286">
      <w:pPr>
        <w:spacing w:after="0" w:line="240" w:lineRule="auto"/>
      </w:pPr>
      <w:r>
        <w:t>The UK Government as a signatory to the United Nations Conven</w:t>
      </w:r>
      <w:r w:rsidR="003D2B3B">
        <w:t>tion on the Rights of the Child</w:t>
      </w:r>
      <w:r>
        <w:t xml:space="preserve"> should ensure that the general principles of the Convention, including the </w:t>
      </w:r>
      <w:proofErr w:type="spellStart"/>
      <w:r>
        <w:t>paramountcy</w:t>
      </w:r>
      <w:proofErr w:type="spellEnd"/>
      <w:r>
        <w:t xml:space="preserve"> of the child’s best interests and right to life and fullest level of development, are reflected in the provisions of the legislation. We also draw attenti</w:t>
      </w:r>
      <w:r w:rsidR="004776CC">
        <w:t>on to the obligation placed on G</w:t>
      </w:r>
      <w:r>
        <w:t xml:space="preserve">overnment </w:t>
      </w:r>
      <w:r w:rsidR="000C7062">
        <w:t xml:space="preserve">under article 19 of the Convention </w:t>
      </w:r>
      <w:r>
        <w:t>to take all legislative, administrative, social and educational measures to protect children and young people from all forms of violence, abuse</w:t>
      </w:r>
      <w:r w:rsidR="003D2B3B">
        <w:t xml:space="preserve">, </w:t>
      </w:r>
      <w:r>
        <w:t xml:space="preserve">maltreatment </w:t>
      </w:r>
      <w:r w:rsidR="003D2B3B">
        <w:t>or exploitation</w:t>
      </w:r>
      <w:r>
        <w:t xml:space="preserve">. The Protection of Freedoms Bill offers an important opportunity to fulfil this commitment in relation to the vetting and barring scheme.  </w:t>
      </w:r>
    </w:p>
    <w:p w:rsidR="005C7286" w:rsidRDefault="005C7286" w:rsidP="005C7286">
      <w:pPr>
        <w:spacing w:after="0" w:line="240" w:lineRule="auto"/>
      </w:pPr>
    </w:p>
    <w:p w:rsidR="00692857" w:rsidRDefault="00692857" w:rsidP="003B2564">
      <w:pPr>
        <w:rPr>
          <w:b/>
        </w:rPr>
      </w:pPr>
      <w:r w:rsidRPr="003B2564">
        <w:rPr>
          <w:b/>
        </w:rPr>
        <w:t>Restrictions on scope of regulated activities: children</w:t>
      </w:r>
    </w:p>
    <w:p w:rsidR="00692857" w:rsidRPr="000C7062" w:rsidRDefault="00692857" w:rsidP="003B2564">
      <w:pPr>
        <w:rPr>
          <w:u w:val="single"/>
        </w:rPr>
      </w:pPr>
      <w:r w:rsidRPr="000C7062">
        <w:rPr>
          <w:u w:val="single"/>
        </w:rPr>
        <w:t>Young people aged 16 and 17 years old</w:t>
      </w:r>
    </w:p>
    <w:p w:rsidR="00692857" w:rsidRDefault="001A4BD2" w:rsidP="00791D23">
      <w:pPr>
        <w:spacing w:after="0" w:line="240" w:lineRule="auto"/>
        <w:rPr>
          <w:rFonts w:cs="Arial"/>
          <w:szCs w:val="24"/>
        </w:rPr>
      </w:pPr>
      <w:r>
        <w:rPr>
          <w:rFonts w:cs="Arial"/>
          <w:szCs w:val="24"/>
        </w:rPr>
        <w:t xml:space="preserve">NICCY warmly welcomes recent commitments </w:t>
      </w:r>
      <w:r w:rsidR="000C7062">
        <w:rPr>
          <w:rFonts w:cs="Arial"/>
          <w:szCs w:val="24"/>
        </w:rPr>
        <w:t>by th</w:t>
      </w:r>
      <w:r w:rsidR="00CF540C">
        <w:rPr>
          <w:rFonts w:cs="Arial"/>
          <w:szCs w:val="24"/>
        </w:rPr>
        <w:t xml:space="preserve">e UK Government </w:t>
      </w:r>
      <w:r>
        <w:rPr>
          <w:rFonts w:cs="Arial"/>
          <w:szCs w:val="24"/>
        </w:rPr>
        <w:t xml:space="preserve">to </w:t>
      </w:r>
      <w:r w:rsidR="004776CC">
        <w:rPr>
          <w:rFonts w:cs="Arial"/>
          <w:szCs w:val="24"/>
        </w:rPr>
        <w:t xml:space="preserve">place activities </w:t>
      </w:r>
      <w:r w:rsidR="00CF540C">
        <w:rPr>
          <w:rFonts w:cs="Arial"/>
          <w:szCs w:val="24"/>
        </w:rPr>
        <w:t xml:space="preserve">with </w:t>
      </w:r>
      <w:r w:rsidR="00692857">
        <w:rPr>
          <w:rFonts w:cs="Arial"/>
          <w:szCs w:val="24"/>
        </w:rPr>
        <w:t xml:space="preserve">young people aged 16 and 17 year olds </w:t>
      </w:r>
      <w:r w:rsidR="004776CC">
        <w:rPr>
          <w:rFonts w:cs="Arial"/>
          <w:szCs w:val="24"/>
        </w:rPr>
        <w:t xml:space="preserve">in settings such as </w:t>
      </w:r>
      <w:r w:rsidR="00692857">
        <w:rPr>
          <w:rFonts w:cs="Arial"/>
          <w:szCs w:val="24"/>
        </w:rPr>
        <w:t xml:space="preserve">education </w:t>
      </w:r>
      <w:r w:rsidR="004776CC">
        <w:rPr>
          <w:rFonts w:cs="Arial"/>
          <w:szCs w:val="24"/>
        </w:rPr>
        <w:t>within the s</w:t>
      </w:r>
      <w:r w:rsidR="00CF540C">
        <w:rPr>
          <w:rFonts w:cs="Arial"/>
          <w:szCs w:val="24"/>
        </w:rPr>
        <w:t xml:space="preserve">cope of the </w:t>
      </w:r>
      <w:r w:rsidR="0060150A">
        <w:rPr>
          <w:rFonts w:cs="Arial"/>
          <w:szCs w:val="24"/>
        </w:rPr>
        <w:t xml:space="preserve">vetting and barring </w:t>
      </w:r>
      <w:r w:rsidR="00CF540C">
        <w:rPr>
          <w:rFonts w:cs="Arial"/>
          <w:szCs w:val="24"/>
        </w:rPr>
        <w:t>arrang</w:t>
      </w:r>
      <w:r w:rsidR="004776CC">
        <w:rPr>
          <w:rFonts w:cs="Arial"/>
          <w:szCs w:val="24"/>
        </w:rPr>
        <w:t>e</w:t>
      </w:r>
      <w:r w:rsidR="00CF540C">
        <w:rPr>
          <w:rFonts w:cs="Arial"/>
          <w:szCs w:val="24"/>
        </w:rPr>
        <w:t>ments</w:t>
      </w:r>
      <w:r w:rsidR="00692857">
        <w:rPr>
          <w:rFonts w:cs="Arial"/>
          <w:szCs w:val="24"/>
        </w:rPr>
        <w:t xml:space="preserve">. </w:t>
      </w:r>
      <w:r>
        <w:rPr>
          <w:rFonts w:cs="Arial"/>
          <w:szCs w:val="24"/>
        </w:rPr>
        <w:t xml:space="preserve">This </w:t>
      </w:r>
      <w:r w:rsidR="003D2B3B">
        <w:rPr>
          <w:rFonts w:cs="Arial"/>
          <w:szCs w:val="24"/>
        </w:rPr>
        <w:t xml:space="preserve">is in line with </w:t>
      </w:r>
      <w:r w:rsidR="00692857">
        <w:rPr>
          <w:rFonts w:cs="Arial"/>
          <w:szCs w:val="24"/>
        </w:rPr>
        <w:t xml:space="preserve">the definition of a child as set out in the UNCRC and domestic legislation </w:t>
      </w:r>
      <w:r w:rsidR="003B6D55">
        <w:rPr>
          <w:rFonts w:cs="Arial"/>
          <w:szCs w:val="24"/>
        </w:rPr>
        <w:t xml:space="preserve">as being </w:t>
      </w:r>
      <w:r w:rsidR="00692857">
        <w:rPr>
          <w:rFonts w:cs="Arial"/>
          <w:szCs w:val="24"/>
        </w:rPr>
        <w:t xml:space="preserve">up to </w:t>
      </w:r>
      <w:r w:rsidR="00692857">
        <w:rPr>
          <w:rFonts w:cs="Arial"/>
          <w:szCs w:val="24"/>
        </w:rPr>
        <w:lastRenderedPageBreak/>
        <w:t xml:space="preserve">18 years </w:t>
      </w:r>
      <w:r w:rsidR="0060150A">
        <w:rPr>
          <w:rFonts w:cs="Arial"/>
          <w:szCs w:val="24"/>
        </w:rPr>
        <w:t xml:space="preserve">of age </w:t>
      </w:r>
      <w:r w:rsidR="00692857">
        <w:rPr>
          <w:rFonts w:cs="Arial"/>
          <w:szCs w:val="24"/>
        </w:rPr>
        <w:t xml:space="preserve">and </w:t>
      </w:r>
      <w:r>
        <w:rPr>
          <w:rFonts w:cs="Arial"/>
          <w:szCs w:val="24"/>
        </w:rPr>
        <w:t>recognises that all</w:t>
      </w:r>
      <w:r w:rsidR="003B6D55">
        <w:rPr>
          <w:rFonts w:cs="Arial"/>
          <w:szCs w:val="24"/>
        </w:rPr>
        <w:t xml:space="preserve"> children and </w:t>
      </w:r>
      <w:r>
        <w:rPr>
          <w:rFonts w:cs="Arial"/>
          <w:szCs w:val="24"/>
        </w:rPr>
        <w:t xml:space="preserve">young people </w:t>
      </w:r>
      <w:r w:rsidR="003B6D55">
        <w:rPr>
          <w:rFonts w:cs="Arial"/>
          <w:szCs w:val="24"/>
        </w:rPr>
        <w:t xml:space="preserve">across this age grouping </w:t>
      </w:r>
      <w:r>
        <w:rPr>
          <w:rFonts w:cs="Arial"/>
          <w:szCs w:val="24"/>
        </w:rPr>
        <w:t>should b</w:t>
      </w:r>
      <w:r w:rsidR="00692857">
        <w:rPr>
          <w:rFonts w:cs="Arial"/>
          <w:szCs w:val="24"/>
        </w:rPr>
        <w:t xml:space="preserve">e </w:t>
      </w:r>
      <w:r w:rsidR="003B6D55">
        <w:rPr>
          <w:rFonts w:cs="Arial"/>
          <w:szCs w:val="24"/>
        </w:rPr>
        <w:t xml:space="preserve">afforded </w:t>
      </w:r>
      <w:r w:rsidR="00692857" w:rsidRPr="002768E5">
        <w:rPr>
          <w:rFonts w:cs="Arial"/>
          <w:szCs w:val="24"/>
        </w:rPr>
        <w:t>the same level of protectio</w:t>
      </w:r>
      <w:r w:rsidR="003B6D55">
        <w:rPr>
          <w:rFonts w:cs="Arial"/>
          <w:szCs w:val="24"/>
        </w:rPr>
        <w:t>n</w:t>
      </w:r>
      <w:r w:rsidR="00692857" w:rsidRPr="002768E5">
        <w:rPr>
          <w:rFonts w:cs="Arial"/>
          <w:szCs w:val="24"/>
        </w:rPr>
        <w:t xml:space="preserve">. </w:t>
      </w:r>
    </w:p>
    <w:p w:rsidR="00692857" w:rsidRDefault="00692857" w:rsidP="00791D23">
      <w:pPr>
        <w:spacing w:after="0" w:line="240" w:lineRule="auto"/>
        <w:rPr>
          <w:rFonts w:cs="Arial"/>
          <w:szCs w:val="24"/>
        </w:rPr>
      </w:pPr>
    </w:p>
    <w:p w:rsidR="00692857" w:rsidRDefault="003B6D55" w:rsidP="00791D23">
      <w:pPr>
        <w:spacing w:after="0" w:line="240" w:lineRule="auto"/>
        <w:rPr>
          <w:rFonts w:cs="Arial"/>
          <w:szCs w:val="24"/>
        </w:rPr>
      </w:pPr>
      <w:r>
        <w:rPr>
          <w:rFonts w:cs="Arial"/>
          <w:szCs w:val="24"/>
        </w:rPr>
        <w:t>We had raised our concern</w:t>
      </w:r>
      <w:r w:rsidR="004776CC">
        <w:rPr>
          <w:rFonts w:cs="Arial"/>
          <w:szCs w:val="24"/>
        </w:rPr>
        <w:t xml:space="preserve">s about the exclusion of work with 16 and 17 year olds in certain settings from the definition of regulated activity </w:t>
      </w:r>
      <w:r>
        <w:rPr>
          <w:rFonts w:cs="Arial"/>
          <w:szCs w:val="24"/>
        </w:rPr>
        <w:t xml:space="preserve">with the </w:t>
      </w:r>
      <w:r w:rsidR="00692857">
        <w:rPr>
          <w:rFonts w:cs="Arial"/>
          <w:szCs w:val="24"/>
        </w:rPr>
        <w:t xml:space="preserve">Northern Ireland Minister for Health, Social Services and Public Safety </w:t>
      </w:r>
      <w:r>
        <w:rPr>
          <w:rFonts w:cs="Arial"/>
          <w:szCs w:val="24"/>
        </w:rPr>
        <w:t xml:space="preserve">and </w:t>
      </w:r>
      <w:r w:rsidR="000C7062">
        <w:rPr>
          <w:rFonts w:cs="Arial"/>
          <w:szCs w:val="24"/>
        </w:rPr>
        <w:t xml:space="preserve">the </w:t>
      </w:r>
      <w:r>
        <w:rPr>
          <w:rFonts w:cs="Arial"/>
          <w:szCs w:val="24"/>
        </w:rPr>
        <w:t>relevant Assembly Committee</w:t>
      </w:r>
      <w:r w:rsidR="0032166F">
        <w:rPr>
          <w:rFonts w:cs="Arial"/>
          <w:szCs w:val="24"/>
        </w:rPr>
        <w:t xml:space="preserve"> in February 2011</w:t>
      </w:r>
      <w:r w:rsidR="0060150A">
        <w:rPr>
          <w:rFonts w:cs="Arial"/>
          <w:szCs w:val="24"/>
        </w:rPr>
        <w:t>. We</w:t>
      </w:r>
      <w:r w:rsidR="0032166F">
        <w:rPr>
          <w:rFonts w:cs="Arial"/>
          <w:szCs w:val="24"/>
        </w:rPr>
        <w:t xml:space="preserve"> w</w:t>
      </w:r>
      <w:r>
        <w:rPr>
          <w:rFonts w:cs="Arial"/>
          <w:szCs w:val="24"/>
        </w:rPr>
        <w:t xml:space="preserve">elcomed the commitment given by the Minister during the Assembly Legislative Consent Motion </w:t>
      </w:r>
      <w:r w:rsidR="003F5D3C">
        <w:rPr>
          <w:rFonts w:cs="Arial"/>
          <w:szCs w:val="24"/>
        </w:rPr>
        <w:t xml:space="preserve">on 21 March 2011 </w:t>
      </w:r>
      <w:r>
        <w:rPr>
          <w:rFonts w:cs="Arial"/>
          <w:szCs w:val="24"/>
        </w:rPr>
        <w:t xml:space="preserve">to ensure that </w:t>
      </w:r>
      <w:r w:rsidR="0032166F">
        <w:rPr>
          <w:rFonts w:cs="Arial"/>
          <w:szCs w:val="24"/>
        </w:rPr>
        <w:t xml:space="preserve">working </w:t>
      </w:r>
      <w:r w:rsidR="00692857">
        <w:rPr>
          <w:rFonts w:cs="Arial"/>
          <w:szCs w:val="24"/>
        </w:rPr>
        <w:t xml:space="preserve">with 16 and 17 year olds would remain within the scope of the </w:t>
      </w:r>
      <w:r>
        <w:rPr>
          <w:rFonts w:cs="Arial"/>
          <w:szCs w:val="24"/>
        </w:rPr>
        <w:t>arrangements in Northern Ireland.</w:t>
      </w:r>
      <w:r w:rsidR="00692857">
        <w:rPr>
          <w:rStyle w:val="FootnoteReference"/>
          <w:rFonts w:cs="Arial"/>
          <w:szCs w:val="24"/>
        </w:rPr>
        <w:footnoteReference w:id="1"/>
      </w:r>
      <w:r w:rsidR="00692857">
        <w:rPr>
          <w:rFonts w:cs="Arial"/>
          <w:szCs w:val="24"/>
        </w:rPr>
        <w:t xml:space="preserve"> </w:t>
      </w:r>
      <w:r>
        <w:rPr>
          <w:rFonts w:cs="Arial"/>
          <w:szCs w:val="24"/>
        </w:rPr>
        <w:t xml:space="preserve">It is positive that </w:t>
      </w:r>
      <w:r w:rsidR="00692857">
        <w:rPr>
          <w:rFonts w:cs="Arial"/>
          <w:szCs w:val="24"/>
        </w:rPr>
        <w:t xml:space="preserve">UK Ministers </w:t>
      </w:r>
      <w:r>
        <w:rPr>
          <w:rFonts w:cs="Arial"/>
          <w:szCs w:val="24"/>
        </w:rPr>
        <w:t xml:space="preserve">have </w:t>
      </w:r>
      <w:r w:rsidR="0060150A">
        <w:rPr>
          <w:rFonts w:cs="Arial"/>
          <w:szCs w:val="24"/>
        </w:rPr>
        <w:t>r</w:t>
      </w:r>
      <w:r>
        <w:rPr>
          <w:rFonts w:cs="Arial"/>
          <w:szCs w:val="24"/>
        </w:rPr>
        <w:t xml:space="preserve">evisited this issue and that this standard of protection will operate for 16 and 17 year olds across Northern Ireland, England and Wales. </w:t>
      </w:r>
    </w:p>
    <w:p w:rsidR="00692857" w:rsidRDefault="00692857" w:rsidP="00086CAC">
      <w:pPr>
        <w:spacing w:after="0" w:line="240" w:lineRule="auto"/>
        <w:rPr>
          <w:rFonts w:cs="Arial"/>
          <w:szCs w:val="24"/>
        </w:rPr>
      </w:pPr>
    </w:p>
    <w:p w:rsidR="00692857" w:rsidRPr="000C7062" w:rsidRDefault="00692857" w:rsidP="00C43A26">
      <w:pPr>
        <w:spacing w:after="0" w:line="240" w:lineRule="auto"/>
        <w:rPr>
          <w:rFonts w:cs="Arial"/>
          <w:b/>
          <w:szCs w:val="24"/>
          <w:u w:val="single"/>
        </w:rPr>
      </w:pPr>
      <w:r w:rsidRPr="000C7062">
        <w:rPr>
          <w:rFonts w:cs="Arial"/>
          <w:szCs w:val="24"/>
          <w:u w:val="single"/>
        </w:rPr>
        <w:t>Specified roles and settings</w:t>
      </w:r>
      <w:r w:rsidRPr="000C7062">
        <w:rPr>
          <w:rFonts w:cs="Arial"/>
          <w:b/>
          <w:szCs w:val="24"/>
          <w:u w:val="single"/>
        </w:rPr>
        <w:t xml:space="preserve"> </w:t>
      </w:r>
    </w:p>
    <w:p w:rsidR="00692857" w:rsidRDefault="00692857" w:rsidP="000B0135">
      <w:pPr>
        <w:spacing w:after="0" w:line="240" w:lineRule="auto"/>
        <w:rPr>
          <w:rFonts w:cs="Arial"/>
          <w:szCs w:val="24"/>
        </w:rPr>
      </w:pPr>
    </w:p>
    <w:p w:rsidR="00CF540C" w:rsidRPr="00CF540C" w:rsidRDefault="00692857" w:rsidP="00CF540C">
      <w:pPr>
        <w:spacing w:after="0" w:line="240" w:lineRule="auto"/>
        <w:rPr>
          <w:rFonts w:cs="Arial"/>
          <w:color w:val="000000" w:themeColor="text1"/>
          <w:szCs w:val="24"/>
        </w:rPr>
      </w:pPr>
      <w:r>
        <w:rPr>
          <w:rFonts w:cs="Arial"/>
          <w:szCs w:val="24"/>
        </w:rPr>
        <w:t xml:space="preserve">The Bill </w:t>
      </w:r>
      <w:r w:rsidR="000C7062">
        <w:rPr>
          <w:rFonts w:cs="Arial"/>
          <w:szCs w:val="24"/>
        </w:rPr>
        <w:t xml:space="preserve">sets out </w:t>
      </w:r>
      <w:r>
        <w:rPr>
          <w:rFonts w:cs="Arial"/>
          <w:szCs w:val="24"/>
        </w:rPr>
        <w:t>a number of specified settings, including schools, children’s homes and children’s centres, as being within scope of the vetting and barring scheme</w:t>
      </w:r>
      <w:r w:rsidR="00CF540C">
        <w:rPr>
          <w:rFonts w:cs="Arial"/>
          <w:szCs w:val="24"/>
        </w:rPr>
        <w:t xml:space="preserve"> and the proposals </w:t>
      </w:r>
      <w:r>
        <w:rPr>
          <w:rFonts w:cs="Arial"/>
          <w:szCs w:val="24"/>
        </w:rPr>
        <w:t>include the activities of the Children’s Commissioner and inspectorate bodies in Wales</w:t>
      </w:r>
      <w:r w:rsidR="00CF540C">
        <w:rPr>
          <w:rFonts w:cs="Arial"/>
          <w:szCs w:val="24"/>
        </w:rPr>
        <w:t xml:space="preserve">. In recognition that roles in these areas offer the opportunity for contact with very vulnerable children and young people, the Northern Ireland Minister </w:t>
      </w:r>
      <w:r>
        <w:rPr>
          <w:rFonts w:cs="Arial"/>
          <w:szCs w:val="24"/>
        </w:rPr>
        <w:t xml:space="preserve">has </w:t>
      </w:r>
      <w:r w:rsidR="003D2B3B">
        <w:rPr>
          <w:rFonts w:cs="Arial"/>
          <w:szCs w:val="24"/>
        </w:rPr>
        <w:t xml:space="preserve">committed to </w:t>
      </w:r>
      <w:r>
        <w:rPr>
          <w:rFonts w:cs="Arial"/>
          <w:szCs w:val="24"/>
        </w:rPr>
        <w:t xml:space="preserve">the work of the Guardian Ad </w:t>
      </w:r>
      <w:proofErr w:type="spellStart"/>
      <w:r>
        <w:rPr>
          <w:rFonts w:cs="Arial"/>
          <w:szCs w:val="24"/>
        </w:rPr>
        <w:t>Litem</w:t>
      </w:r>
      <w:proofErr w:type="spellEnd"/>
      <w:r>
        <w:rPr>
          <w:rFonts w:cs="Arial"/>
          <w:szCs w:val="24"/>
        </w:rPr>
        <w:t xml:space="preserve"> </w:t>
      </w:r>
      <w:r w:rsidR="0052651E">
        <w:rPr>
          <w:rFonts w:cs="Arial"/>
          <w:szCs w:val="24"/>
        </w:rPr>
        <w:t>Agency</w:t>
      </w:r>
      <w:r>
        <w:rPr>
          <w:rFonts w:cs="Arial"/>
          <w:szCs w:val="24"/>
        </w:rPr>
        <w:t xml:space="preserve"> and inspectorate bodies </w:t>
      </w:r>
      <w:r w:rsidR="00CF540C">
        <w:rPr>
          <w:rFonts w:cs="Arial"/>
          <w:szCs w:val="24"/>
        </w:rPr>
        <w:t xml:space="preserve">in this jurisdiction </w:t>
      </w:r>
      <w:r w:rsidR="00766637">
        <w:rPr>
          <w:rFonts w:cs="Arial"/>
          <w:szCs w:val="24"/>
        </w:rPr>
        <w:t xml:space="preserve">being </w:t>
      </w:r>
      <w:r>
        <w:rPr>
          <w:rFonts w:cs="Arial"/>
          <w:szCs w:val="24"/>
        </w:rPr>
        <w:t>placed within the scope of the scheme</w:t>
      </w:r>
      <w:r w:rsidR="00CF540C">
        <w:rPr>
          <w:rFonts w:cs="Arial"/>
          <w:szCs w:val="24"/>
        </w:rPr>
        <w:t>.</w:t>
      </w:r>
      <w:r w:rsidR="00CF540C" w:rsidRPr="00CF540C">
        <w:rPr>
          <w:rStyle w:val="FootnoteReference"/>
          <w:rFonts w:cs="Arial"/>
          <w:color w:val="000000" w:themeColor="text1"/>
          <w:szCs w:val="24"/>
        </w:rPr>
        <w:footnoteReference w:id="2"/>
      </w:r>
      <w:r w:rsidR="00CF540C" w:rsidRPr="00CF540C">
        <w:rPr>
          <w:rFonts w:cs="Arial"/>
          <w:color w:val="000000" w:themeColor="text1"/>
          <w:szCs w:val="24"/>
        </w:rPr>
        <w:t xml:space="preserve"> </w:t>
      </w:r>
      <w:r w:rsidR="00CF540C">
        <w:rPr>
          <w:rFonts w:cs="Arial"/>
          <w:szCs w:val="24"/>
        </w:rPr>
        <w:t xml:space="preserve">We are supportive of this move although we are disappointed this has not extended to the </w:t>
      </w:r>
      <w:r w:rsidR="00CF540C" w:rsidRPr="00CF540C">
        <w:rPr>
          <w:rFonts w:cs="Arial"/>
          <w:color w:val="000000" w:themeColor="text1"/>
          <w:szCs w:val="24"/>
        </w:rPr>
        <w:t xml:space="preserve">activities of </w:t>
      </w:r>
      <w:r w:rsidR="00766637">
        <w:rPr>
          <w:rFonts w:cs="Arial"/>
          <w:color w:val="000000" w:themeColor="text1"/>
          <w:szCs w:val="24"/>
        </w:rPr>
        <w:t>the Children’s Commissioner in Northern Ireland</w:t>
      </w:r>
      <w:r w:rsidRPr="00CF540C">
        <w:rPr>
          <w:rFonts w:cs="Arial"/>
          <w:color w:val="000000" w:themeColor="text1"/>
          <w:szCs w:val="24"/>
        </w:rPr>
        <w:t xml:space="preserve">. </w:t>
      </w:r>
    </w:p>
    <w:p w:rsidR="00CF540C" w:rsidRDefault="00CF540C" w:rsidP="00CF540C">
      <w:pPr>
        <w:spacing w:after="0" w:line="240" w:lineRule="auto"/>
        <w:rPr>
          <w:rFonts w:cs="Arial"/>
          <w:szCs w:val="24"/>
        </w:rPr>
      </w:pPr>
    </w:p>
    <w:p w:rsidR="00CF540C" w:rsidRDefault="00906CE0" w:rsidP="00CF540C">
      <w:pPr>
        <w:spacing w:after="0" w:line="240" w:lineRule="auto"/>
        <w:rPr>
          <w:rFonts w:cs="Arial"/>
          <w:szCs w:val="24"/>
        </w:rPr>
      </w:pPr>
      <w:r>
        <w:rPr>
          <w:rFonts w:cs="Arial"/>
          <w:color w:val="000000" w:themeColor="text1"/>
          <w:szCs w:val="24"/>
        </w:rPr>
        <w:t>NICCY w</w:t>
      </w:r>
      <w:r w:rsidR="00CF540C">
        <w:rPr>
          <w:rFonts w:cs="Arial"/>
          <w:color w:val="000000" w:themeColor="text1"/>
          <w:szCs w:val="24"/>
        </w:rPr>
        <w:t xml:space="preserve">ould </w:t>
      </w:r>
      <w:r w:rsidR="00CF540C">
        <w:rPr>
          <w:rFonts w:cs="Arial"/>
          <w:szCs w:val="24"/>
        </w:rPr>
        <w:t xml:space="preserve">draw attention to the importance of ensuring the Bill does not fragment the levels of protection offered to children based simply on the geographical area in which they live. The vetting and barring </w:t>
      </w:r>
      <w:r w:rsidR="00B91455">
        <w:rPr>
          <w:rFonts w:cs="Arial"/>
          <w:szCs w:val="24"/>
        </w:rPr>
        <w:t xml:space="preserve">arrangements </w:t>
      </w:r>
      <w:r w:rsidR="00CF540C">
        <w:rPr>
          <w:rFonts w:cs="Arial"/>
          <w:szCs w:val="24"/>
        </w:rPr>
        <w:t>should operate to the highest, not the lowest, standard across the jurisdictions</w:t>
      </w:r>
      <w:r w:rsidR="00253F3C">
        <w:rPr>
          <w:rFonts w:cs="Arial"/>
          <w:szCs w:val="24"/>
        </w:rPr>
        <w:t xml:space="preserve"> and should, for example, place the activities of inspectorate bodies in all relevant jurisdictions within scope of the scheme</w:t>
      </w:r>
      <w:r w:rsidR="00CF540C">
        <w:rPr>
          <w:rFonts w:cs="Arial"/>
          <w:szCs w:val="24"/>
        </w:rPr>
        <w:t xml:space="preserve">. </w:t>
      </w:r>
    </w:p>
    <w:p w:rsidR="000C163C" w:rsidRDefault="000C163C" w:rsidP="0034389E">
      <w:pPr>
        <w:spacing w:after="0" w:line="240" w:lineRule="auto"/>
        <w:rPr>
          <w:rFonts w:cs="Arial"/>
          <w:szCs w:val="24"/>
        </w:rPr>
      </w:pPr>
    </w:p>
    <w:p w:rsidR="00692857" w:rsidRDefault="00692857" w:rsidP="00C43A26">
      <w:pPr>
        <w:spacing w:after="0" w:line="240" w:lineRule="auto"/>
        <w:rPr>
          <w:rFonts w:cs="Arial"/>
          <w:szCs w:val="24"/>
        </w:rPr>
      </w:pPr>
      <w:r>
        <w:rPr>
          <w:rFonts w:cs="Arial"/>
          <w:szCs w:val="24"/>
        </w:rPr>
        <w:t>In considering the restricted definition of regulated activity, we note that this excludes the provision of legal advice to children, supervised teaching, training and instruction or the provision of any care and supervision of children by a person who is being supervised by another.</w:t>
      </w:r>
      <w:r w:rsidR="007A587E">
        <w:rPr>
          <w:rStyle w:val="FootnoteReference"/>
          <w:szCs w:val="24"/>
        </w:rPr>
        <w:footnoteReference w:id="3"/>
      </w:r>
      <w:r>
        <w:rPr>
          <w:rFonts w:cs="Arial"/>
          <w:szCs w:val="24"/>
        </w:rPr>
        <w:t xml:space="preserve"> It is important to recognise that a number of such excluded </w:t>
      </w:r>
      <w:r w:rsidR="002033A1">
        <w:rPr>
          <w:rFonts w:cs="Arial"/>
          <w:szCs w:val="24"/>
        </w:rPr>
        <w:t>positions</w:t>
      </w:r>
      <w:r>
        <w:rPr>
          <w:rFonts w:cs="Arial"/>
          <w:szCs w:val="24"/>
        </w:rPr>
        <w:t xml:space="preserve"> involve frequent and ongoing contact with children and young people or contact with children when they may be particularly vulnerable.   </w:t>
      </w:r>
    </w:p>
    <w:p w:rsidR="00EA3FE2" w:rsidRDefault="00EA3FE2" w:rsidP="00EA3FE2">
      <w:pPr>
        <w:spacing w:after="0" w:line="240" w:lineRule="auto"/>
        <w:rPr>
          <w:rFonts w:cs="Arial"/>
          <w:szCs w:val="24"/>
        </w:rPr>
      </w:pPr>
    </w:p>
    <w:p w:rsidR="00EA3FE2" w:rsidRDefault="00EE3DDC" w:rsidP="00EA3FE2">
      <w:pPr>
        <w:spacing w:after="0" w:line="240" w:lineRule="auto"/>
        <w:rPr>
          <w:rFonts w:cs="Arial"/>
          <w:szCs w:val="24"/>
        </w:rPr>
      </w:pPr>
      <w:r>
        <w:rPr>
          <w:rFonts w:cs="Arial"/>
          <w:szCs w:val="24"/>
        </w:rPr>
        <w:t xml:space="preserve">Such </w:t>
      </w:r>
      <w:r w:rsidR="002033A1">
        <w:rPr>
          <w:rFonts w:cs="Arial"/>
          <w:szCs w:val="24"/>
        </w:rPr>
        <w:t>roles</w:t>
      </w:r>
      <w:r w:rsidR="00EA3FE2">
        <w:rPr>
          <w:rFonts w:cs="Arial"/>
          <w:szCs w:val="24"/>
        </w:rPr>
        <w:t xml:space="preserve"> which include</w:t>
      </w:r>
      <w:r w:rsidR="00B91455">
        <w:rPr>
          <w:rFonts w:cs="Arial"/>
          <w:szCs w:val="24"/>
        </w:rPr>
        <w:t>, for instance</w:t>
      </w:r>
      <w:r>
        <w:rPr>
          <w:rFonts w:cs="Arial"/>
          <w:szCs w:val="24"/>
        </w:rPr>
        <w:t xml:space="preserve"> </w:t>
      </w:r>
      <w:r w:rsidR="00EA3FE2">
        <w:rPr>
          <w:rFonts w:cs="Arial"/>
          <w:szCs w:val="24"/>
        </w:rPr>
        <w:t>volunteers in classrooms and schools and helpers in faith and sport</w:t>
      </w:r>
      <w:r w:rsidR="003D2B3B">
        <w:rPr>
          <w:rFonts w:cs="Arial"/>
          <w:szCs w:val="24"/>
        </w:rPr>
        <w:t>ing o</w:t>
      </w:r>
      <w:r w:rsidR="00EA3FE2">
        <w:rPr>
          <w:rFonts w:cs="Arial"/>
          <w:szCs w:val="24"/>
        </w:rPr>
        <w:t>rganisations, are often</w:t>
      </w:r>
      <w:r w:rsidR="003D2B3B">
        <w:rPr>
          <w:rFonts w:cs="Arial"/>
          <w:szCs w:val="24"/>
        </w:rPr>
        <w:t xml:space="preserve"> pivotal to how organisations </w:t>
      </w:r>
      <w:r w:rsidR="00EA3FE2">
        <w:rPr>
          <w:rFonts w:cs="Arial"/>
          <w:szCs w:val="24"/>
        </w:rPr>
        <w:t xml:space="preserve">work with </w:t>
      </w:r>
      <w:r w:rsidR="00B91455">
        <w:rPr>
          <w:rFonts w:cs="Arial"/>
          <w:szCs w:val="24"/>
        </w:rPr>
        <w:t xml:space="preserve">and support </w:t>
      </w:r>
      <w:r w:rsidR="00EA3FE2">
        <w:rPr>
          <w:rFonts w:cs="Arial"/>
          <w:szCs w:val="24"/>
        </w:rPr>
        <w:t xml:space="preserve">children across </w:t>
      </w:r>
      <w:r>
        <w:rPr>
          <w:rFonts w:cs="Arial"/>
          <w:szCs w:val="24"/>
        </w:rPr>
        <w:t xml:space="preserve">a range of settings. </w:t>
      </w:r>
      <w:r w:rsidR="00EA3FE2">
        <w:rPr>
          <w:rFonts w:cs="Arial"/>
          <w:szCs w:val="24"/>
        </w:rPr>
        <w:t>The arrangements of the vetting and barring scheme should acknowledge that these are trusted positions which enable adults to build close relationships with children wh</w:t>
      </w:r>
      <w:r w:rsidR="003D2B3B">
        <w:rPr>
          <w:rFonts w:cs="Arial"/>
          <w:szCs w:val="24"/>
        </w:rPr>
        <w:t>o they may seek to harm</w:t>
      </w:r>
      <w:r w:rsidR="00EA3FE2">
        <w:rPr>
          <w:rFonts w:cs="Arial"/>
          <w:szCs w:val="24"/>
        </w:rPr>
        <w:t xml:space="preserve">. </w:t>
      </w:r>
    </w:p>
    <w:p w:rsidR="00692857" w:rsidRDefault="00692857" w:rsidP="00791D23">
      <w:pPr>
        <w:spacing w:after="0" w:line="240" w:lineRule="auto"/>
        <w:rPr>
          <w:rFonts w:cs="Arial"/>
          <w:szCs w:val="24"/>
        </w:rPr>
      </w:pPr>
    </w:p>
    <w:p w:rsidR="002033A1" w:rsidRDefault="002033A1" w:rsidP="002033A1">
      <w:pPr>
        <w:spacing w:after="0" w:line="240" w:lineRule="auto"/>
        <w:rPr>
          <w:rFonts w:cs="Arial"/>
          <w:szCs w:val="24"/>
        </w:rPr>
      </w:pPr>
      <w:r>
        <w:rPr>
          <w:rFonts w:cs="Arial"/>
          <w:szCs w:val="24"/>
        </w:rPr>
        <w:t xml:space="preserve">Roles </w:t>
      </w:r>
      <w:r w:rsidR="003D2B3B">
        <w:rPr>
          <w:rFonts w:cs="Arial"/>
          <w:szCs w:val="24"/>
        </w:rPr>
        <w:t xml:space="preserve">can </w:t>
      </w:r>
      <w:r>
        <w:rPr>
          <w:rFonts w:cs="Arial"/>
          <w:szCs w:val="24"/>
        </w:rPr>
        <w:t xml:space="preserve">be </w:t>
      </w:r>
      <w:r w:rsidR="00EA3FE2">
        <w:rPr>
          <w:rFonts w:cs="Arial"/>
          <w:szCs w:val="24"/>
        </w:rPr>
        <w:t xml:space="preserve">placed </w:t>
      </w:r>
      <w:r w:rsidR="00692857">
        <w:rPr>
          <w:rFonts w:cs="Arial"/>
          <w:szCs w:val="24"/>
        </w:rPr>
        <w:t>outside the scope of regulated activity if they are “subject to the day to day supervision of another person who is engaging in regulated activity</w:t>
      </w:r>
      <w:r w:rsidR="00EE3DDC">
        <w:rPr>
          <w:rFonts w:cs="Arial"/>
          <w:szCs w:val="24"/>
        </w:rPr>
        <w:t xml:space="preserve">”. </w:t>
      </w:r>
      <w:r w:rsidR="00692857">
        <w:rPr>
          <w:rFonts w:cs="Arial"/>
          <w:szCs w:val="24"/>
        </w:rPr>
        <w:t xml:space="preserve">We are concerned that the provisions of the Bill must </w:t>
      </w:r>
      <w:r w:rsidR="00024490">
        <w:rPr>
          <w:rFonts w:cs="Arial"/>
          <w:szCs w:val="24"/>
        </w:rPr>
        <w:t>recognise th</w:t>
      </w:r>
      <w:r w:rsidR="006B7CC5">
        <w:rPr>
          <w:rFonts w:cs="Arial"/>
          <w:szCs w:val="24"/>
        </w:rPr>
        <w:t xml:space="preserve">e complex nature of </w:t>
      </w:r>
      <w:r w:rsidR="00024490">
        <w:rPr>
          <w:rFonts w:cs="Arial"/>
          <w:szCs w:val="24"/>
        </w:rPr>
        <w:t>supervision in th</w:t>
      </w:r>
      <w:r w:rsidR="00DA3D80">
        <w:rPr>
          <w:rFonts w:cs="Arial"/>
          <w:szCs w:val="24"/>
        </w:rPr>
        <w:t>e</w:t>
      </w:r>
      <w:r w:rsidR="00024490">
        <w:rPr>
          <w:rFonts w:cs="Arial"/>
          <w:szCs w:val="24"/>
        </w:rPr>
        <w:t xml:space="preserve"> context of working with children </w:t>
      </w:r>
      <w:r w:rsidR="003D2B3B">
        <w:rPr>
          <w:rFonts w:cs="Arial"/>
          <w:szCs w:val="24"/>
        </w:rPr>
        <w:t xml:space="preserve">which </w:t>
      </w:r>
      <w:r w:rsidR="00DA3D80">
        <w:rPr>
          <w:rFonts w:cs="Arial"/>
          <w:szCs w:val="24"/>
        </w:rPr>
        <w:t xml:space="preserve">is often not </w:t>
      </w:r>
      <w:r w:rsidR="00024490">
        <w:rPr>
          <w:rFonts w:cs="Arial"/>
          <w:szCs w:val="24"/>
        </w:rPr>
        <w:t>fixed or guaranteed</w:t>
      </w:r>
      <w:r w:rsidR="003D2B3B">
        <w:rPr>
          <w:rFonts w:cs="Arial"/>
          <w:szCs w:val="24"/>
        </w:rPr>
        <w:t>. T</w:t>
      </w:r>
      <w:r>
        <w:rPr>
          <w:rFonts w:cs="Arial"/>
          <w:szCs w:val="24"/>
        </w:rPr>
        <w:t xml:space="preserve">he arrangements for those roles which </w:t>
      </w:r>
      <w:r w:rsidR="003D2B3B">
        <w:rPr>
          <w:rFonts w:cs="Arial"/>
          <w:szCs w:val="24"/>
        </w:rPr>
        <w:t xml:space="preserve">the legislation </w:t>
      </w:r>
      <w:r>
        <w:rPr>
          <w:rFonts w:cs="Arial"/>
          <w:szCs w:val="24"/>
        </w:rPr>
        <w:t>understands as being supervised</w:t>
      </w:r>
      <w:r w:rsidR="003D2B3B" w:rsidRPr="003D2B3B">
        <w:rPr>
          <w:rFonts w:cs="Arial"/>
          <w:szCs w:val="24"/>
        </w:rPr>
        <w:t xml:space="preserve"> </w:t>
      </w:r>
      <w:r w:rsidR="003D2B3B">
        <w:rPr>
          <w:rFonts w:cs="Arial"/>
          <w:szCs w:val="24"/>
        </w:rPr>
        <w:t xml:space="preserve">should be strengthened and </w:t>
      </w:r>
      <w:r w:rsidR="006B7CC5">
        <w:rPr>
          <w:rFonts w:cs="Arial"/>
          <w:szCs w:val="24"/>
        </w:rPr>
        <w:t>supervision in the provisions must be robustly defined</w:t>
      </w:r>
      <w:r w:rsidR="003D2B3B">
        <w:rPr>
          <w:rFonts w:cs="Arial"/>
          <w:szCs w:val="24"/>
        </w:rPr>
        <w:t>. We</w:t>
      </w:r>
      <w:r w:rsidR="006B7CC5">
        <w:rPr>
          <w:rFonts w:cs="Arial"/>
          <w:szCs w:val="24"/>
        </w:rPr>
        <w:t xml:space="preserve"> </w:t>
      </w:r>
      <w:r>
        <w:rPr>
          <w:rFonts w:cs="Arial"/>
          <w:szCs w:val="24"/>
        </w:rPr>
        <w:t xml:space="preserve">are supportive of </w:t>
      </w:r>
      <w:r w:rsidR="006B7CC5">
        <w:rPr>
          <w:rFonts w:cs="Arial"/>
          <w:szCs w:val="24"/>
        </w:rPr>
        <w:t xml:space="preserve">the recent submissions to the Committee from the Sport and Recreation Alliance and Child Protection in Sport Unit and </w:t>
      </w:r>
      <w:r w:rsidR="00766637">
        <w:rPr>
          <w:rFonts w:cs="Arial"/>
          <w:szCs w:val="24"/>
        </w:rPr>
        <w:t xml:space="preserve">from </w:t>
      </w:r>
      <w:r w:rsidR="006B7CC5">
        <w:rPr>
          <w:rFonts w:cs="Arial"/>
          <w:szCs w:val="24"/>
        </w:rPr>
        <w:t xml:space="preserve">the NSPCC </w:t>
      </w:r>
      <w:r w:rsidR="003D2B3B">
        <w:rPr>
          <w:rFonts w:cs="Arial"/>
          <w:szCs w:val="24"/>
        </w:rPr>
        <w:t xml:space="preserve">which state that supervision </w:t>
      </w:r>
      <w:r w:rsidR="006B7CC5">
        <w:rPr>
          <w:rFonts w:cs="Arial"/>
          <w:szCs w:val="24"/>
        </w:rPr>
        <w:t>should be</w:t>
      </w:r>
      <w:r w:rsidR="00817FDD">
        <w:rPr>
          <w:rFonts w:cs="Arial"/>
          <w:szCs w:val="24"/>
        </w:rPr>
        <w:t xml:space="preserve"> outlined as</w:t>
      </w:r>
      <w:r w:rsidR="006B7CC5">
        <w:rPr>
          <w:rFonts w:cs="Arial"/>
          <w:szCs w:val="24"/>
        </w:rPr>
        <w:t xml:space="preserve"> </w:t>
      </w:r>
      <w:r>
        <w:rPr>
          <w:rFonts w:cs="Arial"/>
          <w:szCs w:val="24"/>
        </w:rPr>
        <w:t>close</w:t>
      </w:r>
      <w:r w:rsidR="006B7CC5">
        <w:rPr>
          <w:rFonts w:cs="Arial"/>
          <w:szCs w:val="24"/>
        </w:rPr>
        <w:t xml:space="preserve"> and constant and regular and </w:t>
      </w:r>
      <w:r w:rsidR="007729A5">
        <w:rPr>
          <w:rFonts w:cs="Arial"/>
          <w:szCs w:val="24"/>
        </w:rPr>
        <w:t xml:space="preserve">direct </w:t>
      </w:r>
      <w:r>
        <w:rPr>
          <w:rFonts w:cs="Arial"/>
          <w:szCs w:val="24"/>
        </w:rPr>
        <w:t>rather than “day to day”.</w:t>
      </w:r>
      <w:r w:rsidR="006B7CC5">
        <w:rPr>
          <w:rStyle w:val="FootnoteReference"/>
          <w:szCs w:val="24"/>
        </w:rPr>
        <w:footnoteReference w:id="4"/>
      </w:r>
      <w:r>
        <w:rPr>
          <w:rFonts w:cs="Arial"/>
          <w:szCs w:val="24"/>
        </w:rPr>
        <w:t xml:space="preserve"> </w:t>
      </w:r>
      <w:r>
        <w:rPr>
          <w:rFonts w:cs="Arial"/>
          <w:color w:val="00B0F0"/>
          <w:szCs w:val="24"/>
        </w:rPr>
        <w:t xml:space="preserve"> </w:t>
      </w:r>
    </w:p>
    <w:p w:rsidR="00185B9A" w:rsidRDefault="00185B9A" w:rsidP="00890357">
      <w:pPr>
        <w:spacing w:after="0" w:line="240" w:lineRule="auto"/>
        <w:rPr>
          <w:rFonts w:cs="Arial"/>
          <w:szCs w:val="24"/>
        </w:rPr>
      </w:pPr>
    </w:p>
    <w:p w:rsidR="00EA3FE2" w:rsidRDefault="00692857" w:rsidP="00EA3FE2">
      <w:pPr>
        <w:spacing w:after="0" w:line="240" w:lineRule="auto"/>
      </w:pPr>
      <w:r>
        <w:rPr>
          <w:rFonts w:cs="Arial"/>
          <w:szCs w:val="24"/>
        </w:rPr>
        <w:t>Indeed, the understanding of supervision in the provisions may in practice distin</w:t>
      </w:r>
      <w:r w:rsidR="003D2B3B">
        <w:rPr>
          <w:rFonts w:cs="Arial"/>
          <w:szCs w:val="24"/>
        </w:rPr>
        <w:t xml:space="preserve">guish </w:t>
      </w:r>
      <w:r>
        <w:rPr>
          <w:rFonts w:cs="Arial"/>
          <w:szCs w:val="24"/>
        </w:rPr>
        <w:t xml:space="preserve">between paid and unpaid work with those in paid employment being </w:t>
      </w:r>
      <w:r w:rsidR="003D2B3B">
        <w:rPr>
          <w:rFonts w:cs="Arial"/>
          <w:szCs w:val="24"/>
        </w:rPr>
        <w:t xml:space="preserve">more </w:t>
      </w:r>
      <w:r>
        <w:rPr>
          <w:rFonts w:cs="Arial"/>
          <w:szCs w:val="24"/>
        </w:rPr>
        <w:t>subject to vetting and barring arrangements.</w:t>
      </w:r>
      <w:r w:rsidR="003D2B3B">
        <w:rPr>
          <w:rFonts w:cs="Arial"/>
          <w:szCs w:val="24"/>
        </w:rPr>
        <w:t xml:space="preserve"> It is also of concern that the proposals in principle</w:t>
      </w:r>
      <w:r w:rsidR="003D2B3B" w:rsidRPr="006D21F9">
        <w:rPr>
          <w:rFonts w:cs="Arial"/>
          <w:szCs w:val="24"/>
        </w:rPr>
        <w:t xml:space="preserve"> </w:t>
      </w:r>
      <w:r w:rsidR="003D2B3B">
        <w:rPr>
          <w:rFonts w:cs="Arial"/>
          <w:szCs w:val="24"/>
        </w:rPr>
        <w:t>may lead to an adult that has been barred from taking up a regulated post, such as a teacher, being eligible to volunteer as a teaching assistan</w:t>
      </w:r>
      <w:r w:rsidR="00A512AB">
        <w:rPr>
          <w:rFonts w:cs="Arial"/>
          <w:szCs w:val="24"/>
        </w:rPr>
        <w:t>t</w:t>
      </w:r>
      <w:r w:rsidR="003D2B3B">
        <w:rPr>
          <w:rFonts w:cs="Arial"/>
          <w:szCs w:val="24"/>
        </w:rPr>
        <w:t>.</w:t>
      </w:r>
      <w:r w:rsidR="003D2B3B">
        <w:rPr>
          <w:rStyle w:val="FootnoteReference"/>
          <w:rFonts w:cs="Arial"/>
          <w:szCs w:val="24"/>
        </w:rPr>
        <w:footnoteReference w:id="5"/>
      </w:r>
      <w:r w:rsidR="003D2B3B">
        <w:rPr>
          <w:rFonts w:cs="Arial"/>
          <w:szCs w:val="24"/>
        </w:rPr>
        <w:t xml:space="preserve"> </w:t>
      </w:r>
      <w:r w:rsidR="00185B9A">
        <w:rPr>
          <w:rFonts w:cs="Arial"/>
          <w:szCs w:val="24"/>
        </w:rPr>
        <w:t xml:space="preserve">We are not aware of evidence which indicates that </w:t>
      </w:r>
      <w:r>
        <w:rPr>
          <w:rFonts w:cs="Arial"/>
          <w:szCs w:val="24"/>
        </w:rPr>
        <w:t>children and young people are less likely to be at risk</w:t>
      </w:r>
      <w:r w:rsidR="00185B9A">
        <w:rPr>
          <w:rFonts w:cs="Arial"/>
          <w:szCs w:val="24"/>
        </w:rPr>
        <w:t xml:space="preserve"> from volunteers than paid staff</w:t>
      </w:r>
      <w:r>
        <w:rPr>
          <w:rFonts w:cs="Arial"/>
          <w:szCs w:val="24"/>
        </w:rPr>
        <w:t xml:space="preserve">. </w:t>
      </w:r>
      <w:r w:rsidR="00EA3FE2">
        <w:rPr>
          <w:lang w:val="en-US"/>
        </w:rPr>
        <w:t xml:space="preserve">Decisions on placing roles within the </w:t>
      </w:r>
      <w:r w:rsidR="00D9095A">
        <w:rPr>
          <w:lang w:val="en-US"/>
        </w:rPr>
        <w:t xml:space="preserve">scope of vetting and barring arrangements </w:t>
      </w:r>
      <w:r w:rsidR="00EA3FE2">
        <w:rPr>
          <w:lang w:val="en-US"/>
        </w:rPr>
        <w:t xml:space="preserve">must be based on an assessed risk of the role allowing individuals to develop relationships of trust with children </w:t>
      </w:r>
      <w:proofErr w:type="gramStart"/>
      <w:r w:rsidR="00EA3FE2">
        <w:rPr>
          <w:lang w:val="en-US"/>
        </w:rPr>
        <w:t>which</w:t>
      </w:r>
      <w:proofErr w:type="gramEnd"/>
      <w:r w:rsidR="00EA3FE2">
        <w:rPr>
          <w:lang w:val="en-US"/>
        </w:rPr>
        <w:t xml:space="preserve"> may then be abused. </w:t>
      </w:r>
      <w:r w:rsidR="005C1422">
        <w:rPr>
          <w:lang w:val="en-US"/>
        </w:rPr>
        <w:t xml:space="preserve">We </w:t>
      </w:r>
      <w:r w:rsidR="00EA3FE2">
        <w:t xml:space="preserve">are of the view that </w:t>
      </w:r>
      <w:r w:rsidR="00D9095A">
        <w:t xml:space="preserve">this assessment should apply equally to </w:t>
      </w:r>
      <w:r w:rsidR="00D9095A">
        <w:rPr>
          <w:lang w:val="en-US"/>
        </w:rPr>
        <w:t>individuals in positions of trust whether they are employees</w:t>
      </w:r>
      <w:r w:rsidR="00185B9A">
        <w:rPr>
          <w:lang w:val="en-US"/>
        </w:rPr>
        <w:t xml:space="preserve"> or </w:t>
      </w:r>
      <w:r w:rsidR="00D9095A">
        <w:rPr>
          <w:lang w:val="en-US"/>
        </w:rPr>
        <w:t>volunteers.</w:t>
      </w:r>
    </w:p>
    <w:p w:rsidR="007A587E" w:rsidRDefault="007A587E" w:rsidP="00791D23">
      <w:pPr>
        <w:spacing w:after="0" w:line="240" w:lineRule="auto"/>
        <w:rPr>
          <w:rFonts w:cs="Arial"/>
          <w:szCs w:val="24"/>
        </w:rPr>
      </w:pPr>
    </w:p>
    <w:p w:rsidR="00692857" w:rsidRPr="00766637" w:rsidRDefault="00692857" w:rsidP="00C43A26">
      <w:pPr>
        <w:spacing w:after="0" w:line="240" w:lineRule="auto"/>
        <w:rPr>
          <w:rFonts w:cs="Arial"/>
          <w:szCs w:val="24"/>
          <w:u w:val="single"/>
        </w:rPr>
      </w:pPr>
      <w:r w:rsidRPr="00766637">
        <w:rPr>
          <w:rFonts w:cs="Arial"/>
          <w:szCs w:val="24"/>
          <w:u w:val="single"/>
        </w:rPr>
        <w:t>Controlled activity</w:t>
      </w:r>
    </w:p>
    <w:p w:rsidR="00692857" w:rsidRDefault="00692857" w:rsidP="00C43A26">
      <w:pPr>
        <w:spacing w:after="0" w:line="240" w:lineRule="auto"/>
        <w:rPr>
          <w:rFonts w:cs="Arial"/>
          <w:szCs w:val="24"/>
        </w:rPr>
      </w:pPr>
    </w:p>
    <w:p w:rsidR="00692857" w:rsidRDefault="00906CE0" w:rsidP="00C43A26">
      <w:pPr>
        <w:spacing w:after="0" w:line="240" w:lineRule="auto"/>
        <w:rPr>
          <w:rFonts w:cs="Arial"/>
          <w:szCs w:val="24"/>
        </w:rPr>
      </w:pPr>
      <w:r>
        <w:rPr>
          <w:rFonts w:cs="Arial"/>
          <w:szCs w:val="24"/>
        </w:rPr>
        <w:t xml:space="preserve">NICCY </w:t>
      </w:r>
      <w:r w:rsidR="00692857">
        <w:rPr>
          <w:rFonts w:cs="Arial"/>
          <w:szCs w:val="24"/>
        </w:rPr>
        <w:t>welcome</w:t>
      </w:r>
      <w:r>
        <w:rPr>
          <w:rFonts w:cs="Arial"/>
          <w:szCs w:val="24"/>
        </w:rPr>
        <w:t>s</w:t>
      </w:r>
      <w:r w:rsidR="00692857">
        <w:rPr>
          <w:rFonts w:cs="Arial"/>
          <w:szCs w:val="24"/>
        </w:rPr>
        <w:t xml:space="preserve"> the removal of the category of c</w:t>
      </w:r>
      <w:r w:rsidR="00692857" w:rsidRPr="00781553">
        <w:rPr>
          <w:rFonts w:cs="Arial"/>
          <w:szCs w:val="24"/>
        </w:rPr>
        <w:t>ontrolled a</w:t>
      </w:r>
      <w:r w:rsidR="00692857">
        <w:rPr>
          <w:rFonts w:cs="Arial"/>
          <w:szCs w:val="24"/>
        </w:rPr>
        <w:t>c</w:t>
      </w:r>
      <w:r w:rsidR="00692857" w:rsidRPr="00781553">
        <w:rPr>
          <w:rFonts w:cs="Arial"/>
          <w:szCs w:val="24"/>
        </w:rPr>
        <w:t xml:space="preserve">tivity </w:t>
      </w:r>
      <w:r w:rsidR="0017550A">
        <w:rPr>
          <w:rFonts w:cs="Arial"/>
          <w:szCs w:val="24"/>
        </w:rPr>
        <w:t xml:space="preserve">which </w:t>
      </w:r>
      <w:r w:rsidR="00692857">
        <w:rPr>
          <w:rFonts w:cs="Arial"/>
          <w:szCs w:val="24"/>
        </w:rPr>
        <w:t xml:space="preserve">created an additional layer of complexity </w:t>
      </w:r>
      <w:r w:rsidR="0017550A">
        <w:rPr>
          <w:rFonts w:cs="Arial"/>
          <w:szCs w:val="24"/>
        </w:rPr>
        <w:t xml:space="preserve">within </w:t>
      </w:r>
      <w:r w:rsidR="00692857">
        <w:rPr>
          <w:rFonts w:cs="Arial"/>
          <w:szCs w:val="24"/>
        </w:rPr>
        <w:t xml:space="preserve">the scheme. However, we must reiterate our </w:t>
      </w:r>
      <w:r w:rsidR="00095449">
        <w:rPr>
          <w:rFonts w:cs="Arial"/>
          <w:szCs w:val="24"/>
        </w:rPr>
        <w:t>position t</w:t>
      </w:r>
      <w:r w:rsidR="00692857">
        <w:rPr>
          <w:rFonts w:cs="Arial"/>
          <w:szCs w:val="24"/>
        </w:rPr>
        <w:t xml:space="preserve">hat where roles </w:t>
      </w:r>
      <w:r w:rsidR="00095449">
        <w:rPr>
          <w:rFonts w:cs="Arial"/>
          <w:szCs w:val="24"/>
        </w:rPr>
        <w:t xml:space="preserve">place </w:t>
      </w:r>
      <w:r w:rsidR="00692857">
        <w:rPr>
          <w:rFonts w:cs="Arial"/>
          <w:szCs w:val="24"/>
        </w:rPr>
        <w:t xml:space="preserve">adults </w:t>
      </w:r>
      <w:r w:rsidR="00095449">
        <w:rPr>
          <w:rFonts w:cs="Arial"/>
          <w:szCs w:val="24"/>
        </w:rPr>
        <w:t>who may pose a risk to ch</w:t>
      </w:r>
      <w:r w:rsidR="00692857">
        <w:rPr>
          <w:rFonts w:cs="Arial"/>
          <w:szCs w:val="24"/>
        </w:rPr>
        <w:t xml:space="preserve">ildren and young people </w:t>
      </w:r>
      <w:r w:rsidR="00095449">
        <w:rPr>
          <w:rFonts w:cs="Arial"/>
          <w:szCs w:val="24"/>
        </w:rPr>
        <w:t>in positions of trust</w:t>
      </w:r>
      <w:r w:rsidR="00692857">
        <w:rPr>
          <w:rFonts w:cs="Arial"/>
          <w:szCs w:val="24"/>
        </w:rPr>
        <w:t xml:space="preserve">, these should be subject to adequate vetting and barring controls. </w:t>
      </w:r>
    </w:p>
    <w:p w:rsidR="00692857" w:rsidRDefault="00692857" w:rsidP="00C43A26">
      <w:pPr>
        <w:spacing w:after="0" w:line="240" w:lineRule="auto"/>
        <w:rPr>
          <w:rFonts w:cs="Arial"/>
          <w:b/>
          <w:szCs w:val="24"/>
        </w:rPr>
      </w:pPr>
    </w:p>
    <w:p w:rsidR="00405DB2" w:rsidRPr="00405DB2" w:rsidRDefault="00405DB2" w:rsidP="00405DB2">
      <w:pPr>
        <w:shd w:val="clear" w:color="auto" w:fill="FFFFFF"/>
        <w:spacing w:after="120" w:line="240" w:lineRule="auto"/>
        <w:rPr>
          <w:rFonts w:eastAsia="Times New Roman"/>
          <w:b/>
          <w:color w:val="000000"/>
          <w:szCs w:val="24"/>
          <w:lang w:eastAsia="en-GB"/>
        </w:rPr>
      </w:pPr>
      <w:r w:rsidRPr="00405DB2">
        <w:rPr>
          <w:rFonts w:eastAsia="Times New Roman"/>
          <w:b/>
          <w:color w:val="000000"/>
          <w:szCs w:val="24"/>
          <w:lang w:eastAsia="en-GB"/>
        </w:rPr>
        <w:lastRenderedPageBreak/>
        <w:t>Main amendments relating to new arrangements</w:t>
      </w:r>
    </w:p>
    <w:p w:rsidR="00692857" w:rsidRPr="00766637" w:rsidRDefault="00692857" w:rsidP="00405DB2">
      <w:pPr>
        <w:spacing w:after="0" w:line="240" w:lineRule="auto"/>
        <w:rPr>
          <w:rFonts w:cs="Arial"/>
          <w:szCs w:val="24"/>
          <w:u w:val="single"/>
        </w:rPr>
      </w:pPr>
      <w:r w:rsidRPr="00766637">
        <w:rPr>
          <w:rFonts w:cs="Arial"/>
          <w:szCs w:val="24"/>
          <w:u w:val="single"/>
        </w:rPr>
        <w:t xml:space="preserve">Barring arrangements </w:t>
      </w:r>
      <w:r w:rsidR="00405DB2" w:rsidRPr="00766637">
        <w:rPr>
          <w:rFonts w:cs="Arial"/>
          <w:szCs w:val="24"/>
          <w:u w:val="single"/>
        </w:rPr>
        <w:t>and decisions</w:t>
      </w:r>
    </w:p>
    <w:p w:rsidR="007D6B55" w:rsidRDefault="007D6B55" w:rsidP="007D6B55">
      <w:pPr>
        <w:spacing w:after="0" w:line="240" w:lineRule="auto"/>
        <w:rPr>
          <w:rFonts w:cs="Arial"/>
          <w:szCs w:val="24"/>
        </w:rPr>
      </w:pPr>
    </w:p>
    <w:p w:rsidR="00692857" w:rsidRDefault="00692857" w:rsidP="007D6B55">
      <w:pPr>
        <w:spacing w:after="0" w:line="240" w:lineRule="auto"/>
        <w:rPr>
          <w:rFonts w:cs="Arial"/>
          <w:szCs w:val="24"/>
        </w:rPr>
      </w:pPr>
      <w:r>
        <w:rPr>
          <w:rFonts w:cs="Arial"/>
          <w:szCs w:val="24"/>
        </w:rPr>
        <w:t>It is of great concern, as noted by the NSPCC</w:t>
      </w:r>
      <w:r w:rsidR="00905A28">
        <w:rPr>
          <w:rFonts w:cs="Arial"/>
          <w:szCs w:val="24"/>
        </w:rPr>
        <w:t>,</w:t>
      </w:r>
      <w:r>
        <w:rPr>
          <w:rFonts w:cs="Arial"/>
          <w:szCs w:val="24"/>
        </w:rPr>
        <w:t xml:space="preserve"> that checks </w:t>
      </w:r>
      <w:r w:rsidR="00905A28">
        <w:rPr>
          <w:rFonts w:cs="Arial"/>
          <w:szCs w:val="24"/>
        </w:rPr>
        <w:t xml:space="preserve">for posts outside of regulated activity </w:t>
      </w:r>
      <w:r>
        <w:rPr>
          <w:rFonts w:cs="Arial"/>
          <w:szCs w:val="24"/>
        </w:rPr>
        <w:t xml:space="preserve">will provide only limited information </w:t>
      </w:r>
      <w:r w:rsidR="0051564B">
        <w:rPr>
          <w:rFonts w:cs="Arial"/>
          <w:szCs w:val="24"/>
        </w:rPr>
        <w:t xml:space="preserve">leaving </w:t>
      </w:r>
      <w:r>
        <w:rPr>
          <w:rFonts w:cs="Arial"/>
          <w:szCs w:val="24"/>
        </w:rPr>
        <w:t xml:space="preserve">employers </w:t>
      </w:r>
      <w:r w:rsidR="0051564B">
        <w:rPr>
          <w:rFonts w:cs="Arial"/>
          <w:szCs w:val="24"/>
        </w:rPr>
        <w:t xml:space="preserve">unable </w:t>
      </w:r>
      <w:r>
        <w:rPr>
          <w:rFonts w:cs="Arial"/>
          <w:szCs w:val="24"/>
        </w:rPr>
        <w:t>to make robustly informed recruitment decisions.</w:t>
      </w:r>
      <w:r>
        <w:rPr>
          <w:rStyle w:val="FootnoteReference"/>
          <w:rFonts w:cs="Arial"/>
          <w:szCs w:val="24"/>
        </w:rPr>
        <w:footnoteReference w:id="6"/>
      </w:r>
      <w:r>
        <w:rPr>
          <w:rFonts w:cs="Arial"/>
          <w:szCs w:val="24"/>
        </w:rPr>
        <w:t xml:space="preserve"> For example, </w:t>
      </w:r>
      <w:r w:rsidR="007729A5">
        <w:rPr>
          <w:rFonts w:cs="Arial"/>
          <w:szCs w:val="24"/>
        </w:rPr>
        <w:t xml:space="preserve">in applying for a volunteer assistant coaching role </w:t>
      </w:r>
      <w:r>
        <w:rPr>
          <w:rFonts w:cs="Arial"/>
          <w:szCs w:val="24"/>
        </w:rPr>
        <w:t xml:space="preserve">information provided may not disclose if the </w:t>
      </w:r>
      <w:r w:rsidR="0051564B">
        <w:rPr>
          <w:rFonts w:cs="Arial"/>
          <w:szCs w:val="24"/>
        </w:rPr>
        <w:t>Independent Safeguarding Authority (</w:t>
      </w:r>
      <w:r>
        <w:rPr>
          <w:rFonts w:cs="Arial"/>
          <w:szCs w:val="24"/>
        </w:rPr>
        <w:t>ISA</w:t>
      </w:r>
      <w:r w:rsidR="0051564B">
        <w:rPr>
          <w:rFonts w:cs="Arial"/>
          <w:szCs w:val="24"/>
        </w:rPr>
        <w:t>)</w:t>
      </w:r>
      <w:r>
        <w:rPr>
          <w:rFonts w:cs="Arial"/>
          <w:szCs w:val="24"/>
        </w:rPr>
        <w:t xml:space="preserve"> has barred an individual from a regulated activity p</w:t>
      </w:r>
      <w:r w:rsidR="0051564B">
        <w:rPr>
          <w:rFonts w:cs="Arial"/>
          <w:szCs w:val="24"/>
        </w:rPr>
        <w:t>ost or provide information that ISA</w:t>
      </w:r>
      <w:r w:rsidR="004309D1">
        <w:rPr>
          <w:rFonts w:cs="Arial"/>
          <w:szCs w:val="24"/>
        </w:rPr>
        <w:t>,</w:t>
      </w:r>
      <w:r w:rsidR="0051564B">
        <w:rPr>
          <w:rFonts w:cs="Arial"/>
          <w:szCs w:val="24"/>
        </w:rPr>
        <w:t xml:space="preserve"> </w:t>
      </w:r>
      <w:r>
        <w:rPr>
          <w:rFonts w:cs="Arial"/>
          <w:szCs w:val="24"/>
        </w:rPr>
        <w:t xml:space="preserve">but not the police, </w:t>
      </w:r>
      <w:r w:rsidR="0051564B">
        <w:rPr>
          <w:rFonts w:cs="Arial"/>
          <w:szCs w:val="24"/>
        </w:rPr>
        <w:t>is</w:t>
      </w:r>
      <w:r>
        <w:rPr>
          <w:rFonts w:cs="Arial"/>
          <w:szCs w:val="24"/>
        </w:rPr>
        <w:t xml:space="preserve"> aware of.</w:t>
      </w:r>
      <w:r w:rsidR="00412E88">
        <w:rPr>
          <w:rFonts w:cs="Arial"/>
          <w:szCs w:val="24"/>
        </w:rPr>
        <w:t xml:space="preserve"> In </w:t>
      </w:r>
      <w:r w:rsidR="00271E1F">
        <w:rPr>
          <w:rFonts w:cs="Arial"/>
          <w:szCs w:val="24"/>
        </w:rPr>
        <w:t xml:space="preserve">seeking to </w:t>
      </w:r>
      <w:r w:rsidR="004309D1">
        <w:rPr>
          <w:rFonts w:cs="Arial"/>
          <w:szCs w:val="24"/>
        </w:rPr>
        <w:t>ensur</w:t>
      </w:r>
      <w:r w:rsidR="00271E1F">
        <w:rPr>
          <w:rFonts w:cs="Arial"/>
          <w:szCs w:val="24"/>
        </w:rPr>
        <w:t xml:space="preserve">e that </w:t>
      </w:r>
      <w:r w:rsidR="004309D1">
        <w:rPr>
          <w:rFonts w:cs="Arial"/>
          <w:szCs w:val="24"/>
        </w:rPr>
        <w:t xml:space="preserve">vetting and barring arrangements operate effectively, </w:t>
      </w:r>
      <w:r w:rsidR="00412E88">
        <w:rPr>
          <w:rFonts w:cs="Arial"/>
          <w:szCs w:val="24"/>
        </w:rPr>
        <w:t xml:space="preserve">it is important that the </w:t>
      </w:r>
      <w:r w:rsidR="004309D1">
        <w:rPr>
          <w:rFonts w:cs="Arial"/>
          <w:szCs w:val="24"/>
        </w:rPr>
        <w:t xml:space="preserve">provisions </w:t>
      </w:r>
      <w:r w:rsidR="00412E88">
        <w:rPr>
          <w:rFonts w:cs="Arial"/>
          <w:szCs w:val="24"/>
        </w:rPr>
        <w:t xml:space="preserve">consider how </w:t>
      </w:r>
      <w:r w:rsidR="004309D1">
        <w:rPr>
          <w:rFonts w:cs="Arial"/>
          <w:szCs w:val="24"/>
        </w:rPr>
        <w:t>a</w:t>
      </w:r>
      <w:r w:rsidR="00412E88">
        <w:rPr>
          <w:rFonts w:cs="Arial"/>
          <w:szCs w:val="24"/>
        </w:rPr>
        <w:t xml:space="preserve">ll relevant information </w:t>
      </w:r>
      <w:r w:rsidR="004309D1">
        <w:rPr>
          <w:rFonts w:cs="Arial"/>
          <w:szCs w:val="24"/>
        </w:rPr>
        <w:t xml:space="preserve">can be </w:t>
      </w:r>
      <w:r w:rsidR="00412E88">
        <w:rPr>
          <w:rFonts w:cs="Arial"/>
          <w:szCs w:val="24"/>
        </w:rPr>
        <w:t>shared by all agencies, including ISA</w:t>
      </w:r>
      <w:r w:rsidR="004309D1">
        <w:rPr>
          <w:rFonts w:cs="Arial"/>
          <w:szCs w:val="24"/>
        </w:rPr>
        <w:t>,</w:t>
      </w:r>
      <w:r w:rsidR="00412E88">
        <w:rPr>
          <w:rFonts w:cs="Arial"/>
          <w:szCs w:val="24"/>
        </w:rPr>
        <w:t xml:space="preserve"> and </w:t>
      </w:r>
      <w:r w:rsidR="004309D1">
        <w:rPr>
          <w:rFonts w:cs="Arial"/>
          <w:szCs w:val="24"/>
        </w:rPr>
        <w:t>how this will be made available to employers</w:t>
      </w:r>
      <w:r w:rsidR="00412E88">
        <w:rPr>
          <w:rFonts w:cs="Arial"/>
          <w:szCs w:val="24"/>
        </w:rPr>
        <w:t xml:space="preserve">. </w:t>
      </w:r>
      <w:r>
        <w:rPr>
          <w:rFonts w:cs="Arial"/>
          <w:szCs w:val="24"/>
        </w:rPr>
        <w:t xml:space="preserve"> </w:t>
      </w:r>
      <w:r w:rsidR="005C1422">
        <w:rPr>
          <w:rFonts w:cs="Arial"/>
          <w:szCs w:val="24"/>
        </w:rPr>
        <w:t xml:space="preserve"> </w:t>
      </w:r>
    </w:p>
    <w:p w:rsidR="007D6B55" w:rsidRDefault="007D6B55" w:rsidP="00425091">
      <w:pPr>
        <w:pStyle w:val="CommentText"/>
        <w:spacing w:after="0"/>
        <w:rPr>
          <w:rFonts w:cs="Arial"/>
          <w:sz w:val="24"/>
          <w:szCs w:val="24"/>
        </w:rPr>
      </w:pPr>
    </w:p>
    <w:p w:rsidR="00C243CC" w:rsidRPr="00C243CC" w:rsidRDefault="002E15B6" w:rsidP="00425091">
      <w:pPr>
        <w:pStyle w:val="CommentText"/>
        <w:spacing w:after="0"/>
        <w:rPr>
          <w:rFonts w:cs="Arial"/>
          <w:sz w:val="24"/>
          <w:szCs w:val="24"/>
        </w:rPr>
      </w:pPr>
      <w:r>
        <w:rPr>
          <w:rFonts w:cs="Arial"/>
          <w:sz w:val="24"/>
          <w:szCs w:val="24"/>
        </w:rPr>
        <w:t xml:space="preserve">NICCY is </w:t>
      </w:r>
      <w:r w:rsidR="00905A28" w:rsidRPr="00C243CC">
        <w:rPr>
          <w:rFonts w:cs="Arial"/>
          <w:sz w:val="24"/>
          <w:szCs w:val="24"/>
        </w:rPr>
        <w:t xml:space="preserve">also </w:t>
      </w:r>
      <w:r w:rsidR="00692857" w:rsidRPr="00C243CC">
        <w:rPr>
          <w:rFonts w:cs="Arial"/>
          <w:sz w:val="24"/>
          <w:szCs w:val="24"/>
        </w:rPr>
        <w:t>concerned th</w:t>
      </w:r>
      <w:r w:rsidR="007729A5">
        <w:rPr>
          <w:rFonts w:cs="Arial"/>
          <w:sz w:val="24"/>
          <w:szCs w:val="24"/>
        </w:rPr>
        <w:t xml:space="preserve">at under the </w:t>
      </w:r>
      <w:r w:rsidR="00692857" w:rsidRPr="00C243CC">
        <w:rPr>
          <w:rFonts w:cs="Arial"/>
          <w:sz w:val="24"/>
          <w:szCs w:val="24"/>
        </w:rPr>
        <w:t>pro</w:t>
      </w:r>
      <w:r w:rsidR="00906CE0">
        <w:rPr>
          <w:rFonts w:cs="Arial"/>
          <w:sz w:val="24"/>
          <w:szCs w:val="24"/>
        </w:rPr>
        <w:t xml:space="preserve">posals </w:t>
      </w:r>
      <w:r w:rsidR="00905A28" w:rsidRPr="00C243CC">
        <w:rPr>
          <w:rFonts w:cs="Arial"/>
          <w:sz w:val="24"/>
          <w:szCs w:val="24"/>
        </w:rPr>
        <w:t xml:space="preserve">individuals </w:t>
      </w:r>
      <w:r w:rsidR="00CD7FCA">
        <w:rPr>
          <w:rFonts w:cs="Arial"/>
          <w:sz w:val="24"/>
          <w:szCs w:val="24"/>
        </w:rPr>
        <w:t xml:space="preserve">will </w:t>
      </w:r>
      <w:r w:rsidR="00906CE0">
        <w:rPr>
          <w:rFonts w:cs="Arial"/>
          <w:sz w:val="24"/>
          <w:szCs w:val="24"/>
        </w:rPr>
        <w:t>on</w:t>
      </w:r>
      <w:r w:rsidR="00905A28" w:rsidRPr="00C243CC">
        <w:rPr>
          <w:rFonts w:cs="Arial"/>
          <w:sz w:val="24"/>
          <w:szCs w:val="24"/>
        </w:rPr>
        <w:t xml:space="preserve">ly be </w:t>
      </w:r>
      <w:r w:rsidR="00692857" w:rsidRPr="00C243CC">
        <w:rPr>
          <w:rFonts w:cs="Arial"/>
          <w:sz w:val="24"/>
          <w:szCs w:val="24"/>
        </w:rPr>
        <w:t>place</w:t>
      </w:r>
      <w:r w:rsidR="00905A28" w:rsidRPr="00C243CC">
        <w:rPr>
          <w:rFonts w:cs="Arial"/>
          <w:sz w:val="24"/>
          <w:szCs w:val="24"/>
        </w:rPr>
        <w:t>d</w:t>
      </w:r>
      <w:r w:rsidR="00692857" w:rsidRPr="00C243CC">
        <w:rPr>
          <w:rFonts w:cs="Arial"/>
          <w:sz w:val="24"/>
          <w:szCs w:val="24"/>
        </w:rPr>
        <w:t xml:space="preserve"> on barred lists </w:t>
      </w:r>
      <w:r w:rsidR="00905A28" w:rsidRPr="00C243CC">
        <w:rPr>
          <w:rFonts w:cs="Arial"/>
          <w:sz w:val="24"/>
          <w:szCs w:val="24"/>
        </w:rPr>
        <w:t>i</w:t>
      </w:r>
      <w:r w:rsidR="00692857" w:rsidRPr="00C243CC">
        <w:rPr>
          <w:rFonts w:cs="Arial"/>
          <w:sz w:val="24"/>
          <w:szCs w:val="24"/>
        </w:rPr>
        <w:t>f they have been, will be</w:t>
      </w:r>
      <w:r w:rsidR="0051564B">
        <w:rPr>
          <w:rFonts w:cs="Arial"/>
          <w:sz w:val="24"/>
          <w:szCs w:val="24"/>
        </w:rPr>
        <w:t>,</w:t>
      </w:r>
      <w:r w:rsidR="00692857" w:rsidRPr="00C243CC">
        <w:rPr>
          <w:rFonts w:cs="Arial"/>
          <w:sz w:val="24"/>
          <w:szCs w:val="24"/>
        </w:rPr>
        <w:t xml:space="preserve"> or are likely to be engaged in regulated activity. </w:t>
      </w:r>
      <w:r>
        <w:rPr>
          <w:rFonts w:cs="Arial"/>
          <w:sz w:val="24"/>
          <w:szCs w:val="24"/>
        </w:rPr>
        <w:t>We have reservations that th</w:t>
      </w:r>
      <w:r w:rsidR="007729A5">
        <w:rPr>
          <w:rFonts w:cs="Arial"/>
          <w:sz w:val="24"/>
          <w:szCs w:val="24"/>
        </w:rPr>
        <w:t xml:space="preserve">is </w:t>
      </w:r>
      <w:r w:rsidR="00104F77">
        <w:rPr>
          <w:rFonts w:cs="Arial"/>
          <w:sz w:val="24"/>
          <w:szCs w:val="24"/>
        </w:rPr>
        <w:t xml:space="preserve">high </w:t>
      </w:r>
      <w:r>
        <w:rPr>
          <w:rFonts w:cs="Arial"/>
          <w:sz w:val="24"/>
          <w:szCs w:val="24"/>
        </w:rPr>
        <w:t xml:space="preserve">threshold </w:t>
      </w:r>
      <w:r w:rsidR="007729A5">
        <w:rPr>
          <w:rFonts w:cs="Arial"/>
          <w:sz w:val="24"/>
          <w:szCs w:val="24"/>
        </w:rPr>
        <w:t xml:space="preserve">is not appropriate </w:t>
      </w:r>
      <w:r>
        <w:rPr>
          <w:rFonts w:cs="Arial"/>
          <w:sz w:val="24"/>
          <w:szCs w:val="24"/>
        </w:rPr>
        <w:t>and are unclear how assessments that individuals are not likely to seek to be engaged in regulated activity will be conducted. The provisions may also, i</w:t>
      </w:r>
      <w:r w:rsidR="0051564B">
        <w:rPr>
          <w:rFonts w:cs="Arial"/>
          <w:sz w:val="24"/>
          <w:szCs w:val="24"/>
        </w:rPr>
        <w:t>n</w:t>
      </w:r>
      <w:r w:rsidR="00905A28" w:rsidRPr="00C243CC">
        <w:rPr>
          <w:rFonts w:cs="Arial"/>
          <w:sz w:val="24"/>
          <w:szCs w:val="24"/>
        </w:rPr>
        <w:t xml:space="preserve"> effect</w:t>
      </w:r>
      <w:r>
        <w:rPr>
          <w:rFonts w:cs="Arial"/>
          <w:sz w:val="24"/>
          <w:szCs w:val="24"/>
        </w:rPr>
        <w:t xml:space="preserve"> m</w:t>
      </w:r>
      <w:r w:rsidR="00905A28" w:rsidRPr="00C243CC">
        <w:rPr>
          <w:rFonts w:cs="Arial"/>
          <w:sz w:val="24"/>
          <w:szCs w:val="24"/>
        </w:rPr>
        <w:t>ean that concerns a</w:t>
      </w:r>
      <w:r w:rsidR="00692857" w:rsidRPr="00C243CC">
        <w:rPr>
          <w:rFonts w:cs="Arial"/>
          <w:sz w:val="24"/>
          <w:szCs w:val="24"/>
        </w:rPr>
        <w:t>bout those not in regulated activit</w:t>
      </w:r>
      <w:r w:rsidR="00905A28" w:rsidRPr="00C243CC">
        <w:rPr>
          <w:rFonts w:cs="Arial"/>
          <w:sz w:val="24"/>
          <w:szCs w:val="24"/>
        </w:rPr>
        <w:t>y</w:t>
      </w:r>
      <w:r w:rsidR="0051564B">
        <w:rPr>
          <w:rFonts w:cs="Arial"/>
          <w:sz w:val="24"/>
          <w:szCs w:val="24"/>
        </w:rPr>
        <w:t xml:space="preserve">, </w:t>
      </w:r>
      <w:proofErr w:type="gramStart"/>
      <w:r w:rsidR="0051564B">
        <w:rPr>
          <w:rFonts w:cs="Arial"/>
          <w:sz w:val="24"/>
          <w:szCs w:val="24"/>
        </w:rPr>
        <w:t>who</w:t>
      </w:r>
      <w:proofErr w:type="gramEnd"/>
      <w:r w:rsidR="0051564B">
        <w:rPr>
          <w:rFonts w:cs="Arial"/>
          <w:sz w:val="24"/>
          <w:szCs w:val="24"/>
        </w:rPr>
        <w:t xml:space="preserve"> </w:t>
      </w:r>
      <w:r w:rsidR="00905A28" w:rsidRPr="00C243CC">
        <w:rPr>
          <w:rFonts w:cs="Arial"/>
          <w:sz w:val="24"/>
          <w:szCs w:val="24"/>
        </w:rPr>
        <w:t>therefore cannot be barred</w:t>
      </w:r>
      <w:r w:rsidR="0051564B">
        <w:rPr>
          <w:rFonts w:cs="Arial"/>
          <w:sz w:val="24"/>
          <w:szCs w:val="24"/>
        </w:rPr>
        <w:t>,</w:t>
      </w:r>
      <w:r w:rsidR="00905A28" w:rsidRPr="00C243CC">
        <w:rPr>
          <w:rFonts w:cs="Arial"/>
          <w:sz w:val="24"/>
          <w:szCs w:val="24"/>
        </w:rPr>
        <w:t xml:space="preserve"> will </w:t>
      </w:r>
      <w:r w:rsidR="00692857" w:rsidRPr="00C243CC">
        <w:rPr>
          <w:rFonts w:cs="Arial"/>
          <w:sz w:val="24"/>
          <w:szCs w:val="24"/>
        </w:rPr>
        <w:t xml:space="preserve">not be shared with ISA. This </w:t>
      </w:r>
      <w:r>
        <w:rPr>
          <w:rFonts w:cs="Arial"/>
          <w:sz w:val="24"/>
          <w:szCs w:val="24"/>
        </w:rPr>
        <w:t xml:space="preserve">would not </w:t>
      </w:r>
      <w:r w:rsidR="00692857" w:rsidRPr="00C243CC">
        <w:rPr>
          <w:rFonts w:cs="Arial"/>
          <w:sz w:val="24"/>
          <w:szCs w:val="24"/>
        </w:rPr>
        <w:t xml:space="preserve">only weaken arrangements </w:t>
      </w:r>
      <w:r w:rsidR="00D5354A">
        <w:rPr>
          <w:rFonts w:cs="Arial"/>
          <w:sz w:val="24"/>
          <w:szCs w:val="24"/>
        </w:rPr>
        <w:t xml:space="preserve">to </w:t>
      </w:r>
      <w:r w:rsidR="00692857" w:rsidRPr="00C243CC">
        <w:rPr>
          <w:rFonts w:cs="Arial"/>
          <w:sz w:val="24"/>
          <w:szCs w:val="24"/>
        </w:rPr>
        <w:t xml:space="preserve">enable early identification of </w:t>
      </w:r>
      <w:r w:rsidR="00D5354A">
        <w:rPr>
          <w:rFonts w:cs="Arial"/>
          <w:sz w:val="24"/>
          <w:szCs w:val="24"/>
        </w:rPr>
        <w:t xml:space="preserve">those </w:t>
      </w:r>
      <w:r w:rsidR="00905A28" w:rsidRPr="00C243CC">
        <w:rPr>
          <w:rFonts w:cs="Arial"/>
          <w:sz w:val="24"/>
          <w:szCs w:val="24"/>
        </w:rPr>
        <w:t xml:space="preserve">who pose </w:t>
      </w:r>
      <w:r w:rsidR="00692857" w:rsidRPr="00C243CC">
        <w:rPr>
          <w:rFonts w:cs="Arial"/>
          <w:sz w:val="24"/>
          <w:szCs w:val="24"/>
        </w:rPr>
        <w:t>potential risk</w:t>
      </w:r>
      <w:r w:rsidR="00905A28" w:rsidRPr="00C243CC">
        <w:rPr>
          <w:rFonts w:cs="Arial"/>
          <w:sz w:val="24"/>
          <w:szCs w:val="24"/>
        </w:rPr>
        <w:t>s to children</w:t>
      </w:r>
      <w:r w:rsidR="00692857" w:rsidRPr="00C243CC">
        <w:rPr>
          <w:rFonts w:cs="Arial"/>
          <w:sz w:val="24"/>
          <w:szCs w:val="24"/>
        </w:rPr>
        <w:t xml:space="preserve"> but </w:t>
      </w:r>
      <w:r w:rsidR="00D5354A">
        <w:rPr>
          <w:rFonts w:cs="Arial"/>
          <w:sz w:val="24"/>
          <w:szCs w:val="24"/>
        </w:rPr>
        <w:t>also</w:t>
      </w:r>
      <w:r w:rsidR="00692857" w:rsidRPr="00C243CC">
        <w:rPr>
          <w:rFonts w:cs="Arial"/>
          <w:sz w:val="24"/>
          <w:szCs w:val="24"/>
        </w:rPr>
        <w:t xml:space="preserve"> </w:t>
      </w:r>
      <w:r w:rsidR="00D5354A">
        <w:rPr>
          <w:rFonts w:cs="Arial"/>
          <w:sz w:val="24"/>
          <w:szCs w:val="24"/>
        </w:rPr>
        <w:t xml:space="preserve">lead to </w:t>
      </w:r>
      <w:r w:rsidR="00692857" w:rsidRPr="00C243CC">
        <w:rPr>
          <w:rFonts w:cs="Arial"/>
          <w:sz w:val="24"/>
          <w:szCs w:val="24"/>
        </w:rPr>
        <w:t xml:space="preserve">such concerns not </w:t>
      </w:r>
      <w:r w:rsidR="00D5354A">
        <w:rPr>
          <w:rFonts w:cs="Arial"/>
          <w:sz w:val="24"/>
          <w:szCs w:val="24"/>
        </w:rPr>
        <w:t xml:space="preserve">being </w:t>
      </w:r>
      <w:r w:rsidR="00692857" w:rsidRPr="00C243CC">
        <w:rPr>
          <w:rFonts w:cs="Arial"/>
          <w:sz w:val="24"/>
          <w:szCs w:val="24"/>
        </w:rPr>
        <w:t>documented</w:t>
      </w:r>
      <w:r w:rsidR="00D5354A">
        <w:rPr>
          <w:rFonts w:cs="Arial"/>
          <w:sz w:val="24"/>
          <w:szCs w:val="24"/>
        </w:rPr>
        <w:t xml:space="preserve"> or made </w:t>
      </w:r>
      <w:r w:rsidR="00692857" w:rsidRPr="00C243CC">
        <w:rPr>
          <w:rFonts w:cs="Arial"/>
          <w:sz w:val="24"/>
          <w:szCs w:val="24"/>
        </w:rPr>
        <w:t xml:space="preserve">available </w:t>
      </w:r>
      <w:r w:rsidR="00905A28" w:rsidRPr="00C243CC">
        <w:rPr>
          <w:rFonts w:cs="Arial"/>
          <w:sz w:val="24"/>
          <w:szCs w:val="24"/>
        </w:rPr>
        <w:t xml:space="preserve">to employers </w:t>
      </w:r>
      <w:r w:rsidR="00692857" w:rsidRPr="00C243CC">
        <w:rPr>
          <w:rFonts w:cs="Arial"/>
          <w:sz w:val="24"/>
          <w:szCs w:val="24"/>
        </w:rPr>
        <w:t xml:space="preserve">if </w:t>
      </w:r>
      <w:r w:rsidR="00D5354A">
        <w:rPr>
          <w:rFonts w:cs="Arial"/>
          <w:sz w:val="24"/>
          <w:szCs w:val="24"/>
        </w:rPr>
        <w:t>i</w:t>
      </w:r>
      <w:r w:rsidR="00692857" w:rsidRPr="00C243CC">
        <w:rPr>
          <w:rFonts w:cs="Arial"/>
          <w:sz w:val="24"/>
          <w:szCs w:val="24"/>
        </w:rPr>
        <w:t>ndividual</w:t>
      </w:r>
      <w:r w:rsidR="00D5354A">
        <w:rPr>
          <w:rFonts w:cs="Arial"/>
          <w:sz w:val="24"/>
          <w:szCs w:val="24"/>
        </w:rPr>
        <w:t>s</w:t>
      </w:r>
      <w:r w:rsidR="00692857" w:rsidRPr="00C243CC">
        <w:rPr>
          <w:rFonts w:cs="Arial"/>
          <w:sz w:val="24"/>
          <w:szCs w:val="24"/>
        </w:rPr>
        <w:t xml:space="preserve"> seek </w:t>
      </w:r>
      <w:r w:rsidR="00D5354A">
        <w:rPr>
          <w:rFonts w:cs="Arial"/>
          <w:sz w:val="24"/>
          <w:szCs w:val="24"/>
        </w:rPr>
        <w:t xml:space="preserve">future </w:t>
      </w:r>
      <w:r w:rsidR="00905A28" w:rsidRPr="00C243CC">
        <w:rPr>
          <w:rFonts w:cs="Arial"/>
          <w:sz w:val="24"/>
          <w:szCs w:val="24"/>
        </w:rPr>
        <w:t xml:space="preserve">work </w:t>
      </w:r>
      <w:r w:rsidR="00692857" w:rsidRPr="00C243CC">
        <w:rPr>
          <w:rFonts w:cs="Arial"/>
          <w:sz w:val="24"/>
          <w:szCs w:val="24"/>
        </w:rPr>
        <w:t>in regulated activity</w:t>
      </w:r>
      <w:r w:rsidR="00D5354A">
        <w:rPr>
          <w:rFonts w:cs="Arial"/>
          <w:sz w:val="24"/>
          <w:szCs w:val="24"/>
        </w:rPr>
        <w:t xml:space="preserve">. </w:t>
      </w:r>
    </w:p>
    <w:p w:rsidR="00425091" w:rsidRDefault="00425091" w:rsidP="00425091">
      <w:pPr>
        <w:spacing w:after="0" w:line="240" w:lineRule="auto"/>
        <w:rPr>
          <w:rFonts w:cs="Arial"/>
          <w:szCs w:val="24"/>
        </w:rPr>
      </w:pPr>
    </w:p>
    <w:p w:rsidR="00263E96" w:rsidRDefault="00425091" w:rsidP="002966B8">
      <w:pPr>
        <w:spacing w:after="0" w:line="240" w:lineRule="auto"/>
      </w:pPr>
      <w:r>
        <w:rPr>
          <w:rFonts w:cs="Arial"/>
          <w:szCs w:val="24"/>
        </w:rPr>
        <w:t>I</w:t>
      </w:r>
      <w:r w:rsidR="00901CDF">
        <w:rPr>
          <w:rFonts w:cs="Arial"/>
          <w:szCs w:val="24"/>
        </w:rPr>
        <w:t xml:space="preserve">n considering the nature of information contained in checks NICCY recognises </w:t>
      </w:r>
      <w:r w:rsidR="00E84A5E">
        <w:rPr>
          <w:rFonts w:cs="Arial"/>
          <w:szCs w:val="24"/>
        </w:rPr>
        <w:t>that t</w:t>
      </w:r>
      <w:r>
        <w:t>he disclosure of non conviction information is a c</w:t>
      </w:r>
      <w:r w:rsidR="00104F77">
        <w:t xml:space="preserve">omplex </w:t>
      </w:r>
      <w:r>
        <w:t>and sensitive area</w:t>
      </w:r>
      <w:r w:rsidR="00E84A5E">
        <w:t>.</w:t>
      </w:r>
      <w:r w:rsidR="004E74CE">
        <w:t xml:space="preserve"> In our contribution to the Northern Ireland Review of Criminal Records</w:t>
      </w:r>
      <w:r w:rsidR="00E84A5E">
        <w:t xml:space="preserve"> </w:t>
      </w:r>
      <w:r w:rsidR="004E74CE">
        <w:t xml:space="preserve">we will address the importance of ensuring that non conviction information and police intelligence is available as part of the disclosure process. In our recent meeting with </w:t>
      </w:r>
      <w:proofErr w:type="spellStart"/>
      <w:r w:rsidR="004E74CE">
        <w:t>Sunita</w:t>
      </w:r>
      <w:proofErr w:type="spellEnd"/>
      <w:r w:rsidR="004E74CE">
        <w:t xml:space="preserve"> Mason who is leading the Review</w:t>
      </w:r>
      <w:r w:rsidR="006B34F5">
        <w:t xml:space="preserve"> in Northern Ireland</w:t>
      </w:r>
      <w:r w:rsidR="00CD7FCA">
        <w:t>,</w:t>
      </w:r>
      <w:r w:rsidR="004E74CE">
        <w:t xml:space="preserve"> we highlighted the importance of considering how the sharing of information across national borders can be progressed</w:t>
      </w:r>
      <w:r w:rsidR="006B34F5">
        <w:t xml:space="preserve">. </w:t>
      </w:r>
      <w:r w:rsidR="004E74CE">
        <w:t xml:space="preserve">As the only jurisdiction in the UK which has a land border with another EU </w:t>
      </w:r>
      <w:r w:rsidR="00766637">
        <w:t xml:space="preserve">Member State </w:t>
      </w:r>
      <w:r w:rsidR="004E74CE">
        <w:t xml:space="preserve">we are acutely aware of the </w:t>
      </w:r>
      <w:r w:rsidR="00CD7FCA">
        <w:t xml:space="preserve">need to </w:t>
      </w:r>
      <w:r w:rsidR="004E74CE">
        <w:t>ensur</w:t>
      </w:r>
      <w:r w:rsidR="00CD7FCA">
        <w:t>e</w:t>
      </w:r>
      <w:r w:rsidR="004E74CE">
        <w:t xml:space="preserve"> that all relevant information is shared, for example, police intelligence is currently not shared between Northern Ireland and the Republic of Ireland. </w:t>
      </w:r>
    </w:p>
    <w:p w:rsidR="00692857" w:rsidRDefault="00692857" w:rsidP="00C43A26">
      <w:pPr>
        <w:spacing w:after="0" w:line="240" w:lineRule="auto"/>
        <w:rPr>
          <w:rFonts w:cs="Arial"/>
          <w:b/>
          <w:szCs w:val="24"/>
        </w:rPr>
      </w:pPr>
    </w:p>
    <w:p w:rsidR="00692857" w:rsidRPr="00425091" w:rsidRDefault="00692857" w:rsidP="00C43A26">
      <w:pPr>
        <w:spacing w:after="0" w:line="240" w:lineRule="auto"/>
        <w:rPr>
          <w:rFonts w:cs="Arial"/>
          <w:b/>
          <w:szCs w:val="24"/>
        </w:rPr>
      </w:pPr>
      <w:r w:rsidRPr="00425091">
        <w:rPr>
          <w:rFonts w:cs="Arial"/>
          <w:b/>
          <w:szCs w:val="24"/>
        </w:rPr>
        <w:t>Conclusion</w:t>
      </w:r>
    </w:p>
    <w:p w:rsidR="00692857" w:rsidRPr="002768E5" w:rsidRDefault="00692857" w:rsidP="00C43A26">
      <w:pPr>
        <w:spacing w:after="0" w:line="240" w:lineRule="auto"/>
        <w:rPr>
          <w:rFonts w:cs="Arial"/>
          <w:szCs w:val="24"/>
        </w:rPr>
      </w:pPr>
    </w:p>
    <w:p w:rsidR="006E4217" w:rsidRDefault="006E4217" w:rsidP="00CD7FCA">
      <w:pPr>
        <w:spacing w:after="0" w:line="240" w:lineRule="auto"/>
        <w:rPr>
          <w:lang w:val="en-US"/>
        </w:rPr>
      </w:pPr>
      <w:r>
        <w:rPr>
          <w:lang w:val="en-US"/>
        </w:rPr>
        <w:lastRenderedPageBreak/>
        <w:t xml:space="preserve">As the Protection of Freedoms Bill continues its legislative passage, debates in relation to the vetting and barring provisions of the proposals must ensure a clear focus is maintained on the protection of children and young people. The legislation must not dilute or fragment the levels of protection afforded to children and must operate to a consistently high standard across England, Wales and Northern Ireland. </w:t>
      </w:r>
      <w:r w:rsidR="00CD7FCA">
        <w:rPr>
          <w:lang w:val="en-US"/>
        </w:rPr>
        <w:t>Government must also ensure that the legislation is supported by the development of statutory guidance to facilitate the implementation of changes</w:t>
      </w:r>
      <w:r w:rsidR="009D25BC">
        <w:rPr>
          <w:lang w:val="en-US"/>
        </w:rPr>
        <w:t xml:space="preserve"> across jurisdictions and sectors.</w:t>
      </w:r>
      <w:r w:rsidR="00CD7FCA">
        <w:rPr>
          <w:lang w:val="en-US"/>
        </w:rPr>
        <w:t xml:space="preserve"> </w:t>
      </w:r>
    </w:p>
    <w:p w:rsidR="00CD7FCA" w:rsidRDefault="00CD7FCA" w:rsidP="00CD7FCA">
      <w:pPr>
        <w:spacing w:after="0" w:line="240" w:lineRule="auto"/>
        <w:rPr>
          <w:lang w:val="en-US"/>
        </w:rPr>
      </w:pPr>
    </w:p>
    <w:p w:rsidR="00BD749B" w:rsidRDefault="007D6B55" w:rsidP="00CD7FCA">
      <w:pPr>
        <w:spacing w:after="0" w:line="240" w:lineRule="auto"/>
        <w:rPr>
          <w:lang w:val="en-US"/>
        </w:rPr>
      </w:pPr>
      <w:r>
        <w:rPr>
          <w:lang w:val="en-US"/>
        </w:rPr>
        <w:t xml:space="preserve">While the </w:t>
      </w:r>
      <w:r>
        <w:t>vetting and barring scheme must be viewed as only one element in the arrangements to protect children and young people</w:t>
      </w:r>
      <w:r w:rsidR="009D25BC">
        <w:t>,</w:t>
      </w:r>
      <w:r>
        <w:t xml:space="preserve"> </w:t>
      </w:r>
      <w:r w:rsidR="006B34F5">
        <w:t>t</w:t>
      </w:r>
      <w:r>
        <w:t xml:space="preserve">his should remain a priority in the Government’s safeguarding agenda. </w:t>
      </w:r>
      <w:r w:rsidR="00BD749B">
        <w:rPr>
          <w:lang w:val="en-US"/>
        </w:rPr>
        <w:t xml:space="preserve"> </w:t>
      </w:r>
    </w:p>
    <w:p w:rsidR="00F316F7" w:rsidRDefault="00F316F7" w:rsidP="00F316F7">
      <w:pPr>
        <w:rPr>
          <w:b/>
          <w:szCs w:val="96"/>
        </w:rPr>
      </w:pPr>
    </w:p>
    <w:p w:rsidR="00405DB2" w:rsidRDefault="00405DB2" w:rsidP="00F316F7">
      <w:pPr>
        <w:rPr>
          <w:b/>
          <w:szCs w:val="96"/>
        </w:rPr>
      </w:pPr>
    </w:p>
    <w:p w:rsidR="00D0446F" w:rsidRDefault="00D0446F"/>
    <w:p w:rsidR="00D0446F" w:rsidRDefault="00D0446F"/>
    <w:p w:rsidR="00692857" w:rsidRDefault="00692857" w:rsidP="00DB1F2A"/>
    <w:p w:rsidR="00692857" w:rsidRDefault="00692857" w:rsidP="00DB1F2A"/>
    <w:p w:rsidR="00692857" w:rsidRDefault="00692857"/>
    <w:p w:rsidR="00692857" w:rsidRDefault="00692857"/>
    <w:sectPr w:rsidR="00692857" w:rsidSect="00F960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62" w:rsidRDefault="000C7062" w:rsidP="00FE1268">
      <w:pPr>
        <w:spacing w:after="0" w:line="240" w:lineRule="auto"/>
      </w:pPr>
      <w:r>
        <w:separator/>
      </w:r>
    </w:p>
  </w:endnote>
  <w:endnote w:type="continuationSeparator" w:id="0">
    <w:p w:rsidR="000C7062" w:rsidRDefault="000C7062" w:rsidP="00FE1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uness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2" w:rsidRDefault="000C7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2" w:rsidRDefault="000C7062">
    <w:pPr>
      <w:pStyle w:val="Footer"/>
      <w:jc w:val="center"/>
    </w:pPr>
    <w:r>
      <w:rPr>
        <w:noProof/>
        <w:lang w:eastAsia="en-GB"/>
      </w:rPr>
      <w:drawing>
        <wp:inline distT="0" distB="0" distL="0" distR="0">
          <wp:extent cx="952500" cy="533400"/>
          <wp:effectExtent l="19050" t="0" r="0" b="0"/>
          <wp:docPr id="4" name="Picture 4" descr="NICCY_WATCHDO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CY_WATCHDOG_CMYK"/>
                  <pic:cNvPicPr>
                    <a:picLocks noChangeAspect="1" noChangeArrowheads="1"/>
                  </pic:cNvPicPr>
                </pic:nvPicPr>
                <pic:blipFill>
                  <a:blip r:embed="rId1"/>
                  <a:srcRect/>
                  <a:stretch>
                    <a:fillRect/>
                  </a:stretch>
                </pic:blipFill>
                <pic:spPr bwMode="auto">
                  <a:xfrm>
                    <a:off x="0" y="0"/>
                    <a:ext cx="952500" cy="533400"/>
                  </a:xfrm>
                  <a:prstGeom prst="rect">
                    <a:avLst/>
                  </a:prstGeom>
                  <a:noFill/>
                  <a:ln w="9525">
                    <a:noFill/>
                    <a:miter lim="800000"/>
                    <a:headEnd/>
                    <a:tailEnd/>
                  </a:ln>
                </pic:spPr>
              </pic:pic>
            </a:graphicData>
          </a:graphic>
        </wp:inline>
      </w:drawing>
    </w:r>
  </w:p>
  <w:p w:rsidR="000C7062" w:rsidRDefault="000C70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2" w:rsidRDefault="000C7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62" w:rsidRDefault="000C7062" w:rsidP="00FE1268">
      <w:pPr>
        <w:spacing w:after="0" w:line="240" w:lineRule="auto"/>
      </w:pPr>
      <w:r>
        <w:separator/>
      </w:r>
    </w:p>
  </w:footnote>
  <w:footnote w:type="continuationSeparator" w:id="0">
    <w:p w:rsidR="000C7062" w:rsidRDefault="000C7062" w:rsidP="00FE1268">
      <w:pPr>
        <w:spacing w:after="0" w:line="240" w:lineRule="auto"/>
      </w:pPr>
      <w:r>
        <w:continuationSeparator/>
      </w:r>
    </w:p>
  </w:footnote>
  <w:footnote w:id="1">
    <w:p w:rsidR="000C7062" w:rsidRDefault="000C7062">
      <w:pPr>
        <w:pStyle w:val="FootnoteText"/>
      </w:pPr>
      <w:r>
        <w:rPr>
          <w:rStyle w:val="FootnoteReference"/>
        </w:rPr>
        <w:footnoteRef/>
      </w:r>
      <w:r>
        <w:t xml:space="preserve"> http://www.niassembly.gov.uk/records/reports2010/110321.htm#aa</w:t>
      </w:r>
    </w:p>
  </w:footnote>
  <w:footnote w:id="2">
    <w:p w:rsidR="000C7062" w:rsidRDefault="000C7062" w:rsidP="00CF540C">
      <w:pPr>
        <w:pStyle w:val="FootnoteText"/>
      </w:pPr>
      <w:r>
        <w:rPr>
          <w:rStyle w:val="FootnoteReference"/>
        </w:rPr>
        <w:footnoteRef/>
      </w:r>
      <w:r>
        <w:t xml:space="preserve"> http://www.niassembly.gov.uk/records/reports2010/110321.htm#aa </w:t>
      </w:r>
    </w:p>
  </w:footnote>
  <w:footnote w:id="3">
    <w:p w:rsidR="000C7062" w:rsidRDefault="000C7062">
      <w:pPr>
        <w:pStyle w:val="FootnoteText"/>
      </w:pPr>
      <w:r>
        <w:rPr>
          <w:rStyle w:val="FootnoteReference"/>
        </w:rPr>
        <w:footnoteRef/>
      </w:r>
      <w:r>
        <w:t xml:space="preserve"> House of Commons Library (2011) Protection of Freedoms Bill Research Paper 11/20, (London: House of Commons Library</w:t>
      </w:r>
      <w:r>
        <w:rPr>
          <w:rFonts w:cs="Arial"/>
          <w:szCs w:val="24"/>
        </w:rPr>
        <w:t>).</w:t>
      </w:r>
    </w:p>
  </w:footnote>
  <w:footnote w:id="4">
    <w:p w:rsidR="000C7062" w:rsidRDefault="000C7062">
      <w:pPr>
        <w:pStyle w:val="FootnoteText"/>
      </w:pPr>
      <w:r>
        <w:rPr>
          <w:rStyle w:val="FootnoteReference"/>
        </w:rPr>
        <w:footnoteRef/>
      </w:r>
      <w:r>
        <w:t xml:space="preserve"> </w:t>
      </w:r>
      <w:hyperlink r:id="rId1" w:history="1">
        <w:r w:rsidRPr="00790A29">
          <w:rPr>
            <w:rStyle w:val="Hyperlink"/>
          </w:rPr>
          <w:t>http://www.publications.parliament.uk/pa/cm201011/cmpublic/protection/memo/pf60</w:t>
        </w:r>
      </w:hyperlink>
      <w:r>
        <w:t>.htm</w:t>
      </w:r>
    </w:p>
    <w:p w:rsidR="000C7062" w:rsidRDefault="000C7062">
      <w:pPr>
        <w:pStyle w:val="FootnoteText"/>
      </w:pPr>
      <w:r>
        <w:t>http://www.publications.parliament.uk/pa/cm201011/cmpublic/protection/memo/pf61.htm</w:t>
      </w:r>
    </w:p>
  </w:footnote>
  <w:footnote w:id="5">
    <w:p w:rsidR="000C7062" w:rsidRDefault="000C7062" w:rsidP="003D2B3B">
      <w:pPr>
        <w:pStyle w:val="FootnoteText"/>
      </w:pPr>
      <w:r>
        <w:rPr>
          <w:rStyle w:val="FootnoteReference"/>
        </w:rPr>
        <w:footnoteRef/>
      </w:r>
      <w:r>
        <w:t xml:space="preserve"> </w:t>
      </w:r>
      <w:r>
        <w:rPr>
          <w:rFonts w:cs="Arial"/>
          <w:szCs w:val="24"/>
        </w:rPr>
        <w:t>NSPCC (2011) Protection of Freedoms Bill Parliamentary Briefing, (London: NSPCC).</w:t>
      </w:r>
    </w:p>
  </w:footnote>
  <w:footnote w:id="6">
    <w:p w:rsidR="000C7062" w:rsidRDefault="000C7062" w:rsidP="00F1151F">
      <w:pPr>
        <w:pStyle w:val="FootnoteText"/>
      </w:pPr>
      <w:r>
        <w:rPr>
          <w:rStyle w:val="FootnoteReference"/>
        </w:rPr>
        <w:footnoteRef/>
      </w:r>
      <w:r>
        <w:t xml:space="preserve"> NSPCC </w:t>
      </w:r>
      <w:r>
        <w:rPr>
          <w:rFonts w:cs="Arial"/>
          <w:szCs w:val="24"/>
        </w:rPr>
        <w:t>(2011) Protection of Freedoms Bill Parliamentary Briefing, (London: NSPCC).</w:t>
      </w:r>
    </w:p>
    <w:p w:rsidR="000C7062" w:rsidRDefault="000C7062" w:rsidP="00C0306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2" w:rsidRDefault="000C7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2" w:rsidRDefault="000C7062" w:rsidP="0063670D">
    <w:pPr>
      <w:pStyle w:val="Header"/>
      <w:jc w:val="center"/>
    </w:pPr>
    <w:r>
      <w:rPr>
        <w:rFonts w:ascii="Jeunesse" w:eastAsia="Arial Unicode MS" w:hAnsi="Jeunesse" w:cs="Arial Unicode MS"/>
        <w:noProof/>
        <w:lang w:eastAsia="en-GB"/>
      </w:rPr>
      <w:drawing>
        <wp:inline distT="0" distB="0" distL="0" distR="0">
          <wp:extent cx="1476375" cy="723900"/>
          <wp:effectExtent l="19050" t="0" r="9525" b="0"/>
          <wp:docPr id="1" name="Picture 1" descr="NICCY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CY - Colour logo"/>
                  <pic:cNvPicPr>
                    <a:picLocks noChangeAspect="1" noChangeArrowheads="1"/>
                  </pic:cNvPicPr>
                </pic:nvPicPr>
                <pic:blipFill>
                  <a:blip r:embed="rId1"/>
                  <a:srcRect/>
                  <a:stretch>
                    <a:fillRect/>
                  </a:stretch>
                </pic:blipFill>
                <pic:spPr bwMode="auto">
                  <a:xfrm>
                    <a:off x="0" y="0"/>
                    <a:ext cx="1476375" cy="723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2" w:rsidRDefault="000C7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158"/>
    <w:multiLevelType w:val="hybridMultilevel"/>
    <w:tmpl w:val="92D43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966EA9"/>
    <w:multiLevelType w:val="multilevel"/>
    <w:tmpl w:val="1F709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3A26"/>
    <w:rsid w:val="00012CDF"/>
    <w:rsid w:val="00020C8E"/>
    <w:rsid w:val="00024490"/>
    <w:rsid w:val="00055775"/>
    <w:rsid w:val="00061DA4"/>
    <w:rsid w:val="00067C42"/>
    <w:rsid w:val="00081D6E"/>
    <w:rsid w:val="00086CAC"/>
    <w:rsid w:val="00095449"/>
    <w:rsid w:val="000A0D21"/>
    <w:rsid w:val="000A7EB5"/>
    <w:rsid w:val="000B0135"/>
    <w:rsid w:val="000C163C"/>
    <w:rsid w:val="000C7062"/>
    <w:rsid w:val="00104F77"/>
    <w:rsid w:val="00106E40"/>
    <w:rsid w:val="00107E51"/>
    <w:rsid w:val="00115A91"/>
    <w:rsid w:val="0013178F"/>
    <w:rsid w:val="0014510F"/>
    <w:rsid w:val="00161E0B"/>
    <w:rsid w:val="0017550A"/>
    <w:rsid w:val="00185B9A"/>
    <w:rsid w:val="00187219"/>
    <w:rsid w:val="001A4BD2"/>
    <w:rsid w:val="001A584E"/>
    <w:rsid w:val="001B2BFC"/>
    <w:rsid w:val="001C2750"/>
    <w:rsid w:val="001E4B67"/>
    <w:rsid w:val="002033A1"/>
    <w:rsid w:val="00240854"/>
    <w:rsid w:val="002479FA"/>
    <w:rsid w:val="00250C37"/>
    <w:rsid w:val="00253F3C"/>
    <w:rsid w:val="00257E74"/>
    <w:rsid w:val="00263E96"/>
    <w:rsid w:val="0026442D"/>
    <w:rsid w:val="002654E8"/>
    <w:rsid w:val="00265E1A"/>
    <w:rsid w:val="00271E1F"/>
    <w:rsid w:val="002768E5"/>
    <w:rsid w:val="0028296D"/>
    <w:rsid w:val="002842CB"/>
    <w:rsid w:val="002932A1"/>
    <w:rsid w:val="002966B8"/>
    <w:rsid w:val="00297F2D"/>
    <w:rsid w:val="002E15B6"/>
    <w:rsid w:val="002E2452"/>
    <w:rsid w:val="002E70CE"/>
    <w:rsid w:val="002E723E"/>
    <w:rsid w:val="002F1F7E"/>
    <w:rsid w:val="00303AC8"/>
    <w:rsid w:val="0032166F"/>
    <w:rsid w:val="00335E4E"/>
    <w:rsid w:val="0034389E"/>
    <w:rsid w:val="00367756"/>
    <w:rsid w:val="003A6296"/>
    <w:rsid w:val="003B0164"/>
    <w:rsid w:val="003B2564"/>
    <w:rsid w:val="003B6D55"/>
    <w:rsid w:val="003D2B3B"/>
    <w:rsid w:val="003D5565"/>
    <w:rsid w:val="003E5156"/>
    <w:rsid w:val="003F5D3C"/>
    <w:rsid w:val="004038B1"/>
    <w:rsid w:val="00405DB2"/>
    <w:rsid w:val="00412E88"/>
    <w:rsid w:val="00417518"/>
    <w:rsid w:val="00425091"/>
    <w:rsid w:val="00425E57"/>
    <w:rsid w:val="004309D1"/>
    <w:rsid w:val="004500A7"/>
    <w:rsid w:val="004776CC"/>
    <w:rsid w:val="004919E5"/>
    <w:rsid w:val="00491DEE"/>
    <w:rsid w:val="00493C70"/>
    <w:rsid w:val="0049422D"/>
    <w:rsid w:val="00497567"/>
    <w:rsid w:val="004C4EDC"/>
    <w:rsid w:val="004C6A38"/>
    <w:rsid w:val="004D124C"/>
    <w:rsid w:val="004D1D2F"/>
    <w:rsid w:val="004E74CE"/>
    <w:rsid w:val="004E7FF2"/>
    <w:rsid w:val="0051564B"/>
    <w:rsid w:val="0052651E"/>
    <w:rsid w:val="005270A2"/>
    <w:rsid w:val="005404F7"/>
    <w:rsid w:val="005412A7"/>
    <w:rsid w:val="00552575"/>
    <w:rsid w:val="005565B4"/>
    <w:rsid w:val="005635BF"/>
    <w:rsid w:val="00591AAD"/>
    <w:rsid w:val="005C1422"/>
    <w:rsid w:val="005C7286"/>
    <w:rsid w:val="005D3CAA"/>
    <w:rsid w:val="005F6853"/>
    <w:rsid w:val="0060150A"/>
    <w:rsid w:val="00626F9F"/>
    <w:rsid w:val="0063193E"/>
    <w:rsid w:val="0063670D"/>
    <w:rsid w:val="0065189F"/>
    <w:rsid w:val="00661390"/>
    <w:rsid w:val="00661603"/>
    <w:rsid w:val="00665A98"/>
    <w:rsid w:val="006865D1"/>
    <w:rsid w:val="00692857"/>
    <w:rsid w:val="006B34F5"/>
    <w:rsid w:val="006B64F5"/>
    <w:rsid w:val="006B7CC5"/>
    <w:rsid w:val="006D21F9"/>
    <w:rsid w:val="006D59F9"/>
    <w:rsid w:val="006E4217"/>
    <w:rsid w:val="006E6E4C"/>
    <w:rsid w:val="00706286"/>
    <w:rsid w:val="00720C94"/>
    <w:rsid w:val="007568B5"/>
    <w:rsid w:val="00766637"/>
    <w:rsid w:val="007729A5"/>
    <w:rsid w:val="0077479C"/>
    <w:rsid w:val="00781553"/>
    <w:rsid w:val="00791D23"/>
    <w:rsid w:val="007A4B09"/>
    <w:rsid w:val="007A587E"/>
    <w:rsid w:val="007B2AA3"/>
    <w:rsid w:val="007C5E8C"/>
    <w:rsid w:val="007C7913"/>
    <w:rsid w:val="007D6B55"/>
    <w:rsid w:val="007E7295"/>
    <w:rsid w:val="007F0CE4"/>
    <w:rsid w:val="00804E24"/>
    <w:rsid w:val="00817FDD"/>
    <w:rsid w:val="0083367F"/>
    <w:rsid w:val="008437EB"/>
    <w:rsid w:val="008637DB"/>
    <w:rsid w:val="008748A2"/>
    <w:rsid w:val="00890357"/>
    <w:rsid w:val="00892D3B"/>
    <w:rsid w:val="00892E77"/>
    <w:rsid w:val="008D2789"/>
    <w:rsid w:val="008D6EA9"/>
    <w:rsid w:val="008E25A8"/>
    <w:rsid w:val="00901CDF"/>
    <w:rsid w:val="00901DB5"/>
    <w:rsid w:val="00904470"/>
    <w:rsid w:val="00905A28"/>
    <w:rsid w:val="00906CE0"/>
    <w:rsid w:val="009073F3"/>
    <w:rsid w:val="00913104"/>
    <w:rsid w:val="009523B5"/>
    <w:rsid w:val="00960337"/>
    <w:rsid w:val="009644B6"/>
    <w:rsid w:val="009728EB"/>
    <w:rsid w:val="0098527A"/>
    <w:rsid w:val="0099205C"/>
    <w:rsid w:val="009A3627"/>
    <w:rsid w:val="009B3DFA"/>
    <w:rsid w:val="009C3AD1"/>
    <w:rsid w:val="009C7D36"/>
    <w:rsid w:val="009D25BC"/>
    <w:rsid w:val="009F46A5"/>
    <w:rsid w:val="009F5103"/>
    <w:rsid w:val="00A079CD"/>
    <w:rsid w:val="00A1003A"/>
    <w:rsid w:val="00A11C88"/>
    <w:rsid w:val="00A17FE6"/>
    <w:rsid w:val="00A31BDF"/>
    <w:rsid w:val="00A40BC8"/>
    <w:rsid w:val="00A512AB"/>
    <w:rsid w:val="00A5257F"/>
    <w:rsid w:val="00A534BF"/>
    <w:rsid w:val="00A74BC3"/>
    <w:rsid w:val="00A77D7A"/>
    <w:rsid w:val="00AB3B02"/>
    <w:rsid w:val="00AC1A10"/>
    <w:rsid w:val="00AC5073"/>
    <w:rsid w:val="00AD485C"/>
    <w:rsid w:val="00AD6174"/>
    <w:rsid w:val="00AD7340"/>
    <w:rsid w:val="00B05B6B"/>
    <w:rsid w:val="00B1020C"/>
    <w:rsid w:val="00B10BC0"/>
    <w:rsid w:val="00B36A7F"/>
    <w:rsid w:val="00B505C9"/>
    <w:rsid w:val="00B54CA6"/>
    <w:rsid w:val="00B55C70"/>
    <w:rsid w:val="00B732C5"/>
    <w:rsid w:val="00B74241"/>
    <w:rsid w:val="00B81118"/>
    <w:rsid w:val="00B87C48"/>
    <w:rsid w:val="00B91455"/>
    <w:rsid w:val="00BC24C2"/>
    <w:rsid w:val="00BC3604"/>
    <w:rsid w:val="00BD749B"/>
    <w:rsid w:val="00BE0A61"/>
    <w:rsid w:val="00BE4C64"/>
    <w:rsid w:val="00BF3D07"/>
    <w:rsid w:val="00C03068"/>
    <w:rsid w:val="00C16306"/>
    <w:rsid w:val="00C243CC"/>
    <w:rsid w:val="00C37630"/>
    <w:rsid w:val="00C43A26"/>
    <w:rsid w:val="00C57F54"/>
    <w:rsid w:val="00C64FB3"/>
    <w:rsid w:val="00C8006E"/>
    <w:rsid w:val="00C861D1"/>
    <w:rsid w:val="00CA4CD4"/>
    <w:rsid w:val="00CD7FCA"/>
    <w:rsid w:val="00CF540C"/>
    <w:rsid w:val="00D0446F"/>
    <w:rsid w:val="00D14522"/>
    <w:rsid w:val="00D3030C"/>
    <w:rsid w:val="00D5354A"/>
    <w:rsid w:val="00D550FF"/>
    <w:rsid w:val="00D551D2"/>
    <w:rsid w:val="00D56182"/>
    <w:rsid w:val="00D76B89"/>
    <w:rsid w:val="00D9095A"/>
    <w:rsid w:val="00DA3D80"/>
    <w:rsid w:val="00DA639A"/>
    <w:rsid w:val="00DB1F2A"/>
    <w:rsid w:val="00DB6F58"/>
    <w:rsid w:val="00DC7DD4"/>
    <w:rsid w:val="00DF126C"/>
    <w:rsid w:val="00DF4270"/>
    <w:rsid w:val="00DF4B53"/>
    <w:rsid w:val="00E2420F"/>
    <w:rsid w:val="00E24800"/>
    <w:rsid w:val="00E31183"/>
    <w:rsid w:val="00E34ADC"/>
    <w:rsid w:val="00E45317"/>
    <w:rsid w:val="00E817D8"/>
    <w:rsid w:val="00E84A5E"/>
    <w:rsid w:val="00EA3FE2"/>
    <w:rsid w:val="00EE3B84"/>
    <w:rsid w:val="00EE3DDC"/>
    <w:rsid w:val="00EF7B8E"/>
    <w:rsid w:val="00F02D17"/>
    <w:rsid w:val="00F057DA"/>
    <w:rsid w:val="00F1151F"/>
    <w:rsid w:val="00F12292"/>
    <w:rsid w:val="00F25213"/>
    <w:rsid w:val="00F316F7"/>
    <w:rsid w:val="00F960B6"/>
    <w:rsid w:val="00FA05D0"/>
    <w:rsid w:val="00FA12D1"/>
    <w:rsid w:val="00FC1439"/>
    <w:rsid w:val="00FD0884"/>
    <w:rsid w:val="00FD4886"/>
    <w:rsid w:val="00FD4DBA"/>
    <w:rsid w:val="00FE1268"/>
    <w:rsid w:val="00FE355A"/>
    <w:rsid w:val="00FE4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Book" w:eastAsia="Calibri" w:hAnsi="Futura Book"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26"/>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E12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E1268"/>
    <w:rPr>
      <w:rFonts w:eastAsia="Times New Roman" w:cs="Times New Roman"/>
    </w:rPr>
  </w:style>
  <w:style w:type="paragraph" w:styleId="Footer">
    <w:name w:val="footer"/>
    <w:basedOn w:val="Normal"/>
    <w:link w:val="FooterChar"/>
    <w:uiPriority w:val="99"/>
    <w:rsid w:val="00FE126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1268"/>
    <w:rPr>
      <w:rFonts w:eastAsia="Times New Roman" w:cs="Times New Roman"/>
    </w:rPr>
  </w:style>
  <w:style w:type="paragraph" w:styleId="NormalWeb">
    <w:name w:val="Normal (Web)"/>
    <w:basedOn w:val="Normal"/>
    <w:uiPriority w:val="99"/>
    <w:rsid w:val="00B81118"/>
    <w:pPr>
      <w:spacing w:before="100" w:beforeAutospacing="1" w:after="100" w:afterAutospacing="1" w:line="240" w:lineRule="auto"/>
    </w:pPr>
    <w:rPr>
      <w:rFonts w:ascii="Arial" w:eastAsia="Times New Roman" w:hAnsi="Arial" w:cs="Arial"/>
      <w:color w:val="000066"/>
      <w:sz w:val="18"/>
      <w:szCs w:val="18"/>
    </w:rPr>
  </w:style>
  <w:style w:type="character" w:styleId="CommentReference">
    <w:name w:val="annotation reference"/>
    <w:basedOn w:val="DefaultParagraphFont"/>
    <w:uiPriority w:val="99"/>
    <w:semiHidden/>
    <w:rsid w:val="00665A98"/>
    <w:rPr>
      <w:rFonts w:cs="Times New Roman"/>
      <w:sz w:val="16"/>
      <w:szCs w:val="16"/>
    </w:rPr>
  </w:style>
  <w:style w:type="paragraph" w:styleId="CommentText">
    <w:name w:val="annotation text"/>
    <w:basedOn w:val="Normal"/>
    <w:link w:val="CommentTextChar"/>
    <w:uiPriority w:val="99"/>
    <w:semiHidden/>
    <w:rsid w:val="00665A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5A9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665A98"/>
    <w:rPr>
      <w:b/>
      <w:bCs/>
    </w:rPr>
  </w:style>
  <w:style w:type="character" w:customStyle="1" w:styleId="CommentSubjectChar">
    <w:name w:val="Comment Subject Char"/>
    <w:basedOn w:val="CommentTextChar"/>
    <w:link w:val="CommentSubject"/>
    <w:uiPriority w:val="99"/>
    <w:semiHidden/>
    <w:locked/>
    <w:rsid w:val="00665A98"/>
    <w:rPr>
      <w:b/>
      <w:bCs/>
    </w:rPr>
  </w:style>
  <w:style w:type="paragraph" w:styleId="BalloonText">
    <w:name w:val="Balloon Text"/>
    <w:basedOn w:val="Normal"/>
    <w:link w:val="BalloonTextChar"/>
    <w:uiPriority w:val="99"/>
    <w:semiHidden/>
    <w:rsid w:val="0066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A98"/>
    <w:rPr>
      <w:rFonts w:ascii="Tahoma" w:eastAsia="Times New Roman" w:hAnsi="Tahoma" w:cs="Tahoma"/>
      <w:sz w:val="16"/>
      <w:szCs w:val="16"/>
    </w:rPr>
  </w:style>
  <w:style w:type="paragraph" w:styleId="FootnoteText">
    <w:name w:val="footnote text"/>
    <w:basedOn w:val="Normal"/>
    <w:link w:val="FootnoteTextChar"/>
    <w:uiPriority w:val="99"/>
    <w:semiHidden/>
    <w:rsid w:val="00DA639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A639A"/>
    <w:rPr>
      <w:rFonts w:eastAsia="Times New Roman" w:cs="Times New Roman"/>
      <w:sz w:val="20"/>
      <w:szCs w:val="20"/>
    </w:rPr>
  </w:style>
  <w:style w:type="character" w:styleId="FootnoteReference">
    <w:name w:val="footnote reference"/>
    <w:basedOn w:val="DefaultParagraphFont"/>
    <w:uiPriority w:val="99"/>
    <w:semiHidden/>
    <w:rsid w:val="00DA639A"/>
    <w:rPr>
      <w:rFonts w:cs="Times New Roman"/>
      <w:vertAlign w:val="superscript"/>
    </w:rPr>
  </w:style>
  <w:style w:type="paragraph" w:customStyle="1" w:styleId="legcontentsitem1">
    <w:name w:val="legcontentsitem1"/>
    <w:basedOn w:val="Normal"/>
    <w:rsid w:val="004D124C"/>
    <w:pPr>
      <w:shd w:val="clear" w:color="auto" w:fill="FFFFFF"/>
      <w:spacing w:after="120" w:line="240" w:lineRule="auto"/>
    </w:pPr>
    <w:rPr>
      <w:rFonts w:ascii="Times New Roman" w:eastAsia="Times New Roman" w:hAnsi="Times New Roman"/>
      <w:color w:val="000000"/>
      <w:sz w:val="19"/>
      <w:szCs w:val="19"/>
      <w:lang w:eastAsia="en-GB"/>
    </w:rPr>
  </w:style>
  <w:style w:type="character" w:customStyle="1" w:styleId="legds2">
    <w:name w:val="legds2"/>
    <w:basedOn w:val="DefaultParagraphFont"/>
    <w:rsid w:val="004D124C"/>
    <w:rPr>
      <w:vanish w:val="0"/>
      <w:webHidden w:val="0"/>
      <w:specVanish w:val="0"/>
    </w:rPr>
  </w:style>
  <w:style w:type="character" w:styleId="Hyperlink">
    <w:name w:val="Hyperlink"/>
    <w:basedOn w:val="DefaultParagraphFont"/>
    <w:uiPriority w:val="99"/>
    <w:unhideWhenUsed/>
    <w:rsid w:val="006B7C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757317">
      <w:bodyDiv w:val="1"/>
      <w:marLeft w:val="0"/>
      <w:marRight w:val="0"/>
      <w:marTop w:val="0"/>
      <w:marBottom w:val="0"/>
      <w:divBdr>
        <w:top w:val="none" w:sz="0" w:space="0" w:color="auto"/>
        <w:left w:val="none" w:sz="0" w:space="0" w:color="auto"/>
        <w:bottom w:val="none" w:sz="0" w:space="0" w:color="auto"/>
        <w:right w:val="none" w:sz="0" w:space="0" w:color="auto"/>
      </w:divBdr>
      <w:divsChild>
        <w:div w:id="1631589204">
          <w:marLeft w:val="0"/>
          <w:marRight w:val="0"/>
          <w:marTop w:val="0"/>
          <w:marBottom w:val="0"/>
          <w:divBdr>
            <w:top w:val="none" w:sz="0" w:space="0" w:color="auto"/>
            <w:left w:val="none" w:sz="0" w:space="0" w:color="auto"/>
            <w:bottom w:val="none" w:sz="0" w:space="0" w:color="auto"/>
            <w:right w:val="none" w:sz="0" w:space="0" w:color="auto"/>
          </w:divBdr>
          <w:divsChild>
            <w:div w:id="1867254941">
              <w:marLeft w:val="0"/>
              <w:marRight w:val="0"/>
              <w:marTop w:val="0"/>
              <w:marBottom w:val="0"/>
              <w:divBdr>
                <w:top w:val="none" w:sz="0" w:space="0" w:color="auto"/>
                <w:left w:val="none" w:sz="0" w:space="0" w:color="auto"/>
                <w:bottom w:val="none" w:sz="0" w:space="0" w:color="auto"/>
                <w:right w:val="none" w:sz="0" w:space="0" w:color="auto"/>
              </w:divBdr>
              <w:divsChild>
                <w:div w:id="762452490">
                  <w:marLeft w:val="0"/>
                  <w:marRight w:val="0"/>
                  <w:marTop w:val="0"/>
                  <w:marBottom w:val="0"/>
                  <w:divBdr>
                    <w:top w:val="none" w:sz="0" w:space="0" w:color="auto"/>
                    <w:left w:val="none" w:sz="0" w:space="0" w:color="auto"/>
                    <w:bottom w:val="none" w:sz="0" w:space="0" w:color="auto"/>
                    <w:right w:val="none" w:sz="0" w:space="0" w:color="auto"/>
                  </w:divBdr>
                  <w:divsChild>
                    <w:div w:id="1439370983">
                      <w:marLeft w:val="0"/>
                      <w:marRight w:val="0"/>
                      <w:marTop w:val="0"/>
                      <w:marBottom w:val="0"/>
                      <w:divBdr>
                        <w:top w:val="none" w:sz="0" w:space="0" w:color="auto"/>
                        <w:left w:val="none" w:sz="0" w:space="0" w:color="auto"/>
                        <w:bottom w:val="none" w:sz="0" w:space="0" w:color="auto"/>
                        <w:right w:val="none" w:sz="0" w:space="0" w:color="auto"/>
                      </w:divBdr>
                      <w:divsChild>
                        <w:div w:id="1442801590">
                          <w:marLeft w:val="0"/>
                          <w:marRight w:val="0"/>
                          <w:marTop w:val="0"/>
                          <w:marBottom w:val="0"/>
                          <w:divBdr>
                            <w:top w:val="none" w:sz="0" w:space="0" w:color="auto"/>
                            <w:left w:val="none" w:sz="0" w:space="0" w:color="auto"/>
                            <w:bottom w:val="none" w:sz="0" w:space="0" w:color="auto"/>
                            <w:right w:val="none" w:sz="0" w:space="0" w:color="auto"/>
                          </w:divBdr>
                          <w:divsChild>
                            <w:div w:id="107509220">
                              <w:marLeft w:val="0"/>
                              <w:marRight w:val="0"/>
                              <w:marTop w:val="0"/>
                              <w:marBottom w:val="0"/>
                              <w:divBdr>
                                <w:top w:val="none" w:sz="0" w:space="0" w:color="auto"/>
                                <w:left w:val="none" w:sz="0" w:space="0" w:color="auto"/>
                                <w:bottom w:val="none" w:sz="0" w:space="0" w:color="auto"/>
                                <w:right w:val="none" w:sz="0" w:space="0" w:color="auto"/>
                              </w:divBdr>
                              <w:divsChild>
                                <w:div w:id="31688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ons.parliament.uk/pa/cm201011/cmpublic/protection/memo/pf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1378-D36A-4A91-B42E-85B2C311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5</Pages>
  <Words>1697</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Jacqueline.Melville</dc:creator>
  <cp:lastModifiedBy>Jacqueline.Melville</cp:lastModifiedBy>
  <cp:revision>71</cp:revision>
  <cp:lastPrinted>2011-05-13T08:23:00Z</cp:lastPrinted>
  <dcterms:created xsi:type="dcterms:W3CDTF">2011-04-13T07:42:00Z</dcterms:created>
  <dcterms:modified xsi:type="dcterms:W3CDTF">2011-05-16T08:11:00Z</dcterms:modified>
</cp:coreProperties>
</file>