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6F" w:rsidRDefault="00D06003" w:rsidP="00A81376">
      <w:pPr>
        <w:pStyle w:val="NICCYHeading"/>
      </w:pPr>
      <w:r>
        <w:t xml:space="preserve">Departmental </w:t>
      </w:r>
      <w:r w:rsidR="008C756F" w:rsidRPr="008C756F">
        <w:t>Reported Progress</w:t>
      </w:r>
      <w:r w:rsidR="00A81376">
        <w:t xml:space="preserve"> </w:t>
      </w:r>
      <w:r>
        <w:t>on Child Sexual Exploitation (CSE)</w:t>
      </w:r>
    </w:p>
    <w:p w:rsidR="00D06003" w:rsidRDefault="00D06003" w:rsidP="00D06003">
      <w:pPr>
        <w:pStyle w:val="NICCYBodyText"/>
        <w:rPr>
          <w:b/>
          <w:color w:val="23A4DE"/>
          <w:sz w:val="36"/>
          <w:szCs w:val="36"/>
        </w:rPr>
      </w:pPr>
    </w:p>
    <w:p w:rsidR="00D06003" w:rsidRDefault="00D06003" w:rsidP="00D06003">
      <w:pPr>
        <w:pStyle w:val="NICCYBodyText"/>
      </w:pPr>
      <w:r w:rsidRPr="00D06003">
        <w:t xml:space="preserve">There </w:t>
      </w:r>
      <w:proofErr w:type="gramStart"/>
      <w:r w:rsidRPr="00D06003">
        <w:t>are some example</w:t>
      </w:r>
      <w:proofErr w:type="gramEnd"/>
      <w:r w:rsidRPr="00D06003">
        <w:t xml:space="preserve"> on the tables below, and you</w:t>
      </w:r>
      <w:r>
        <w:t xml:space="preserve"> can also read </w:t>
      </w:r>
      <w:r w:rsidRPr="00D06003">
        <w:t xml:space="preserve">each </w:t>
      </w:r>
      <w:r>
        <w:t xml:space="preserve">of the </w:t>
      </w:r>
      <w:r w:rsidRPr="00D06003">
        <w:t>Dep</w:t>
      </w:r>
      <w:r>
        <w:t>artment’s full Progress Reports here:</w:t>
      </w:r>
    </w:p>
    <w:p w:rsidR="00D06003" w:rsidRDefault="00D06003" w:rsidP="00D06003">
      <w:pPr>
        <w:pStyle w:val="NICCYBodyText"/>
      </w:pPr>
      <w:r w:rsidRPr="00D06003">
        <w:t xml:space="preserve"> </w:t>
      </w:r>
    </w:p>
    <w:p w:rsidR="00D06003" w:rsidRDefault="00D06003" w:rsidP="00D06003">
      <w:pPr>
        <w:pStyle w:val="NICCYBodyText"/>
        <w:numPr>
          <w:ilvl w:val="0"/>
          <w:numId w:val="16"/>
        </w:numPr>
      </w:pPr>
      <w:r w:rsidRPr="00D06003">
        <w:t>Education –</w:t>
      </w:r>
      <w:r>
        <w:t xml:space="preserve"> </w:t>
      </w:r>
      <w:hyperlink r:id="rId8" w:history="1">
        <w:r>
          <w:rPr>
            <w:rStyle w:val="Hyperlink"/>
          </w:rPr>
          <w:t>September 2015</w:t>
        </w:r>
      </w:hyperlink>
      <w:r>
        <w:t xml:space="preserve">,  </w:t>
      </w:r>
      <w:hyperlink r:id="rId9" w:history="1">
        <w:r>
          <w:rPr>
            <w:rStyle w:val="Hyperlink"/>
          </w:rPr>
          <w:t>August 2016</w:t>
        </w:r>
      </w:hyperlink>
    </w:p>
    <w:p w:rsidR="00D06003" w:rsidRDefault="00D06003" w:rsidP="00D06003">
      <w:pPr>
        <w:pStyle w:val="NICCYBodyText"/>
        <w:numPr>
          <w:ilvl w:val="0"/>
          <w:numId w:val="16"/>
        </w:numPr>
      </w:pPr>
      <w:r w:rsidRPr="00D06003">
        <w:t xml:space="preserve">Health – </w:t>
      </w:r>
      <w:hyperlink r:id="rId10" w:history="1">
        <w:r>
          <w:rPr>
            <w:rStyle w:val="Hyperlink"/>
          </w:rPr>
          <w:t>September 2015</w:t>
        </w:r>
      </w:hyperlink>
      <w:r>
        <w:t xml:space="preserve">, </w:t>
      </w:r>
      <w:hyperlink r:id="rId11" w:history="1">
        <w:r>
          <w:rPr>
            <w:rStyle w:val="Hyperlink"/>
          </w:rPr>
          <w:t>July 2016</w:t>
        </w:r>
      </w:hyperlink>
    </w:p>
    <w:p w:rsidR="00D06003" w:rsidRDefault="00D06003" w:rsidP="00D06003">
      <w:pPr>
        <w:pStyle w:val="NICCYBodyText"/>
        <w:numPr>
          <w:ilvl w:val="0"/>
          <w:numId w:val="16"/>
        </w:numPr>
      </w:pPr>
      <w:r w:rsidRPr="00D06003">
        <w:t xml:space="preserve">Justice – </w:t>
      </w:r>
      <w:hyperlink r:id="rId12" w:history="1">
        <w:r>
          <w:rPr>
            <w:rStyle w:val="Hyperlink"/>
          </w:rPr>
          <w:t>October 2015</w:t>
        </w:r>
      </w:hyperlink>
      <w:r>
        <w:t xml:space="preserve">, </w:t>
      </w:r>
      <w:hyperlink r:id="rId13" w:history="1">
        <w:r>
          <w:rPr>
            <w:rStyle w:val="Hyperlink"/>
          </w:rPr>
          <w:t>June 2016.</w:t>
        </w:r>
      </w:hyperlink>
    </w:p>
    <w:p w:rsidR="00A81376" w:rsidRDefault="00A81376" w:rsidP="00A81376">
      <w:pPr>
        <w:pStyle w:val="NICCYBodyText"/>
      </w:pPr>
    </w:p>
    <w:p w:rsidR="00A81376" w:rsidRDefault="00D06003" w:rsidP="00A81376">
      <w:pPr>
        <w:pStyle w:val="NICCYBodyText"/>
      </w:pPr>
      <w:r>
        <w:t>This document relate to our press release of 18 November 2016 which you can view on our website (</w:t>
      </w:r>
      <w:hyperlink r:id="rId14" w:history="1">
        <w:r w:rsidRPr="00C870A5">
          <w:rPr>
            <w:rStyle w:val="Hyperlink"/>
          </w:rPr>
          <w:t>www.niccy.org/cse</w:t>
        </w:r>
      </w:hyperlink>
      <w:r>
        <w:t xml:space="preserve">). </w:t>
      </w:r>
      <w:r w:rsidR="00A81376">
        <w:t xml:space="preserve"> </w:t>
      </w:r>
    </w:p>
    <w:p w:rsidR="00A81376" w:rsidRPr="008C756F" w:rsidRDefault="00A81376" w:rsidP="008C756F">
      <w:pPr>
        <w:pStyle w:val="NICCYBodyText"/>
      </w:pPr>
    </w:p>
    <w:p w:rsidR="008C756F" w:rsidRDefault="008C756F" w:rsidP="008C756F">
      <w:pPr>
        <w:pStyle w:val="NICCYBodyText"/>
      </w:pPr>
      <w:r>
        <w:t>Some Inquiry recommendations are not addressed at all in progress reports e.g. ‘RQIA should consider re-introducing the involvement of young people as peer reviewers in inspections of children’s homes’ has not been addressed in the Health report.</w:t>
      </w:r>
    </w:p>
    <w:p w:rsidR="008C756F" w:rsidRDefault="008C756F" w:rsidP="008C756F">
      <w:pPr>
        <w:pStyle w:val="NICCYBodyText"/>
      </w:pPr>
    </w:p>
    <w:p w:rsidR="008C756F" w:rsidRDefault="008C756F" w:rsidP="008C756F">
      <w:pPr>
        <w:pStyle w:val="NICCYBodyText"/>
      </w:pPr>
      <w:r>
        <w:t>Further to this, Health</w:t>
      </w:r>
      <w:proofErr w:type="gramStart"/>
      <w:r>
        <w:t>  lists</w:t>
      </w:r>
      <w:proofErr w:type="gramEnd"/>
      <w:r>
        <w:t xml:space="preserve"> the recommendations which the Department transferred to the Safeguarding Board (SBNI) noting that they will produce a separate report. The </w:t>
      </w:r>
      <w:proofErr w:type="gramStart"/>
      <w:r>
        <w:t>range of recommendations made by the Inquiry directly to SBNI are</w:t>
      </w:r>
      <w:proofErr w:type="gramEnd"/>
      <w:r>
        <w:t xml:space="preserve"> absent. A number of the transferred recommendations relate to data gathering and information sharing about CSE and it is notable that the 2016 independent review of SBNI observed that it does not have effective multi agency mechanisms for monitoring and reporting the scale of CSE</w:t>
      </w:r>
      <w:proofErr w:type="gramStart"/>
      <w:r>
        <w:t>.</w:t>
      </w:r>
      <w:r>
        <w:endnoteReference w:customMarkFollows="1" w:id="1"/>
        <w:t>[</w:t>
      </w:r>
      <w:proofErr w:type="gramEnd"/>
      <w:r>
        <w:t xml:space="preserve">ii] </w:t>
      </w:r>
    </w:p>
    <w:p w:rsidR="008C756F" w:rsidRDefault="008C756F" w:rsidP="008C756F">
      <w:pPr>
        <w:pStyle w:val="NICCYBodyText"/>
      </w:pPr>
    </w:p>
    <w:p w:rsidR="008C756F" w:rsidRDefault="008C756F" w:rsidP="008C756F">
      <w:pPr>
        <w:pStyle w:val="NICCYBodyText"/>
      </w:pPr>
      <w:r>
        <w:t xml:space="preserve">The following table gives some examples of recommendations from the Inquiry, demonstrated progress by each department and the evidence NICCY would have liked to see reported. </w:t>
      </w:r>
    </w:p>
    <w:p w:rsidR="008C756F" w:rsidRDefault="008C756F" w:rsidP="008C756F">
      <w:pPr>
        <w:pStyle w:val="NICCYBodyText"/>
      </w:pPr>
    </w:p>
    <w:p w:rsidR="008C756F" w:rsidRDefault="008C756F" w:rsidP="008C756F">
      <w:pPr>
        <w:pStyle w:val="NICCYBodyText"/>
      </w:pPr>
      <w:r>
        <w:t>The lack of attention to impact and outcomes means reports are largely descriptive of ongoing work or processes rather than documenting how changes are positively affecting operational matters and practice on the ground.</w:t>
      </w:r>
    </w:p>
    <w:p w:rsidR="008C756F" w:rsidRDefault="008C756F" w:rsidP="008C756F">
      <w:pPr>
        <w:pStyle w:val="ListParagraph"/>
      </w:pPr>
    </w:p>
    <w:tbl>
      <w:tblPr>
        <w:tblW w:w="5000" w:type="pct"/>
        <w:tblCellMar>
          <w:left w:w="0" w:type="dxa"/>
          <w:right w:w="0" w:type="dxa"/>
        </w:tblCellMar>
        <w:tblLook w:val="04A0"/>
      </w:tblPr>
      <w:tblGrid>
        <w:gridCol w:w="3622"/>
        <w:gridCol w:w="3283"/>
        <w:gridCol w:w="2943"/>
      </w:tblGrid>
      <w:tr w:rsidR="008C756F" w:rsidRPr="00A81376" w:rsidTr="00A81376">
        <w:tc>
          <w:tcPr>
            <w:tcW w:w="1839" w:type="pct"/>
            <w:tcBorders>
              <w:top w:val="single" w:sz="8" w:space="0" w:color="BDD6EE"/>
              <w:left w:val="single" w:sz="8" w:space="0" w:color="BDD6EE"/>
              <w:bottom w:val="single" w:sz="12" w:space="0" w:color="9CC2E5"/>
              <w:right w:val="single" w:sz="8" w:space="0" w:color="BDD6EE"/>
            </w:tcBorders>
            <w:shd w:val="clear" w:color="auto" w:fill="BFBFBF" w:themeFill="background1" w:themeFillShade="BF"/>
            <w:tcMar>
              <w:top w:w="0" w:type="dxa"/>
              <w:left w:w="108" w:type="dxa"/>
              <w:bottom w:w="0" w:type="dxa"/>
              <w:right w:w="108" w:type="dxa"/>
            </w:tcMar>
            <w:hideMark/>
          </w:tcPr>
          <w:p w:rsidR="008C756F" w:rsidRPr="00A81376" w:rsidRDefault="008C756F" w:rsidP="008C756F">
            <w:pPr>
              <w:pStyle w:val="NICCYBodyText"/>
              <w:rPr>
                <w:rFonts w:ascii="Calibri" w:eastAsiaTheme="minorHAnsi" w:hAnsi="Calibri"/>
                <w:b/>
                <w:sz w:val="22"/>
                <w:szCs w:val="22"/>
              </w:rPr>
            </w:pPr>
            <w:r w:rsidRPr="00A81376">
              <w:rPr>
                <w:b/>
              </w:rPr>
              <w:t>Education</w:t>
            </w:r>
          </w:p>
        </w:tc>
        <w:tc>
          <w:tcPr>
            <w:tcW w:w="1667" w:type="pct"/>
            <w:tcBorders>
              <w:top w:val="single" w:sz="8" w:space="0" w:color="BDD6EE"/>
              <w:left w:val="nil"/>
              <w:bottom w:val="single" w:sz="12" w:space="0" w:color="9CC2E5"/>
              <w:right w:val="single" w:sz="8" w:space="0" w:color="BDD6EE"/>
            </w:tcBorders>
            <w:shd w:val="clear" w:color="auto" w:fill="BFBFBF" w:themeFill="background1" w:themeFillShade="BF"/>
            <w:tcMar>
              <w:top w:w="0" w:type="dxa"/>
              <w:left w:w="108" w:type="dxa"/>
              <w:bottom w:w="0" w:type="dxa"/>
              <w:right w:w="108" w:type="dxa"/>
            </w:tcMar>
          </w:tcPr>
          <w:p w:rsidR="008C756F" w:rsidRPr="00A81376" w:rsidRDefault="008C756F" w:rsidP="008C756F">
            <w:pPr>
              <w:pStyle w:val="NICCYBodyText"/>
              <w:rPr>
                <w:rFonts w:ascii="Calibri" w:eastAsiaTheme="minorHAnsi" w:hAnsi="Calibri"/>
                <w:b/>
                <w:sz w:val="22"/>
                <w:szCs w:val="22"/>
              </w:rPr>
            </w:pPr>
          </w:p>
        </w:tc>
        <w:tc>
          <w:tcPr>
            <w:tcW w:w="1494" w:type="pct"/>
            <w:tcBorders>
              <w:top w:val="single" w:sz="8" w:space="0" w:color="BDD6EE"/>
              <w:left w:val="nil"/>
              <w:bottom w:val="single" w:sz="12" w:space="0" w:color="9CC2E5"/>
              <w:right w:val="single" w:sz="8" w:space="0" w:color="BDD6EE"/>
            </w:tcBorders>
            <w:shd w:val="clear" w:color="auto" w:fill="BFBFBF" w:themeFill="background1" w:themeFillShade="BF"/>
            <w:tcMar>
              <w:top w:w="0" w:type="dxa"/>
              <w:left w:w="108" w:type="dxa"/>
              <w:bottom w:w="0" w:type="dxa"/>
              <w:right w:w="108" w:type="dxa"/>
            </w:tcMar>
          </w:tcPr>
          <w:p w:rsidR="008C756F" w:rsidRPr="00A81376" w:rsidRDefault="008C756F" w:rsidP="008C756F">
            <w:pPr>
              <w:pStyle w:val="NICCYBodyText"/>
              <w:rPr>
                <w:rFonts w:ascii="Calibri" w:eastAsiaTheme="minorHAnsi" w:hAnsi="Calibri"/>
                <w:b/>
                <w:sz w:val="22"/>
                <w:szCs w:val="22"/>
              </w:rPr>
            </w:pPr>
          </w:p>
        </w:tc>
      </w:tr>
      <w:tr w:rsidR="008C756F" w:rsidRPr="00A81376" w:rsidTr="008C756F">
        <w:tc>
          <w:tcPr>
            <w:tcW w:w="1839" w:type="pct"/>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rsidR="008C756F" w:rsidRPr="00A81376" w:rsidRDefault="008C756F" w:rsidP="008C756F">
            <w:pPr>
              <w:pStyle w:val="NICCYBodyText"/>
              <w:rPr>
                <w:rFonts w:ascii="Calibri" w:eastAsiaTheme="minorHAnsi" w:hAnsi="Calibri"/>
                <w:b/>
                <w:sz w:val="22"/>
                <w:szCs w:val="22"/>
              </w:rPr>
            </w:pPr>
            <w:r w:rsidRPr="00A81376">
              <w:rPr>
                <w:b/>
              </w:rPr>
              <w:t>Inquiry Recommendation</w:t>
            </w:r>
          </w:p>
        </w:tc>
        <w:tc>
          <w:tcPr>
            <w:tcW w:w="1667" w:type="pct"/>
            <w:tcBorders>
              <w:top w:val="nil"/>
              <w:left w:val="nil"/>
              <w:bottom w:val="single" w:sz="8" w:space="0" w:color="BDD6EE"/>
              <w:right w:val="single" w:sz="8" w:space="0" w:color="BDD6EE"/>
            </w:tcBorders>
            <w:tcMar>
              <w:top w:w="0" w:type="dxa"/>
              <w:left w:w="108" w:type="dxa"/>
              <w:bottom w:w="0" w:type="dxa"/>
              <w:right w:w="108" w:type="dxa"/>
            </w:tcMar>
            <w:hideMark/>
          </w:tcPr>
          <w:p w:rsidR="008C756F" w:rsidRPr="00A81376" w:rsidRDefault="008C756F" w:rsidP="008C756F">
            <w:pPr>
              <w:pStyle w:val="NICCYBodyText"/>
              <w:rPr>
                <w:rFonts w:ascii="Calibri" w:eastAsiaTheme="minorHAnsi" w:hAnsi="Calibri"/>
                <w:b/>
                <w:sz w:val="22"/>
                <w:szCs w:val="22"/>
              </w:rPr>
            </w:pPr>
            <w:r w:rsidRPr="00A81376">
              <w:rPr>
                <w:b/>
              </w:rPr>
              <w:t xml:space="preserve">Progress Report </w:t>
            </w:r>
            <w:r w:rsidRPr="00A81376">
              <w:rPr>
                <w:b/>
              </w:rPr>
              <w:lastRenderedPageBreak/>
              <w:t>Information</w:t>
            </w:r>
          </w:p>
        </w:tc>
        <w:tc>
          <w:tcPr>
            <w:tcW w:w="1494" w:type="pct"/>
            <w:tcBorders>
              <w:top w:val="nil"/>
              <w:left w:val="nil"/>
              <w:bottom w:val="single" w:sz="8" w:space="0" w:color="BDD6EE"/>
              <w:right w:val="single" w:sz="8" w:space="0" w:color="BDD6EE"/>
            </w:tcBorders>
            <w:tcMar>
              <w:top w:w="0" w:type="dxa"/>
              <w:left w:w="108" w:type="dxa"/>
              <w:bottom w:w="0" w:type="dxa"/>
              <w:right w:w="108" w:type="dxa"/>
            </w:tcMar>
            <w:hideMark/>
          </w:tcPr>
          <w:p w:rsidR="008C756F" w:rsidRPr="00A81376" w:rsidRDefault="008C756F" w:rsidP="008C756F">
            <w:pPr>
              <w:pStyle w:val="NICCYBodyText"/>
              <w:rPr>
                <w:rFonts w:ascii="Calibri" w:eastAsiaTheme="minorHAnsi" w:hAnsi="Calibri"/>
                <w:b/>
                <w:sz w:val="22"/>
                <w:szCs w:val="22"/>
              </w:rPr>
            </w:pPr>
            <w:r w:rsidRPr="00A81376">
              <w:rPr>
                <w:b/>
              </w:rPr>
              <w:lastRenderedPageBreak/>
              <w:t>Evidence needed</w:t>
            </w:r>
          </w:p>
        </w:tc>
      </w:tr>
      <w:tr w:rsidR="008C756F" w:rsidTr="008C756F">
        <w:tc>
          <w:tcPr>
            <w:tcW w:w="1839" w:type="pct"/>
            <w:tcBorders>
              <w:top w:val="nil"/>
              <w:left w:val="single" w:sz="8" w:space="0" w:color="BDD6EE"/>
              <w:bottom w:val="single" w:sz="8" w:space="0" w:color="BDD6EE"/>
              <w:right w:val="single" w:sz="8" w:space="0" w:color="BDD6EE"/>
            </w:tcBorders>
            <w:tcMar>
              <w:top w:w="0" w:type="dxa"/>
              <w:left w:w="108" w:type="dxa"/>
              <w:bottom w:w="0" w:type="dxa"/>
              <w:right w:w="108" w:type="dxa"/>
            </w:tcMar>
          </w:tcPr>
          <w:p w:rsidR="008C756F" w:rsidRDefault="008C756F" w:rsidP="008C756F">
            <w:pPr>
              <w:pStyle w:val="NICCYBodyText"/>
              <w:rPr>
                <w:rFonts w:ascii="Calibri" w:eastAsiaTheme="minorHAnsi" w:hAnsi="Calibri"/>
                <w:sz w:val="22"/>
                <w:szCs w:val="22"/>
              </w:rPr>
            </w:pPr>
            <w:r>
              <w:lastRenderedPageBreak/>
              <w:t>Schools should ensure that Relationships and Sexuality Education (RSE) is delivered by the people with the skills and confidence to do so.</w:t>
            </w:r>
          </w:p>
          <w:p w:rsidR="008C756F" w:rsidRDefault="008C756F" w:rsidP="008C756F">
            <w:pPr>
              <w:pStyle w:val="NICCYBodyText"/>
              <w:rPr>
                <w:rFonts w:ascii="Calibri" w:eastAsiaTheme="minorHAnsi" w:hAnsi="Calibri"/>
                <w:sz w:val="22"/>
                <w:szCs w:val="22"/>
              </w:rPr>
            </w:pPr>
          </w:p>
        </w:tc>
        <w:tc>
          <w:tcPr>
            <w:tcW w:w="1667" w:type="pct"/>
            <w:tcBorders>
              <w:top w:val="nil"/>
              <w:left w:val="nil"/>
              <w:bottom w:val="single" w:sz="8" w:space="0" w:color="BDD6EE"/>
              <w:right w:val="single" w:sz="8" w:space="0" w:color="BDD6EE"/>
            </w:tcBorders>
            <w:tcMar>
              <w:top w:w="0" w:type="dxa"/>
              <w:left w:w="108" w:type="dxa"/>
              <w:bottom w:w="0" w:type="dxa"/>
              <w:right w:w="108" w:type="dxa"/>
            </w:tcMar>
          </w:tcPr>
          <w:p w:rsidR="008C756F" w:rsidRDefault="008C756F" w:rsidP="008C756F">
            <w:pPr>
              <w:pStyle w:val="NICCYBodyText"/>
              <w:rPr>
                <w:rFonts w:ascii="Calibri" w:eastAsiaTheme="minorHAnsi" w:hAnsi="Calibri"/>
                <w:sz w:val="22"/>
                <w:szCs w:val="22"/>
              </w:rPr>
            </w:pPr>
            <w:r>
              <w:t>DE commissioned CCEA to carry out a review of RSE guidance.</w:t>
            </w:r>
          </w:p>
          <w:p w:rsidR="008C756F" w:rsidRDefault="008C756F" w:rsidP="008C756F">
            <w:pPr>
              <w:pStyle w:val="NICCYBodyText"/>
            </w:pPr>
            <w:r>
              <w:t>CCEA has published revised CSE guidance.</w:t>
            </w:r>
          </w:p>
          <w:p w:rsidR="008C756F" w:rsidRDefault="008C756F" w:rsidP="008C756F">
            <w:pPr>
              <w:pStyle w:val="NICCYBodyText"/>
              <w:rPr>
                <w:rFonts w:ascii="Calibri" w:eastAsiaTheme="minorHAnsi" w:hAnsi="Calibri"/>
                <w:sz w:val="22"/>
                <w:szCs w:val="22"/>
              </w:rPr>
            </w:pPr>
          </w:p>
        </w:tc>
        <w:tc>
          <w:tcPr>
            <w:tcW w:w="1494" w:type="pct"/>
            <w:tcBorders>
              <w:top w:val="nil"/>
              <w:left w:val="nil"/>
              <w:bottom w:val="single" w:sz="8" w:space="0" w:color="BDD6EE"/>
              <w:right w:val="single" w:sz="8" w:space="0" w:color="BDD6EE"/>
            </w:tcBorders>
            <w:tcMar>
              <w:top w:w="0" w:type="dxa"/>
              <w:left w:w="108" w:type="dxa"/>
              <w:bottom w:w="0" w:type="dxa"/>
              <w:right w:w="108" w:type="dxa"/>
            </w:tcMar>
          </w:tcPr>
          <w:p w:rsidR="008C756F" w:rsidRPr="00A81376" w:rsidRDefault="008C756F" w:rsidP="00A81376">
            <w:pPr>
              <w:pStyle w:val="NICCYBodyText"/>
              <w:rPr>
                <w:szCs w:val="20"/>
              </w:rPr>
            </w:pPr>
            <w:r w:rsidRPr="00A81376">
              <w:t>How this guidance is making a difference</w:t>
            </w:r>
          </w:p>
          <w:p w:rsidR="008C756F" w:rsidRPr="00A81376" w:rsidRDefault="008C756F" w:rsidP="00A81376">
            <w:pPr>
              <w:pStyle w:val="NICCYBodyText"/>
            </w:pPr>
            <w:r w:rsidRPr="00A81376">
              <w:rPr>
                <w:szCs w:val="22"/>
              </w:rPr>
              <w:t>Recent inspection states “a majority of schools identified that the teachers lack confidence and/or are uncomfortable in delivering the sensitive aspects …” of RSE, such as addressing abuse, and require specific training on this.</w:t>
            </w:r>
            <w:r w:rsidRPr="00A81376">
              <w:rPr>
                <w:szCs w:val="22"/>
              </w:rPr>
              <w:endnoteReference w:customMarkFollows="1" w:id="2"/>
              <w:t>[iii]</w:t>
            </w:r>
          </w:p>
          <w:p w:rsidR="008C756F" w:rsidRDefault="008C756F" w:rsidP="008C756F">
            <w:pPr>
              <w:pStyle w:val="NICCYBodyText"/>
              <w:rPr>
                <w:rFonts w:ascii="Calibri" w:hAnsi="Calibri"/>
                <w:sz w:val="22"/>
                <w:szCs w:val="22"/>
              </w:rPr>
            </w:pPr>
          </w:p>
          <w:p w:rsidR="008C756F" w:rsidRDefault="008C756F" w:rsidP="008C756F">
            <w:pPr>
              <w:pStyle w:val="NICCYBodyText"/>
              <w:rPr>
                <w:rFonts w:ascii="Calibri" w:eastAsiaTheme="minorHAnsi" w:hAnsi="Calibri"/>
                <w:sz w:val="22"/>
                <w:szCs w:val="22"/>
              </w:rPr>
            </w:pPr>
            <w:r>
              <w:t>DE must identify a range of sources that can provide evidence of the impact of the guidance. This could include, for example, DE asking ETI to report on how effectively RSE is being delivered in schools and to include feedback from children and young people and teachers as part of this; Child Protection Support Service for Schools or others being asked to carry out work to develop teaching on the child protection aspects of RSE.</w:t>
            </w:r>
          </w:p>
        </w:tc>
      </w:tr>
      <w:tr w:rsidR="008C756F" w:rsidTr="00A81376">
        <w:tc>
          <w:tcPr>
            <w:tcW w:w="1839" w:type="pct"/>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rsidR="008C756F" w:rsidRDefault="008C756F" w:rsidP="008C756F">
            <w:pPr>
              <w:pStyle w:val="NICCYBodyText"/>
            </w:pPr>
            <w:r>
              <w:t xml:space="preserve">Education Department must work with other departments to </w:t>
            </w:r>
            <w:r>
              <w:lastRenderedPageBreak/>
              <w:t xml:space="preserve">ensure there are appropriate safeguarding arrangements in all non statutory settings (including home education) </w:t>
            </w:r>
          </w:p>
          <w:p w:rsidR="00A81376" w:rsidRDefault="00A81376" w:rsidP="008C756F">
            <w:pPr>
              <w:pStyle w:val="NICCYBodyText"/>
            </w:pPr>
          </w:p>
          <w:p w:rsidR="00A81376" w:rsidRDefault="00A81376" w:rsidP="008C756F">
            <w:pPr>
              <w:pStyle w:val="NICCYBodyText"/>
            </w:pPr>
          </w:p>
          <w:p w:rsidR="00A81376" w:rsidRDefault="00A81376" w:rsidP="008C756F">
            <w:pPr>
              <w:pStyle w:val="NICCYBodyText"/>
            </w:pPr>
          </w:p>
          <w:p w:rsidR="00A81376" w:rsidRDefault="00A81376" w:rsidP="008C756F">
            <w:pPr>
              <w:pStyle w:val="NICCYBodyText"/>
            </w:pPr>
          </w:p>
          <w:p w:rsidR="00A81376" w:rsidRDefault="00A81376" w:rsidP="008C756F">
            <w:pPr>
              <w:pStyle w:val="NICCYBodyText"/>
            </w:pPr>
          </w:p>
          <w:p w:rsidR="00A81376" w:rsidRDefault="00A81376" w:rsidP="008C756F">
            <w:pPr>
              <w:pStyle w:val="NICCYBodyText"/>
              <w:rPr>
                <w:rFonts w:ascii="Calibri" w:eastAsiaTheme="minorHAnsi" w:hAnsi="Calibri"/>
                <w:sz w:val="22"/>
                <w:szCs w:val="22"/>
              </w:rPr>
            </w:pPr>
          </w:p>
        </w:tc>
        <w:tc>
          <w:tcPr>
            <w:tcW w:w="1667" w:type="pct"/>
            <w:tcBorders>
              <w:top w:val="nil"/>
              <w:left w:val="nil"/>
              <w:bottom w:val="single" w:sz="8" w:space="0" w:color="BDD6EE"/>
              <w:right w:val="single" w:sz="8" w:space="0" w:color="BDD6EE"/>
            </w:tcBorders>
            <w:tcMar>
              <w:top w:w="0" w:type="dxa"/>
              <w:left w:w="108" w:type="dxa"/>
              <w:bottom w:w="0" w:type="dxa"/>
              <w:right w:w="108" w:type="dxa"/>
            </w:tcMar>
            <w:hideMark/>
          </w:tcPr>
          <w:p w:rsidR="008C756F" w:rsidRDefault="008C756F" w:rsidP="008C756F">
            <w:pPr>
              <w:pStyle w:val="NICCYBodyText"/>
              <w:rPr>
                <w:rFonts w:ascii="Calibri" w:eastAsiaTheme="minorHAnsi" w:hAnsi="Calibri"/>
                <w:sz w:val="22"/>
                <w:szCs w:val="22"/>
              </w:rPr>
            </w:pPr>
            <w:r>
              <w:lastRenderedPageBreak/>
              <w:t xml:space="preserve">The Education Authority will consider this in broader </w:t>
            </w:r>
            <w:r>
              <w:lastRenderedPageBreak/>
              <w:t>procedures for Elective Home Education</w:t>
            </w:r>
          </w:p>
        </w:tc>
        <w:tc>
          <w:tcPr>
            <w:tcW w:w="1494" w:type="pct"/>
            <w:tcBorders>
              <w:top w:val="nil"/>
              <w:left w:val="nil"/>
              <w:bottom w:val="single" w:sz="8" w:space="0" w:color="BDD6EE"/>
              <w:right w:val="single" w:sz="8" w:space="0" w:color="BDD6EE"/>
            </w:tcBorders>
            <w:tcMar>
              <w:top w:w="0" w:type="dxa"/>
              <w:left w:w="108" w:type="dxa"/>
              <w:bottom w:w="0" w:type="dxa"/>
              <w:right w:w="108" w:type="dxa"/>
            </w:tcMar>
            <w:hideMark/>
          </w:tcPr>
          <w:p w:rsidR="008C756F" w:rsidRDefault="008C756F" w:rsidP="008C756F">
            <w:pPr>
              <w:pStyle w:val="NICCYBodyText"/>
              <w:rPr>
                <w:rFonts w:ascii="Calibri" w:eastAsiaTheme="minorHAnsi" w:hAnsi="Calibri"/>
                <w:sz w:val="22"/>
                <w:szCs w:val="22"/>
              </w:rPr>
            </w:pPr>
            <w:r>
              <w:lastRenderedPageBreak/>
              <w:t xml:space="preserve">Need to outline how this will be assessed or </w:t>
            </w:r>
            <w:r>
              <w:lastRenderedPageBreak/>
              <w:t>monitored as impacting on safeguarding practices and outcomes</w:t>
            </w:r>
          </w:p>
        </w:tc>
      </w:tr>
      <w:tr w:rsidR="008C756F" w:rsidRPr="00A81376" w:rsidTr="00A81376">
        <w:tc>
          <w:tcPr>
            <w:tcW w:w="1839" w:type="pct"/>
            <w:tcBorders>
              <w:top w:val="single" w:sz="8" w:space="0" w:color="BDD6EE"/>
              <w:left w:val="single" w:sz="8" w:space="0" w:color="BDD6EE"/>
              <w:bottom w:val="single" w:sz="8" w:space="0" w:color="BDD6EE"/>
              <w:right w:val="single" w:sz="8" w:space="0" w:color="BDD6EE"/>
            </w:tcBorders>
            <w:shd w:val="clear" w:color="auto" w:fill="BFBFBF" w:themeFill="background1" w:themeFillShade="BF"/>
            <w:tcMar>
              <w:top w:w="0" w:type="dxa"/>
              <w:left w:w="108" w:type="dxa"/>
              <w:bottom w:w="0" w:type="dxa"/>
              <w:right w:w="108" w:type="dxa"/>
            </w:tcMar>
            <w:hideMark/>
          </w:tcPr>
          <w:p w:rsidR="008C756F" w:rsidRPr="00A81376" w:rsidRDefault="008C756F" w:rsidP="008C756F">
            <w:pPr>
              <w:pStyle w:val="NICCYBodyText"/>
              <w:rPr>
                <w:rFonts w:ascii="Calibri" w:eastAsiaTheme="minorHAnsi" w:hAnsi="Calibri"/>
                <w:b/>
                <w:sz w:val="22"/>
                <w:szCs w:val="22"/>
              </w:rPr>
            </w:pPr>
            <w:r w:rsidRPr="00A81376">
              <w:rPr>
                <w:b/>
              </w:rPr>
              <w:lastRenderedPageBreak/>
              <w:t>Health</w:t>
            </w:r>
          </w:p>
        </w:tc>
        <w:tc>
          <w:tcPr>
            <w:tcW w:w="1667" w:type="pct"/>
            <w:tcBorders>
              <w:top w:val="single" w:sz="8" w:space="0" w:color="BDD6EE"/>
              <w:left w:val="nil"/>
              <w:bottom w:val="single" w:sz="8" w:space="0" w:color="BDD6EE"/>
              <w:right w:val="single" w:sz="8" w:space="0" w:color="BDD6EE"/>
            </w:tcBorders>
            <w:shd w:val="clear" w:color="auto" w:fill="BFBFBF" w:themeFill="background1" w:themeFillShade="BF"/>
            <w:tcMar>
              <w:top w:w="0" w:type="dxa"/>
              <w:left w:w="108" w:type="dxa"/>
              <w:bottom w:w="0" w:type="dxa"/>
              <w:right w:w="108" w:type="dxa"/>
            </w:tcMar>
          </w:tcPr>
          <w:p w:rsidR="008C756F" w:rsidRPr="00A81376" w:rsidRDefault="008C756F" w:rsidP="008C756F">
            <w:pPr>
              <w:pStyle w:val="NICCYBodyText"/>
              <w:rPr>
                <w:rFonts w:ascii="Calibri" w:eastAsiaTheme="minorHAnsi" w:hAnsi="Calibri"/>
                <w:b/>
                <w:sz w:val="22"/>
                <w:szCs w:val="22"/>
              </w:rPr>
            </w:pPr>
          </w:p>
        </w:tc>
        <w:tc>
          <w:tcPr>
            <w:tcW w:w="1494" w:type="pct"/>
            <w:tcBorders>
              <w:top w:val="single" w:sz="8" w:space="0" w:color="BDD6EE"/>
              <w:left w:val="nil"/>
              <w:bottom w:val="single" w:sz="8" w:space="0" w:color="BDD6EE"/>
              <w:right w:val="single" w:sz="8" w:space="0" w:color="BDD6EE"/>
            </w:tcBorders>
            <w:shd w:val="clear" w:color="auto" w:fill="BFBFBF" w:themeFill="background1" w:themeFillShade="BF"/>
            <w:tcMar>
              <w:top w:w="0" w:type="dxa"/>
              <w:left w:w="108" w:type="dxa"/>
              <w:bottom w:w="0" w:type="dxa"/>
              <w:right w:w="108" w:type="dxa"/>
            </w:tcMar>
          </w:tcPr>
          <w:p w:rsidR="008C756F" w:rsidRPr="00A81376" w:rsidRDefault="008C756F" w:rsidP="008C756F">
            <w:pPr>
              <w:pStyle w:val="NICCYBodyText"/>
              <w:rPr>
                <w:rFonts w:ascii="Calibri" w:eastAsiaTheme="minorHAnsi" w:hAnsi="Calibri"/>
                <w:b/>
                <w:sz w:val="22"/>
                <w:szCs w:val="22"/>
              </w:rPr>
            </w:pPr>
          </w:p>
        </w:tc>
      </w:tr>
      <w:tr w:rsidR="008C756F" w:rsidRPr="00A81376" w:rsidTr="008C756F">
        <w:tc>
          <w:tcPr>
            <w:tcW w:w="1839" w:type="pct"/>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rsidR="008C756F" w:rsidRPr="00A81376" w:rsidRDefault="008C756F" w:rsidP="008C756F">
            <w:pPr>
              <w:pStyle w:val="NICCYBodyText"/>
              <w:rPr>
                <w:rFonts w:ascii="Calibri" w:eastAsiaTheme="minorHAnsi" w:hAnsi="Calibri"/>
                <w:b/>
                <w:sz w:val="22"/>
                <w:szCs w:val="22"/>
              </w:rPr>
            </w:pPr>
            <w:r w:rsidRPr="00A81376">
              <w:rPr>
                <w:b/>
              </w:rPr>
              <w:t>Inquiry Recommendation</w:t>
            </w:r>
          </w:p>
        </w:tc>
        <w:tc>
          <w:tcPr>
            <w:tcW w:w="1667" w:type="pct"/>
            <w:tcBorders>
              <w:top w:val="nil"/>
              <w:left w:val="nil"/>
              <w:bottom w:val="single" w:sz="8" w:space="0" w:color="BDD6EE"/>
              <w:right w:val="single" w:sz="8" w:space="0" w:color="BDD6EE"/>
            </w:tcBorders>
            <w:tcMar>
              <w:top w:w="0" w:type="dxa"/>
              <w:left w:w="108" w:type="dxa"/>
              <w:bottom w:w="0" w:type="dxa"/>
              <w:right w:w="108" w:type="dxa"/>
            </w:tcMar>
            <w:hideMark/>
          </w:tcPr>
          <w:p w:rsidR="008C756F" w:rsidRPr="00A81376" w:rsidRDefault="008C756F" w:rsidP="008C756F">
            <w:pPr>
              <w:pStyle w:val="NICCYBodyText"/>
              <w:rPr>
                <w:rFonts w:ascii="Calibri" w:eastAsiaTheme="minorHAnsi" w:hAnsi="Calibri"/>
                <w:b/>
                <w:sz w:val="22"/>
                <w:szCs w:val="22"/>
              </w:rPr>
            </w:pPr>
            <w:r w:rsidRPr="00A81376">
              <w:rPr>
                <w:b/>
              </w:rPr>
              <w:t>Progress Report Information</w:t>
            </w:r>
          </w:p>
        </w:tc>
        <w:tc>
          <w:tcPr>
            <w:tcW w:w="1494" w:type="pct"/>
            <w:tcBorders>
              <w:top w:val="nil"/>
              <w:left w:val="nil"/>
              <w:bottom w:val="single" w:sz="8" w:space="0" w:color="BDD6EE"/>
              <w:right w:val="single" w:sz="8" w:space="0" w:color="BDD6EE"/>
            </w:tcBorders>
            <w:tcMar>
              <w:top w:w="0" w:type="dxa"/>
              <w:left w:w="108" w:type="dxa"/>
              <w:bottom w:w="0" w:type="dxa"/>
              <w:right w:w="108" w:type="dxa"/>
            </w:tcMar>
            <w:hideMark/>
          </w:tcPr>
          <w:p w:rsidR="008C756F" w:rsidRPr="00A81376" w:rsidRDefault="008C756F" w:rsidP="008C756F">
            <w:pPr>
              <w:pStyle w:val="NICCYBodyText"/>
              <w:rPr>
                <w:rFonts w:ascii="Calibri" w:eastAsiaTheme="minorHAnsi" w:hAnsi="Calibri"/>
                <w:b/>
                <w:sz w:val="22"/>
                <w:szCs w:val="22"/>
              </w:rPr>
            </w:pPr>
            <w:r w:rsidRPr="00A81376">
              <w:rPr>
                <w:b/>
              </w:rPr>
              <w:t>Evidence we need to see</w:t>
            </w:r>
          </w:p>
        </w:tc>
      </w:tr>
      <w:tr w:rsidR="008C756F" w:rsidTr="008C756F">
        <w:tc>
          <w:tcPr>
            <w:tcW w:w="1839" w:type="pct"/>
            <w:tcBorders>
              <w:top w:val="nil"/>
              <w:left w:val="single" w:sz="8" w:space="0" w:color="BDD6EE"/>
              <w:bottom w:val="single" w:sz="8" w:space="0" w:color="BDD6EE"/>
              <w:right w:val="single" w:sz="8" w:space="0" w:color="BDD6EE"/>
            </w:tcBorders>
            <w:tcMar>
              <w:top w:w="0" w:type="dxa"/>
              <w:left w:w="108" w:type="dxa"/>
              <w:bottom w:w="0" w:type="dxa"/>
              <w:right w:w="108" w:type="dxa"/>
            </w:tcMar>
          </w:tcPr>
          <w:p w:rsidR="008C756F" w:rsidRDefault="008C756F" w:rsidP="008C756F">
            <w:pPr>
              <w:pStyle w:val="NICCYBodyText"/>
              <w:rPr>
                <w:rFonts w:ascii="Calibri" w:eastAsiaTheme="minorHAnsi" w:hAnsi="Calibri"/>
                <w:sz w:val="22"/>
                <w:szCs w:val="22"/>
              </w:rPr>
            </w:pPr>
            <w:r>
              <w:t xml:space="preserve">HSC Trusts should </w:t>
            </w:r>
            <w:proofErr w:type="spellStart"/>
            <w:r>
              <w:t>endeavor</w:t>
            </w:r>
            <w:proofErr w:type="spellEnd"/>
            <w:r>
              <w:t xml:space="preserve"> to provide stability by minimising the movement of both staff and children throughout residential and foster care setting </w:t>
            </w:r>
          </w:p>
          <w:p w:rsidR="008C756F" w:rsidRDefault="008C756F" w:rsidP="008C756F">
            <w:pPr>
              <w:pStyle w:val="NICCYBodyText"/>
              <w:rPr>
                <w:rFonts w:ascii="Calibri" w:eastAsiaTheme="minorHAnsi" w:hAnsi="Calibri"/>
                <w:sz w:val="22"/>
                <w:szCs w:val="22"/>
              </w:rPr>
            </w:pPr>
          </w:p>
        </w:tc>
        <w:tc>
          <w:tcPr>
            <w:tcW w:w="1667" w:type="pct"/>
            <w:tcBorders>
              <w:top w:val="nil"/>
              <w:left w:val="nil"/>
              <w:bottom w:val="single" w:sz="8" w:space="0" w:color="BDD6EE"/>
              <w:right w:val="single" w:sz="8" w:space="0" w:color="BDD6EE"/>
            </w:tcBorders>
            <w:tcMar>
              <w:top w:w="0" w:type="dxa"/>
              <w:left w:w="108" w:type="dxa"/>
              <w:bottom w:w="0" w:type="dxa"/>
              <w:right w:w="108" w:type="dxa"/>
            </w:tcMar>
          </w:tcPr>
          <w:p w:rsidR="008C756F" w:rsidRDefault="008C756F" w:rsidP="008C756F">
            <w:pPr>
              <w:pStyle w:val="NICCYBodyText"/>
              <w:rPr>
                <w:rFonts w:ascii="Calibri" w:eastAsiaTheme="minorHAnsi" w:hAnsi="Calibri"/>
                <w:sz w:val="22"/>
                <w:szCs w:val="22"/>
              </w:rPr>
            </w:pPr>
            <w:r>
              <w:t xml:space="preserve">Reported as completed. </w:t>
            </w:r>
            <w:proofErr w:type="spellStart"/>
            <w:r>
              <w:t>DoH</w:t>
            </w:r>
            <w:proofErr w:type="spellEnd"/>
            <w:r>
              <w:t xml:space="preserve"> Progress Report contains ten pages of information. Detail is provided in relation to movement of staff but not children.</w:t>
            </w:r>
          </w:p>
          <w:p w:rsidR="008C756F" w:rsidRDefault="008C756F" w:rsidP="008C756F">
            <w:pPr>
              <w:pStyle w:val="NICCYBodyText"/>
              <w:rPr>
                <w:rFonts w:ascii="Calibri" w:eastAsiaTheme="minorHAnsi" w:hAnsi="Calibri"/>
                <w:sz w:val="22"/>
                <w:szCs w:val="22"/>
              </w:rPr>
            </w:pPr>
          </w:p>
        </w:tc>
        <w:tc>
          <w:tcPr>
            <w:tcW w:w="1494" w:type="pct"/>
            <w:tcBorders>
              <w:top w:val="nil"/>
              <w:left w:val="nil"/>
              <w:bottom w:val="single" w:sz="8" w:space="0" w:color="BDD6EE"/>
              <w:right w:val="single" w:sz="8" w:space="0" w:color="BDD6EE"/>
            </w:tcBorders>
            <w:tcMar>
              <w:top w:w="0" w:type="dxa"/>
              <w:left w:w="108" w:type="dxa"/>
              <w:bottom w:w="0" w:type="dxa"/>
              <w:right w:w="108" w:type="dxa"/>
            </w:tcMar>
            <w:hideMark/>
          </w:tcPr>
          <w:p w:rsidR="008C756F" w:rsidRDefault="008C756F" w:rsidP="008C756F">
            <w:pPr>
              <w:pStyle w:val="NICCYBodyText"/>
              <w:rPr>
                <w:rFonts w:ascii="Calibri" w:eastAsiaTheme="minorHAnsi" w:hAnsi="Calibri"/>
                <w:sz w:val="22"/>
                <w:szCs w:val="22"/>
              </w:rPr>
            </w:pPr>
            <w:r>
              <w:t>Data on placement moves is provided and a baseline against which progress can be monitored is established.</w:t>
            </w:r>
          </w:p>
          <w:p w:rsidR="008C756F" w:rsidRDefault="008C756F" w:rsidP="008C756F">
            <w:pPr>
              <w:pStyle w:val="NICCYBodyText"/>
            </w:pPr>
            <w:r>
              <w:t>Evidence of young people’s experience of this, to include children’s experiences of placement stability. On-going work undertaken by HSCTs, RQIA or NGOs or be incorporated into planned audits and reviews.</w:t>
            </w:r>
          </w:p>
          <w:p w:rsidR="008C756F" w:rsidRDefault="008C756F" w:rsidP="008C756F">
            <w:pPr>
              <w:pStyle w:val="NICCYBodyText"/>
              <w:rPr>
                <w:rFonts w:ascii="Calibri" w:eastAsiaTheme="minorHAnsi" w:hAnsi="Calibri"/>
                <w:sz w:val="22"/>
                <w:szCs w:val="22"/>
              </w:rPr>
            </w:pPr>
            <w:r>
              <w:t>The experience and views of carers and staff should also be represented.</w:t>
            </w:r>
          </w:p>
        </w:tc>
      </w:tr>
      <w:tr w:rsidR="008C756F" w:rsidTr="008C756F">
        <w:tc>
          <w:tcPr>
            <w:tcW w:w="1839" w:type="pct"/>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rsidR="008C756F" w:rsidRPr="00A81376" w:rsidRDefault="008C756F" w:rsidP="00A81376">
            <w:pPr>
              <w:pStyle w:val="NICCYBodyText"/>
              <w:rPr>
                <w:szCs w:val="20"/>
              </w:rPr>
            </w:pPr>
            <w:r w:rsidRPr="00A81376">
              <w:t xml:space="preserve">The DHSSPS should lead the development of a regional strategy to prevent, identify, disrupt and tackle CSE. It </w:t>
            </w:r>
            <w:r w:rsidRPr="00A81376">
              <w:lastRenderedPageBreak/>
              <w:t>should involve the DOJ and DE</w:t>
            </w:r>
          </w:p>
        </w:tc>
        <w:tc>
          <w:tcPr>
            <w:tcW w:w="1667" w:type="pct"/>
            <w:tcBorders>
              <w:top w:val="nil"/>
              <w:left w:val="nil"/>
              <w:bottom w:val="single" w:sz="8" w:space="0" w:color="BDD6EE"/>
              <w:right w:val="single" w:sz="8" w:space="0" w:color="BDD6EE"/>
            </w:tcBorders>
            <w:tcMar>
              <w:top w:w="0" w:type="dxa"/>
              <w:left w:w="108" w:type="dxa"/>
              <w:bottom w:w="0" w:type="dxa"/>
              <w:right w:w="108" w:type="dxa"/>
            </w:tcMar>
          </w:tcPr>
          <w:p w:rsidR="008C756F" w:rsidRPr="00A81376" w:rsidRDefault="008C756F" w:rsidP="00A81376">
            <w:pPr>
              <w:pStyle w:val="NICCYBodyText"/>
              <w:rPr>
                <w:szCs w:val="20"/>
              </w:rPr>
            </w:pPr>
            <w:r w:rsidRPr="00A81376">
              <w:lastRenderedPageBreak/>
              <w:t xml:space="preserve">Noted in the Department of Health’s first progress report as being due for consultation by June 2016 </w:t>
            </w:r>
            <w:r w:rsidRPr="00A81376">
              <w:lastRenderedPageBreak/>
              <w:t>with final publication in June 2017.</w:t>
            </w:r>
          </w:p>
          <w:p w:rsidR="008C756F" w:rsidRPr="00A81376" w:rsidRDefault="008C756F" w:rsidP="00A81376">
            <w:pPr>
              <w:pStyle w:val="NICCYBodyText"/>
            </w:pPr>
          </w:p>
          <w:p w:rsidR="008C756F" w:rsidRPr="00A81376" w:rsidRDefault="008C756F" w:rsidP="00A81376">
            <w:pPr>
              <w:pStyle w:val="NICCYBodyText"/>
              <w:rPr>
                <w:szCs w:val="20"/>
              </w:rPr>
            </w:pPr>
            <w:r w:rsidRPr="00A81376">
              <w:t>The Department’s latest progress report makes reference to mapping work that has been done but provides no detail on whether a strategy will be consulted upon.</w:t>
            </w:r>
          </w:p>
        </w:tc>
        <w:tc>
          <w:tcPr>
            <w:tcW w:w="1494" w:type="pct"/>
            <w:tcBorders>
              <w:top w:val="nil"/>
              <w:left w:val="nil"/>
              <w:bottom w:val="single" w:sz="8" w:space="0" w:color="BDD6EE"/>
              <w:right w:val="single" w:sz="8" w:space="0" w:color="BDD6EE"/>
            </w:tcBorders>
            <w:tcMar>
              <w:top w:w="0" w:type="dxa"/>
              <w:left w:w="108" w:type="dxa"/>
              <w:bottom w:w="0" w:type="dxa"/>
              <w:right w:w="108" w:type="dxa"/>
            </w:tcMar>
            <w:hideMark/>
          </w:tcPr>
          <w:p w:rsidR="008C756F" w:rsidRPr="00A81376" w:rsidRDefault="008C756F" w:rsidP="00A81376">
            <w:pPr>
              <w:pStyle w:val="NICCYBodyText"/>
              <w:rPr>
                <w:szCs w:val="20"/>
              </w:rPr>
            </w:pPr>
            <w:r w:rsidRPr="00A81376">
              <w:lastRenderedPageBreak/>
              <w:t xml:space="preserve">It is important to note that HMIC highlighted that a factor in inconsistent police response to </w:t>
            </w:r>
            <w:r w:rsidRPr="00A81376">
              <w:lastRenderedPageBreak/>
              <w:t xml:space="preserve">missing children was that there </w:t>
            </w:r>
          </w:p>
          <w:p w:rsidR="008C756F" w:rsidRPr="00A81376" w:rsidRDefault="008C756F" w:rsidP="00A81376">
            <w:pPr>
              <w:pStyle w:val="NICCYBodyText"/>
              <w:rPr>
                <w:szCs w:val="20"/>
              </w:rPr>
            </w:pPr>
            <w:r w:rsidRPr="00A81376">
              <w:t>“</w:t>
            </w:r>
            <w:proofErr w:type="gramStart"/>
            <w:r w:rsidRPr="00A81376">
              <w:t>is</w:t>
            </w:r>
            <w:proofErr w:type="gramEnd"/>
            <w:r w:rsidRPr="00A81376">
              <w:t xml:space="preserve"> no overarching strategy in place for CSE and this is leading to different approaches being taken in different trust areas.”</w:t>
            </w:r>
            <w:r w:rsidRPr="00A81376">
              <w:endnoteReference w:customMarkFollows="1" w:id="3"/>
              <w:t>[iv]</w:t>
            </w:r>
          </w:p>
        </w:tc>
      </w:tr>
      <w:tr w:rsidR="008C756F" w:rsidTr="00A81376">
        <w:tc>
          <w:tcPr>
            <w:tcW w:w="1839" w:type="pct"/>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rsidR="008C756F" w:rsidRPr="00A81376" w:rsidRDefault="008C756F" w:rsidP="00A81376">
            <w:pPr>
              <w:pStyle w:val="NICCYBodyText"/>
              <w:rPr>
                <w:szCs w:val="20"/>
              </w:rPr>
            </w:pPr>
            <w:r w:rsidRPr="00A81376">
              <w:lastRenderedPageBreak/>
              <w:t>DHSSPS should ensure that the revision of Circular HSS CC 3/96 (Revised), Sharing to Safeguard: Information Sharing about Individuals who may pose a Risk to Children, is accompanied by clear guidance to workers that will give them the confidence to act appropriately.</w:t>
            </w:r>
          </w:p>
        </w:tc>
        <w:tc>
          <w:tcPr>
            <w:tcW w:w="1667" w:type="pct"/>
            <w:tcBorders>
              <w:top w:val="nil"/>
              <w:left w:val="nil"/>
              <w:bottom w:val="single" w:sz="8" w:space="0" w:color="BDD6EE"/>
              <w:right w:val="single" w:sz="8" w:space="0" w:color="BDD6EE"/>
            </w:tcBorders>
            <w:tcMar>
              <w:top w:w="0" w:type="dxa"/>
              <w:left w:w="108" w:type="dxa"/>
              <w:bottom w:w="0" w:type="dxa"/>
              <w:right w:w="108" w:type="dxa"/>
            </w:tcMar>
            <w:hideMark/>
          </w:tcPr>
          <w:p w:rsidR="008C756F" w:rsidRPr="00A81376" w:rsidRDefault="008C756F" w:rsidP="00A81376">
            <w:pPr>
              <w:pStyle w:val="NICCYBodyText"/>
              <w:rPr>
                <w:szCs w:val="20"/>
              </w:rPr>
            </w:pPr>
            <w:r w:rsidRPr="00A81376">
              <w:t xml:space="preserve">Noted in the first progress report as the Circular being revised and guidance for consultation in autumn 2015 to be published in March 2016. The latest progress report however, states the Circular will be replaced with guidance which will be consulted on in autumn 2016. </w:t>
            </w:r>
          </w:p>
        </w:tc>
        <w:tc>
          <w:tcPr>
            <w:tcW w:w="1494" w:type="pct"/>
            <w:tcBorders>
              <w:top w:val="nil"/>
              <w:left w:val="nil"/>
              <w:bottom w:val="single" w:sz="8" w:space="0" w:color="BDD6EE"/>
              <w:right w:val="single" w:sz="8" w:space="0" w:color="BDD6EE"/>
            </w:tcBorders>
            <w:tcMar>
              <w:top w:w="0" w:type="dxa"/>
              <w:left w:w="108" w:type="dxa"/>
              <w:bottom w:w="0" w:type="dxa"/>
              <w:right w:w="108" w:type="dxa"/>
            </w:tcMar>
          </w:tcPr>
          <w:p w:rsidR="008C756F" w:rsidRPr="00A81376" w:rsidRDefault="008C756F" w:rsidP="00A81376">
            <w:pPr>
              <w:pStyle w:val="NICCYBodyText"/>
              <w:rPr>
                <w:szCs w:val="20"/>
              </w:rPr>
            </w:pPr>
            <w:r w:rsidRPr="00A81376">
              <w:t>The Revision of HSS CC 3/96 has been on-going since 2009.  There are three aspects of this recommendation.  The Revision of the Circular, issuing of guidance and plan to evaluate confidence levels of practitioners when sharing information to protect children.</w:t>
            </w:r>
          </w:p>
          <w:p w:rsidR="008C756F" w:rsidRPr="00A81376" w:rsidRDefault="008C756F" w:rsidP="00A81376">
            <w:pPr>
              <w:pStyle w:val="NICCYBodyText"/>
            </w:pPr>
          </w:p>
          <w:p w:rsidR="008C756F" w:rsidRDefault="008C756F" w:rsidP="00A81376">
            <w:pPr>
              <w:pStyle w:val="NICCYBodyText"/>
            </w:pPr>
            <w:r w:rsidRPr="00A81376">
              <w:t>Consultation on guidance will complete part of one aspect of this recommendation.</w:t>
            </w:r>
          </w:p>
          <w:p w:rsidR="00A81376" w:rsidRDefault="00A81376" w:rsidP="00A81376">
            <w:pPr>
              <w:pStyle w:val="NICCYBodyText"/>
            </w:pPr>
          </w:p>
          <w:p w:rsidR="00A81376" w:rsidRDefault="00A81376" w:rsidP="00A81376">
            <w:pPr>
              <w:pStyle w:val="NICCYBodyText"/>
            </w:pPr>
          </w:p>
          <w:p w:rsidR="00A81376" w:rsidRDefault="00A81376" w:rsidP="00A81376">
            <w:pPr>
              <w:pStyle w:val="NICCYBodyText"/>
            </w:pPr>
          </w:p>
          <w:p w:rsidR="00A81376" w:rsidRDefault="00A81376" w:rsidP="00A81376">
            <w:pPr>
              <w:pStyle w:val="NICCYBodyText"/>
            </w:pPr>
          </w:p>
          <w:p w:rsidR="00A81376" w:rsidRDefault="00A81376" w:rsidP="00A81376">
            <w:pPr>
              <w:pStyle w:val="NICCYBodyText"/>
            </w:pPr>
          </w:p>
          <w:p w:rsidR="00A81376" w:rsidRDefault="00A81376" w:rsidP="00A81376">
            <w:pPr>
              <w:pStyle w:val="NICCYBodyText"/>
            </w:pPr>
          </w:p>
          <w:p w:rsidR="00A81376" w:rsidRDefault="00A81376" w:rsidP="00A81376">
            <w:pPr>
              <w:pStyle w:val="NICCYBodyText"/>
            </w:pPr>
          </w:p>
          <w:p w:rsidR="00A81376" w:rsidRDefault="00A81376" w:rsidP="00A81376">
            <w:pPr>
              <w:pStyle w:val="NICCYBodyText"/>
            </w:pPr>
          </w:p>
          <w:p w:rsidR="00A81376" w:rsidRDefault="00A81376" w:rsidP="00A81376">
            <w:pPr>
              <w:pStyle w:val="NICCYBodyText"/>
            </w:pPr>
          </w:p>
          <w:p w:rsidR="00A81376" w:rsidRDefault="00A81376" w:rsidP="00A81376">
            <w:pPr>
              <w:pStyle w:val="NICCYBodyText"/>
            </w:pPr>
          </w:p>
          <w:p w:rsidR="00A81376" w:rsidRDefault="00A81376" w:rsidP="00A81376">
            <w:pPr>
              <w:pStyle w:val="NICCYBodyText"/>
            </w:pPr>
          </w:p>
          <w:p w:rsidR="00A81376" w:rsidRDefault="00A81376" w:rsidP="00A81376">
            <w:pPr>
              <w:pStyle w:val="NICCYBodyText"/>
            </w:pPr>
          </w:p>
          <w:p w:rsidR="00A81376" w:rsidRDefault="00A81376" w:rsidP="00A81376">
            <w:pPr>
              <w:pStyle w:val="NICCYBodyText"/>
            </w:pPr>
          </w:p>
          <w:p w:rsidR="00A81376" w:rsidRDefault="00A81376" w:rsidP="00A81376">
            <w:pPr>
              <w:pStyle w:val="NICCYBodyText"/>
            </w:pPr>
          </w:p>
          <w:p w:rsidR="00A81376" w:rsidRDefault="00A81376" w:rsidP="00A81376">
            <w:pPr>
              <w:pStyle w:val="NICCYBodyText"/>
            </w:pPr>
          </w:p>
          <w:p w:rsidR="00A81376" w:rsidRDefault="00A81376" w:rsidP="00A81376">
            <w:pPr>
              <w:pStyle w:val="NICCYBodyText"/>
            </w:pPr>
          </w:p>
          <w:p w:rsidR="00A81376" w:rsidRDefault="00A81376" w:rsidP="00A81376">
            <w:pPr>
              <w:pStyle w:val="NICCYBodyText"/>
            </w:pPr>
          </w:p>
          <w:p w:rsidR="00A81376" w:rsidRPr="00A81376" w:rsidRDefault="00A81376" w:rsidP="00A81376">
            <w:pPr>
              <w:pStyle w:val="NICCYBodyText"/>
              <w:rPr>
                <w:szCs w:val="20"/>
              </w:rPr>
            </w:pPr>
          </w:p>
        </w:tc>
      </w:tr>
      <w:tr w:rsidR="008C756F" w:rsidRPr="00A81376" w:rsidTr="00A81376">
        <w:tc>
          <w:tcPr>
            <w:tcW w:w="1839" w:type="pct"/>
            <w:tcBorders>
              <w:top w:val="single" w:sz="8" w:space="0" w:color="BDD6EE"/>
              <w:left w:val="single" w:sz="8" w:space="0" w:color="BDD6EE"/>
              <w:bottom w:val="single" w:sz="8" w:space="0" w:color="BDD6EE"/>
              <w:right w:val="single" w:sz="8" w:space="0" w:color="BDD6EE"/>
            </w:tcBorders>
            <w:shd w:val="clear" w:color="auto" w:fill="BFBFBF" w:themeFill="background1" w:themeFillShade="BF"/>
            <w:tcMar>
              <w:top w:w="0" w:type="dxa"/>
              <w:left w:w="108" w:type="dxa"/>
              <w:bottom w:w="0" w:type="dxa"/>
              <w:right w:w="108" w:type="dxa"/>
            </w:tcMar>
            <w:hideMark/>
          </w:tcPr>
          <w:p w:rsidR="008C756F" w:rsidRPr="00A81376" w:rsidRDefault="008C756F" w:rsidP="008C756F">
            <w:pPr>
              <w:pStyle w:val="NICCYBodyText"/>
              <w:rPr>
                <w:rFonts w:ascii="Calibri" w:eastAsiaTheme="minorHAnsi" w:hAnsi="Calibri"/>
                <w:b/>
                <w:sz w:val="22"/>
                <w:szCs w:val="22"/>
              </w:rPr>
            </w:pPr>
            <w:r w:rsidRPr="00A81376">
              <w:rPr>
                <w:b/>
              </w:rPr>
              <w:lastRenderedPageBreak/>
              <w:t>Justice</w:t>
            </w:r>
          </w:p>
        </w:tc>
        <w:tc>
          <w:tcPr>
            <w:tcW w:w="1667" w:type="pct"/>
            <w:tcBorders>
              <w:top w:val="single" w:sz="8" w:space="0" w:color="BDD6EE"/>
              <w:left w:val="nil"/>
              <w:bottom w:val="single" w:sz="8" w:space="0" w:color="BDD6EE"/>
              <w:right w:val="single" w:sz="8" w:space="0" w:color="BDD6EE"/>
            </w:tcBorders>
            <w:shd w:val="clear" w:color="auto" w:fill="BFBFBF" w:themeFill="background1" w:themeFillShade="BF"/>
            <w:tcMar>
              <w:top w:w="0" w:type="dxa"/>
              <w:left w:w="108" w:type="dxa"/>
              <w:bottom w:w="0" w:type="dxa"/>
              <w:right w:w="108" w:type="dxa"/>
            </w:tcMar>
          </w:tcPr>
          <w:p w:rsidR="008C756F" w:rsidRPr="00A81376" w:rsidRDefault="008C756F" w:rsidP="008C756F">
            <w:pPr>
              <w:pStyle w:val="NICCYBodyText"/>
              <w:rPr>
                <w:rFonts w:ascii="Calibri" w:eastAsiaTheme="minorHAnsi" w:hAnsi="Calibri"/>
                <w:b/>
                <w:sz w:val="22"/>
                <w:szCs w:val="22"/>
              </w:rPr>
            </w:pPr>
          </w:p>
        </w:tc>
        <w:tc>
          <w:tcPr>
            <w:tcW w:w="1494" w:type="pct"/>
            <w:tcBorders>
              <w:top w:val="single" w:sz="8" w:space="0" w:color="BDD6EE"/>
              <w:left w:val="nil"/>
              <w:bottom w:val="single" w:sz="8" w:space="0" w:color="BDD6EE"/>
              <w:right w:val="single" w:sz="8" w:space="0" w:color="BDD6EE"/>
            </w:tcBorders>
            <w:shd w:val="clear" w:color="auto" w:fill="BFBFBF" w:themeFill="background1" w:themeFillShade="BF"/>
            <w:tcMar>
              <w:top w:w="0" w:type="dxa"/>
              <w:left w:w="108" w:type="dxa"/>
              <w:bottom w:w="0" w:type="dxa"/>
              <w:right w:w="108" w:type="dxa"/>
            </w:tcMar>
          </w:tcPr>
          <w:p w:rsidR="008C756F" w:rsidRPr="00A81376" w:rsidRDefault="008C756F" w:rsidP="008C756F">
            <w:pPr>
              <w:pStyle w:val="NICCYBodyText"/>
              <w:rPr>
                <w:rFonts w:ascii="Calibri" w:eastAsiaTheme="minorHAnsi" w:hAnsi="Calibri"/>
                <w:b/>
                <w:sz w:val="22"/>
                <w:szCs w:val="22"/>
              </w:rPr>
            </w:pPr>
          </w:p>
        </w:tc>
      </w:tr>
      <w:tr w:rsidR="008C756F" w:rsidRPr="00A81376" w:rsidTr="008C756F">
        <w:tc>
          <w:tcPr>
            <w:tcW w:w="1839" w:type="pct"/>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rsidR="008C756F" w:rsidRPr="00A81376" w:rsidRDefault="008C756F" w:rsidP="008C756F">
            <w:pPr>
              <w:pStyle w:val="NICCYBodyText"/>
              <w:rPr>
                <w:rFonts w:ascii="Calibri" w:eastAsiaTheme="minorHAnsi" w:hAnsi="Calibri"/>
                <w:b/>
                <w:sz w:val="22"/>
                <w:szCs w:val="22"/>
              </w:rPr>
            </w:pPr>
            <w:r w:rsidRPr="00A81376">
              <w:rPr>
                <w:b/>
              </w:rPr>
              <w:t xml:space="preserve">Inquiry Recommendation            </w:t>
            </w:r>
          </w:p>
        </w:tc>
        <w:tc>
          <w:tcPr>
            <w:tcW w:w="1667" w:type="pct"/>
            <w:tcBorders>
              <w:top w:val="nil"/>
              <w:left w:val="nil"/>
              <w:bottom w:val="single" w:sz="8" w:space="0" w:color="BDD6EE"/>
              <w:right w:val="single" w:sz="8" w:space="0" w:color="BDD6EE"/>
            </w:tcBorders>
            <w:tcMar>
              <w:top w:w="0" w:type="dxa"/>
              <w:left w:w="108" w:type="dxa"/>
              <w:bottom w:w="0" w:type="dxa"/>
              <w:right w:w="108" w:type="dxa"/>
            </w:tcMar>
            <w:hideMark/>
          </w:tcPr>
          <w:p w:rsidR="008C756F" w:rsidRPr="00A81376" w:rsidRDefault="008C756F" w:rsidP="008C756F">
            <w:pPr>
              <w:pStyle w:val="NICCYBodyText"/>
              <w:rPr>
                <w:rFonts w:ascii="Calibri" w:eastAsiaTheme="minorHAnsi" w:hAnsi="Calibri"/>
                <w:b/>
                <w:sz w:val="22"/>
                <w:szCs w:val="22"/>
              </w:rPr>
            </w:pPr>
            <w:r w:rsidRPr="00A81376">
              <w:rPr>
                <w:b/>
              </w:rPr>
              <w:t>Progress Report Information</w:t>
            </w:r>
          </w:p>
        </w:tc>
        <w:tc>
          <w:tcPr>
            <w:tcW w:w="1494" w:type="pct"/>
            <w:tcBorders>
              <w:top w:val="nil"/>
              <w:left w:val="nil"/>
              <w:bottom w:val="single" w:sz="8" w:space="0" w:color="BDD6EE"/>
              <w:right w:val="single" w:sz="8" w:space="0" w:color="BDD6EE"/>
            </w:tcBorders>
            <w:tcMar>
              <w:top w:w="0" w:type="dxa"/>
              <w:left w:w="108" w:type="dxa"/>
              <w:bottom w:w="0" w:type="dxa"/>
              <w:right w:w="108" w:type="dxa"/>
            </w:tcMar>
            <w:hideMark/>
          </w:tcPr>
          <w:p w:rsidR="008C756F" w:rsidRPr="00A81376" w:rsidRDefault="008C756F" w:rsidP="008C756F">
            <w:pPr>
              <w:pStyle w:val="NICCYBodyText"/>
              <w:rPr>
                <w:rFonts w:ascii="Calibri" w:eastAsiaTheme="minorHAnsi" w:hAnsi="Calibri"/>
                <w:b/>
                <w:sz w:val="22"/>
                <w:szCs w:val="22"/>
              </w:rPr>
            </w:pPr>
            <w:r w:rsidRPr="00A81376">
              <w:rPr>
                <w:b/>
              </w:rPr>
              <w:t>Evidence we need to see</w:t>
            </w:r>
          </w:p>
        </w:tc>
      </w:tr>
      <w:tr w:rsidR="008C756F" w:rsidTr="008C756F">
        <w:tc>
          <w:tcPr>
            <w:tcW w:w="1839" w:type="pct"/>
            <w:tcBorders>
              <w:top w:val="nil"/>
              <w:left w:val="single" w:sz="8" w:space="0" w:color="BDD6EE"/>
              <w:bottom w:val="single" w:sz="8" w:space="0" w:color="BDD6EE"/>
              <w:right w:val="single" w:sz="8" w:space="0" w:color="BDD6EE"/>
            </w:tcBorders>
            <w:tcMar>
              <w:top w:w="0" w:type="dxa"/>
              <w:left w:w="108" w:type="dxa"/>
              <w:bottom w:w="0" w:type="dxa"/>
              <w:right w:w="108" w:type="dxa"/>
            </w:tcMar>
          </w:tcPr>
          <w:p w:rsidR="008C756F" w:rsidRPr="00A81376" w:rsidRDefault="008C756F" w:rsidP="00A81376">
            <w:pPr>
              <w:pStyle w:val="NICCYBodyText"/>
              <w:rPr>
                <w:szCs w:val="20"/>
              </w:rPr>
            </w:pPr>
            <w:r w:rsidRPr="00A81376">
              <w:t xml:space="preserve">Recommendation to strengthen the law to better protect children from CSE (for example, by ensuring protections from sexual offences extend to all children under 18 years and reviewing provisions for who is responsible for proving the age of a child when a sexual offence has been committed) </w:t>
            </w:r>
          </w:p>
          <w:p w:rsidR="008C756F" w:rsidRPr="00A81376" w:rsidRDefault="008C756F" w:rsidP="00A81376">
            <w:pPr>
              <w:pStyle w:val="NICCYBodyText"/>
              <w:rPr>
                <w:szCs w:val="20"/>
              </w:rPr>
            </w:pPr>
          </w:p>
        </w:tc>
        <w:tc>
          <w:tcPr>
            <w:tcW w:w="1667" w:type="pct"/>
            <w:tcBorders>
              <w:top w:val="nil"/>
              <w:left w:val="nil"/>
              <w:bottom w:val="single" w:sz="8" w:space="0" w:color="BDD6EE"/>
              <w:right w:val="single" w:sz="8" w:space="0" w:color="BDD6EE"/>
            </w:tcBorders>
            <w:tcMar>
              <w:top w:w="0" w:type="dxa"/>
              <w:left w:w="108" w:type="dxa"/>
              <w:bottom w:w="0" w:type="dxa"/>
              <w:right w:w="108" w:type="dxa"/>
            </w:tcMar>
            <w:hideMark/>
          </w:tcPr>
          <w:p w:rsidR="008C756F" w:rsidRPr="00A81376" w:rsidRDefault="008C756F" w:rsidP="00A81376">
            <w:pPr>
              <w:pStyle w:val="NICCYBodyText"/>
              <w:rPr>
                <w:szCs w:val="20"/>
              </w:rPr>
            </w:pPr>
            <w:r w:rsidRPr="00A81376">
              <w:t>Has not yet resulted in concrete legislative proposals and no definitive timescale in which this could be expected is provided.</w:t>
            </w:r>
          </w:p>
        </w:tc>
        <w:tc>
          <w:tcPr>
            <w:tcW w:w="1494" w:type="pct"/>
            <w:tcBorders>
              <w:top w:val="nil"/>
              <w:left w:val="nil"/>
              <w:bottom w:val="single" w:sz="8" w:space="0" w:color="BDD6EE"/>
              <w:right w:val="single" w:sz="8" w:space="0" w:color="BDD6EE"/>
            </w:tcBorders>
            <w:tcMar>
              <w:top w:w="0" w:type="dxa"/>
              <w:left w:w="108" w:type="dxa"/>
              <w:bottom w:w="0" w:type="dxa"/>
              <w:right w:w="108" w:type="dxa"/>
            </w:tcMar>
            <w:hideMark/>
          </w:tcPr>
          <w:p w:rsidR="008C756F" w:rsidRPr="00A81376" w:rsidRDefault="008C756F" w:rsidP="00A81376">
            <w:pPr>
              <w:pStyle w:val="NICCYBodyText"/>
              <w:rPr>
                <w:szCs w:val="20"/>
              </w:rPr>
            </w:pPr>
            <w:r w:rsidRPr="00A81376">
              <w:t>Concrete legislative proposals and definitive timescale in which this could be expected.</w:t>
            </w:r>
          </w:p>
        </w:tc>
      </w:tr>
      <w:tr w:rsidR="008C756F" w:rsidTr="008C756F">
        <w:tc>
          <w:tcPr>
            <w:tcW w:w="1839" w:type="pct"/>
            <w:tcBorders>
              <w:top w:val="nil"/>
              <w:left w:val="single" w:sz="8" w:space="0" w:color="BDD6EE"/>
              <w:bottom w:val="single" w:sz="8" w:space="0" w:color="BDD6EE"/>
              <w:right w:val="single" w:sz="8" w:space="0" w:color="BDD6EE"/>
            </w:tcBorders>
            <w:tcMar>
              <w:top w:w="0" w:type="dxa"/>
              <w:left w:w="108" w:type="dxa"/>
              <w:bottom w:w="0" w:type="dxa"/>
              <w:right w:w="108" w:type="dxa"/>
            </w:tcMar>
          </w:tcPr>
          <w:p w:rsidR="008C756F" w:rsidRDefault="008C756F" w:rsidP="008C756F">
            <w:pPr>
              <w:pStyle w:val="NICCYBodyText"/>
              <w:rPr>
                <w:rFonts w:ascii="Calibri" w:eastAsiaTheme="minorHAnsi" w:hAnsi="Calibri"/>
                <w:sz w:val="22"/>
                <w:szCs w:val="22"/>
              </w:rPr>
            </w:pPr>
            <w:r>
              <w:t>The Inquiry encourages PSNI to pursue its commitment to strengthening relationships with communities and young people as a priority in the context of austerity</w:t>
            </w:r>
          </w:p>
          <w:p w:rsidR="008C756F" w:rsidRDefault="008C756F" w:rsidP="008C756F">
            <w:pPr>
              <w:pStyle w:val="NICCYBodyText"/>
              <w:rPr>
                <w:rFonts w:ascii="Calibri" w:eastAsiaTheme="minorHAnsi" w:hAnsi="Calibri"/>
                <w:sz w:val="22"/>
                <w:szCs w:val="22"/>
              </w:rPr>
            </w:pPr>
          </w:p>
        </w:tc>
        <w:tc>
          <w:tcPr>
            <w:tcW w:w="1667" w:type="pct"/>
            <w:tcBorders>
              <w:top w:val="nil"/>
              <w:left w:val="nil"/>
              <w:bottom w:val="single" w:sz="8" w:space="0" w:color="BDD6EE"/>
              <w:right w:val="single" w:sz="8" w:space="0" w:color="BDD6EE"/>
            </w:tcBorders>
            <w:tcMar>
              <w:top w:w="0" w:type="dxa"/>
              <w:left w:w="108" w:type="dxa"/>
              <w:bottom w:w="0" w:type="dxa"/>
              <w:right w:w="108" w:type="dxa"/>
            </w:tcMar>
          </w:tcPr>
          <w:p w:rsidR="008C756F" w:rsidRDefault="008C756F" w:rsidP="008C756F">
            <w:pPr>
              <w:pStyle w:val="NICCYBodyText"/>
              <w:rPr>
                <w:rFonts w:ascii="Calibri" w:eastAsiaTheme="minorHAnsi" w:hAnsi="Calibri"/>
                <w:sz w:val="22"/>
                <w:szCs w:val="22"/>
              </w:rPr>
            </w:pPr>
            <w:r>
              <w:t xml:space="preserve">Reported progress from DOJ is more detailed in terms of actions that are being carried out to address CSE e.g. use of a community engagement tracker, attendance and contribution to  key meetings and guidance documents (cross-agency guidelines on CSE, ‘Sex &amp; the Law’ leaflet, </w:t>
            </w:r>
            <w:r>
              <w:lastRenderedPageBreak/>
              <w:t>developing a DVD called ‘False Freedom’ and resource pack to supply to all post primary schools in Northern Ireland, E-Safety package, called ‘Chat, Share, Think’ ), campaigns (SBNI’s campaign which targeted members of the public who potentially are in a position to identify CSE e.g. taxi drivers, hotel staff and off-license staff) and contributing to research as well as the PSNI having embarked on a number of transformational programmes with young people.</w:t>
            </w:r>
          </w:p>
          <w:p w:rsidR="008C756F" w:rsidRDefault="008C756F" w:rsidP="008C756F">
            <w:pPr>
              <w:pStyle w:val="NICCYBodyText"/>
              <w:rPr>
                <w:rFonts w:ascii="Calibri" w:eastAsiaTheme="minorHAnsi" w:hAnsi="Calibri"/>
                <w:sz w:val="22"/>
                <w:szCs w:val="22"/>
              </w:rPr>
            </w:pPr>
          </w:p>
        </w:tc>
        <w:tc>
          <w:tcPr>
            <w:tcW w:w="1494" w:type="pct"/>
            <w:tcBorders>
              <w:top w:val="nil"/>
              <w:left w:val="nil"/>
              <w:bottom w:val="single" w:sz="8" w:space="0" w:color="BDD6EE"/>
              <w:right w:val="single" w:sz="8" w:space="0" w:color="BDD6EE"/>
            </w:tcBorders>
            <w:tcMar>
              <w:top w:w="0" w:type="dxa"/>
              <w:left w:w="108" w:type="dxa"/>
              <w:bottom w:w="0" w:type="dxa"/>
              <w:right w:w="108" w:type="dxa"/>
            </w:tcMar>
            <w:hideMark/>
          </w:tcPr>
          <w:p w:rsidR="008C756F" w:rsidRDefault="008C756F" w:rsidP="008C756F">
            <w:pPr>
              <w:pStyle w:val="NICCYBodyText"/>
              <w:rPr>
                <w:rFonts w:ascii="Calibri" w:eastAsiaTheme="minorHAnsi" w:hAnsi="Calibri"/>
                <w:sz w:val="22"/>
                <w:szCs w:val="22"/>
              </w:rPr>
            </w:pPr>
            <w:r>
              <w:lastRenderedPageBreak/>
              <w:t>Each area listed must be accompanied with information about impact.  To include how different stakeholders such as the public and professionals are more confident to identify CSE and seek assistance for children.</w:t>
            </w:r>
          </w:p>
          <w:p w:rsidR="008C756F" w:rsidRDefault="008C756F" w:rsidP="008C756F">
            <w:pPr>
              <w:pStyle w:val="NICCYBodyText"/>
            </w:pPr>
            <w:r>
              <w:t xml:space="preserve">For instance, increased </w:t>
            </w:r>
            <w:r>
              <w:lastRenderedPageBreak/>
              <w:t>information sharing and reporting of CSE or related concerns, including by victims, impact on young people’s attitude to police measured.</w:t>
            </w:r>
          </w:p>
          <w:p w:rsidR="008C756F" w:rsidRDefault="008C756F" w:rsidP="008C756F">
            <w:pPr>
              <w:pStyle w:val="NICCYBodyText"/>
            </w:pPr>
            <w:r>
              <w:t xml:space="preserve">Evaluation could be developed through existing PSNI processes as well as the work of other agencies, such as CJI and Policing Board reviews and inspections and interagency activities. </w:t>
            </w:r>
          </w:p>
          <w:p w:rsidR="008C756F" w:rsidRDefault="008C756F" w:rsidP="008C756F">
            <w:pPr>
              <w:pStyle w:val="NICCYBodyText"/>
              <w:rPr>
                <w:rFonts w:ascii="Calibri" w:eastAsiaTheme="minorHAnsi" w:hAnsi="Calibri"/>
                <w:sz w:val="22"/>
                <w:szCs w:val="22"/>
              </w:rPr>
            </w:pPr>
            <w:r>
              <w:t xml:space="preserve">The experience and views of young people as well as police officers and other professionals should be represented. </w:t>
            </w:r>
          </w:p>
        </w:tc>
      </w:tr>
      <w:tr w:rsidR="008C756F" w:rsidTr="008C756F">
        <w:tc>
          <w:tcPr>
            <w:tcW w:w="1839" w:type="pct"/>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rsidR="008C756F" w:rsidRPr="00A81376" w:rsidRDefault="008C756F" w:rsidP="00A81376">
            <w:pPr>
              <w:pStyle w:val="NICCYBodyText"/>
            </w:pPr>
            <w:r w:rsidRPr="00A81376">
              <w:lastRenderedPageBreak/>
              <w:t>Awareness–raising about the dynamics of child abuse and CSE in particular should be available for all legal personnel and should be mandatory for all legal professionals dealing with child abuse cases. This should be made the responsibility of the PPS for its own legal staff, the Northern Ireland Bar for its staff and the Judicial Studies Board for Judges.</w:t>
            </w:r>
          </w:p>
          <w:p w:rsidR="00A81376" w:rsidRPr="00A81376" w:rsidRDefault="00A81376" w:rsidP="00A81376">
            <w:pPr>
              <w:pStyle w:val="NICCYBodyText"/>
            </w:pPr>
          </w:p>
          <w:p w:rsidR="00A81376" w:rsidRPr="00A81376" w:rsidRDefault="00A81376" w:rsidP="00A81376">
            <w:pPr>
              <w:pStyle w:val="NICCYBodyText"/>
            </w:pPr>
          </w:p>
          <w:p w:rsidR="00A81376" w:rsidRDefault="00A81376" w:rsidP="00A81376">
            <w:pPr>
              <w:pStyle w:val="NICCYBodyText"/>
              <w:rPr>
                <w:szCs w:val="20"/>
              </w:rPr>
            </w:pPr>
          </w:p>
          <w:p w:rsidR="00A81376" w:rsidRDefault="00A81376" w:rsidP="00A81376">
            <w:pPr>
              <w:pStyle w:val="NICCYBodyText"/>
              <w:rPr>
                <w:szCs w:val="20"/>
              </w:rPr>
            </w:pPr>
          </w:p>
          <w:p w:rsidR="00A81376" w:rsidRDefault="00A81376" w:rsidP="00A81376">
            <w:pPr>
              <w:pStyle w:val="NICCYBodyText"/>
              <w:rPr>
                <w:szCs w:val="20"/>
              </w:rPr>
            </w:pPr>
          </w:p>
          <w:p w:rsidR="00A81376" w:rsidRDefault="00A81376" w:rsidP="00A81376">
            <w:pPr>
              <w:pStyle w:val="NICCYBodyText"/>
              <w:rPr>
                <w:szCs w:val="20"/>
              </w:rPr>
            </w:pPr>
          </w:p>
          <w:p w:rsidR="00A81376" w:rsidRDefault="00A81376" w:rsidP="00A81376">
            <w:pPr>
              <w:pStyle w:val="NICCYBodyText"/>
              <w:rPr>
                <w:szCs w:val="20"/>
              </w:rPr>
            </w:pPr>
          </w:p>
          <w:p w:rsidR="00A81376" w:rsidRDefault="00A81376" w:rsidP="00A81376">
            <w:pPr>
              <w:pStyle w:val="NICCYBodyText"/>
              <w:rPr>
                <w:szCs w:val="20"/>
              </w:rPr>
            </w:pPr>
          </w:p>
          <w:p w:rsidR="00A81376" w:rsidRDefault="00A81376" w:rsidP="00A81376">
            <w:pPr>
              <w:pStyle w:val="NICCYBodyText"/>
              <w:rPr>
                <w:szCs w:val="20"/>
              </w:rPr>
            </w:pPr>
          </w:p>
          <w:p w:rsidR="00A81376" w:rsidRDefault="00A81376" w:rsidP="00A81376">
            <w:pPr>
              <w:pStyle w:val="NICCYBodyText"/>
              <w:rPr>
                <w:szCs w:val="20"/>
              </w:rPr>
            </w:pPr>
          </w:p>
          <w:p w:rsidR="00A81376" w:rsidRDefault="00A81376" w:rsidP="00A81376">
            <w:pPr>
              <w:pStyle w:val="NICCYBodyText"/>
              <w:rPr>
                <w:szCs w:val="20"/>
              </w:rPr>
            </w:pPr>
          </w:p>
          <w:p w:rsidR="00A81376" w:rsidRPr="00A81376" w:rsidRDefault="00A81376" w:rsidP="00A81376">
            <w:pPr>
              <w:pStyle w:val="NICCYBodyText"/>
              <w:rPr>
                <w:szCs w:val="20"/>
              </w:rPr>
            </w:pPr>
          </w:p>
        </w:tc>
        <w:tc>
          <w:tcPr>
            <w:tcW w:w="1667" w:type="pct"/>
            <w:tcBorders>
              <w:top w:val="nil"/>
              <w:left w:val="nil"/>
              <w:bottom w:val="single" w:sz="8" w:space="0" w:color="BDD6EE"/>
              <w:right w:val="single" w:sz="8" w:space="0" w:color="BDD6EE"/>
            </w:tcBorders>
            <w:tcMar>
              <w:top w:w="0" w:type="dxa"/>
              <w:left w:w="108" w:type="dxa"/>
              <w:bottom w:w="0" w:type="dxa"/>
              <w:right w:w="108" w:type="dxa"/>
            </w:tcMar>
            <w:hideMark/>
          </w:tcPr>
          <w:p w:rsidR="008C756F" w:rsidRPr="00A81376" w:rsidRDefault="008C756F" w:rsidP="00A81376">
            <w:pPr>
              <w:pStyle w:val="NICCYBodyText"/>
              <w:rPr>
                <w:szCs w:val="20"/>
              </w:rPr>
            </w:pPr>
            <w:r w:rsidRPr="00A81376">
              <w:lastRenderedPageBreak/>
              <w:t>Public Prosecution Service, Northern Ireland Bar and Judicial Studies Board will progress training on CSE for all legal professionals</w:t>
            </w:r>
          </w:p>
        </w:tc>
        <w:tc>
          <w:tcPr>
            <w:tcW w:w="1494" w:type="pct"/>
            <w:tcBorders>
              <w:top w:val="nil"/>
              <w:left w:val="nil"/>
              <w:bottom w:val="single" w:sz="8" w:space="0" w:color="BDD6EE"/>
              <w:right w:val="single" w:sz="8" w:space="0" w:color="BDD6EE"/>
            </w:tcBorders>
            <w:tcMar>
              <w:top w:w="0" w:type="dxa"/>
              <w:left w:w="108" w:type="dxa"/>
              <w:bottom w:w="0" w:type="dxa"/>
              <w:right w:w="108" w:type="dxa"/>
            </w:tcMar>
          </w:tcPr>
          <w:p w:rsidR="008C756F" w:rsidRPr="00A81376" w:rsidRDefault="008C756F" w:rsidP="00A81376">
            <w:pPr>
              <w:pStyle w:val="NICCYBodyText"/>
              <w:rPr>
                <w:szCs w:val="20"/>
              </w:rPr>
            </w:pPr>
            <w:r w:rsidRPr="00A81376">
              <w:rPr>
                <w:szCs w:val="22"/>
              </w:rPr>
              <w:t xml:space="preserve">Clarity as to how the Department will assess uptake, quality of training and, of course, the impact of this on case management, the treatment of victims and witnesses and prosecution outcomes </w:t>
            </w:r>
          </w:p>
          <w:p w:rsidR="008C756F" w:rsidRPr="00A81376" w:rsidRDefault="008C756F" w:rsidP="00A81376">
            <w:pPr>
              <w:pStyle w:val="NICCYBodyText"/>
              <w:rPr>
                <w:szCs w:val="20"/>
              </w:rPr>
            </w:pPr>
          </w:p>
        </w:tc>
      </w:tr>
      <w:tr w:rsidR="008C756F" w:rsidRPr="00A81376" w:rsidTr="008C756F">
        <w:tc>
          <w:tcPr>
            <w:tcW w:w="1839" w:type="pct"/>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rsidR="008C756F" w:rsidRPr="00A81376" w:rsidRDefault="008C756F" w:rsidP="008C756F">
            <w:pPr>
              <w:pStyle w:val="NICCYBodyText"/>
              <w:rPr>
                <w:rFonts w:ascii="Calibri" w:eastAsiaTheme="minorHAnsi" w:hAnsi="Calibri"/>
                <w:b/>
                <w:sz w:val="22"/>
                <w:szCs w:val="22"/>
              </w:rPr>
            </w:pPr>
            <w:r w:rsidRPr="00A81376">
              <w:rPr>
                <w:b/>
              </w:rPr>
              <w:lastRenderedPageBreak/>
              <w:t xml:space="preserve">Cross Departmental </w:t>
            </w:r>
          </w:p>
        </w:tc>
        <w:tc>
          <w:tcPr>
            <w:tcW w:w="1667" w:type="pct"/>
            <w:tcBorders>
              <w:top w:val="nil"/>
              <w:left w:val="nil"/>
              <w:bottom w:val="single" w:sz="8" w:space="0" w:color="BDD6EE"/>
              <w:right w:val="single" w:sz="8" w:space="0" w:color="BDD6EE"/>
            </w:tcBorders>
            <w:tcMar>
              <w:top w:w="0" w:type="dxa"/>
              <w:left w:w="108" w:type="dxa"/>
              <w:bottom w:w="0" w:type="dxa"/>
              <w:right w:w="108" w:type="dxa"/>
            </w:tcMar>
            <w:hideMark/>
          </w:tcPr>
          <w:p w:rsidR="008C756F" w:rsidRPr="00A81376" w:rsidRDefault="008C756F" w:rsidP="008C756F">
            <w:pPr>
              <w:pStyle w:val="NICCYBodyText"/>
              <w:rPr>
                <w:rFonts w:ascii="Calibri" w:eastAsiaTheme="minorHAnsi" w:hAnsi="Calibri"/>
                <w:b/>
                <w:sz w:val="22"/>
                <w:szCs w:val="22"/>
              </w:rPr>
            </w:pPr>
            <w:r w:rsidRPr="00A81376">
              <w:rPr>
                <w:b/>
              </w:rPr>
              <w:t>Progress Report Information</w:t>
            </w:r>
          </w:p>
        </w:tc>
        <w:tc>
          <w:tcPr>
            <w:tcW w:w="1494" w:type="pct"/>
            <w:tcBorders>
              <w:top w:val="nil"/>
              <w:left w:val="nil"/>
              <w:bottom w:val="single" w:sz="8" w:space="0" w:color="BDD6EE"/>
              <w:right w:val="single" w:sz="8" w:space="0" w:color="BDD6EE"/>
            </w:tcBorders>
            <w:tcMar>
              <w:top w:w="0" w:type="dxa"/>
              <w:left w:w="108" w:type="dxa"/>
              <w:bottom w:w="0" w:type="dxa"/>
              <w:right w:w="108" w:type="dxa"/>
            </w:tcMar>
            <w:hideMark/>
          </w:tcPr>
          <w:p w:rsidR="008C756F" w:rsidRPr="00A81376" w:rsidRDefault="008C756F" w:rsidP="008C756F">
            <w:pPr>
              <w:pStyle w:val="NICCYBodyText"/>
              <w:rPr>
                <w:rFonts w:ascii="Calibri" w:eastAsiaTheme="minorHAnsi" w:hAnsi="Calibri"/>
                <w:b/>
                <w:sz w:val="22"/>
                <w:szCs w:val="22"/>
              </w:rPr>
            </w:pPr>
            <w:r w:rsidRPr="00A81376">
              <w:rPr>
                <w:b/>
              </w:rPr>
              <w:t>Evidence we need to see</w:t>
            </w:r>
          </w:p>
        </w:tc>
      </w:tr>
      <w:tr w:rsidR="008C756F" w:rsidTr="008C756F">
        <w:tc>
          <w:tcPr>
            <w:tcW w:w="1839" w:type="pct"/>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rsidR="008C756F" w:rsidRDefault="008C756F" w:rsidP="008C756F">
            <w:pPr>
              <w:pStyle w:val="NICCYBodyText"/>
              <w:rPr>
                <w:rFonts w:ascii="Calibri" w:eastAsiaTheme="minorHAnsi" w:hAnsi="Calibri"/>
                <w:sz w:val="22"/>
                <w:szCs w:val="22"/>
              </w:rPr>
            </w:pPr>
            <w:r>
              <w:t xml:space="preserve">A number of interrelated Health and Justice recommendations, including considering a multi agency safeguarding hub model; providing joint training on guidance when children go missing; ensuring that return from missing interviews are effective and safeguarding evidence is collected </w:t>
            </w:r>
          </w:p>
        </w:tc>
        <w:tc>
          <w:tcPr>
            <w:tcW w:w="1667" w:type="pct"/>
            <w:tcBorders>
              <w:top w:val="nil"/>
              <w:left w:val="nil"/>
              <w:bottom w:val="single" w:sz="8" w:space="0" w:color="BDD6EE"/>
              <w:right w:val="single" w:sz="8" w:space="0" w:color="BDD6EE"/>
            </w:tcBorders>
            <w:tcMar>
              <w:top w:w="0" w:type="dxa"/>
              <w:left w:w="108" w:type="dxa"/>
              <w:bottom w:w="0" w:type="dxa"/>
              <w:right w:w="108" w:type="dxa"/>
            </w:tcMar>
            <w:hideMark/>
          </w:tcPr>
          <w:p w:rsidR="008C756F" w:rsidRDefault="008C756F" w:rsidP="008C756F">
            <w:pPr>
              <w:pStyle w:val="NICCYBodyText"/>
              <w:rPr>
                <w:rFonts w:ascii="Calibri" w:eastAsiaTheme="minorHAnsi" w:hAnsi="Calibri"/>
                <w:sz w:val="22"/>
                <w:szCs w:val="22"/>
              </w:rPr>
            </w:pPr>
            <w:r>
              <w:t>Actions have all been assessed as complete.  Departmental commentary on these highlights the restructure of PSNI Public Protection Units and social services and the revised 2016 Runaway and Missing from Home or Care Protocol in delivering these recommendations.</w:t>
            </w:r>
          </w:p>
        </w:tc>
        <w:tc>
          <w:tcPr>
            <w:tcW w:w="1494" w:type="pct"/>
            <w:tcBorders>
              <w:top w:val="nil"/>
              <w:left w:val="nil"/>
              <w:bottom w:val="single" w:sz="8" w:space="0" w:color="BDD6EE"/>
              <w:right w:val="single" w:sz="8" w:space="0" w:color="BDD6EE"/>
            </w:tcBorders>
            <w:tcMar>
              <w:top w:w="0" w:type="dxa"/>
              <w:left w:w="108" w:type="dxa"/>
              <w:bottom w:w="0" w:type="dxa"/>
              <w:right w:w="108" w:type="dxa"/>
            </w:tcMar>
            <w:hideMark/>
          </w:tcPr>
          <w:p w:rsidR="008C756F" w:rsidRDefault="008C756F" w:rsidP="008C756F">
            <w:pPr>
              <w:pStyle w:val="NICCYBodyText"/>
              <w:rPr>
                <w:rFonts w:ascii="Calibri" w:eastAsiaTheme="minorHAnsi" w:hAnsi="Calibri"/>
                <w:sz w:val="22"/>
                <w:szCs w:val="22"/>
              </w:rPr>
            </w:pPr>
            <w:r>
              <w:t>Recent HMIC inspection found the police response to missing children “not consistently good” noting that some of those at risk of CSE where assessed as being only at medium risk, that underlying issues of missing episodes were not addressed and that there was no consistent process to provide police with information from return interviews.</w:t>
            </w:r>
            <w:r>
              <w:endnoteReference w:customMarkFollows="1" w:id="4"/>
              <w:t xml:space="preserve">[v] This raises significant questions about whether, as stated in the second progress report from the Department of Health, actions taken “now ensures both agencies [social services and police] have dedicated experienced personnel </w:t>
            </w:r>
            <w:r>
              <w:lastRenderedPageBreak/>
              <w:t>available at the front door to deal with all safeguarding matters including CSE”.</w:t>
            </w:r>
            <w:r>
              <w:endnoteReference w:customMarkFollows="1" w:id="5"/>
              <w:t>[vi]</w:t>
            </w:r>
          </w:p>
        </w:tc>
      </w:tr>
    </w:tbl>
    <w:p w:rsidR="00964715" w:rsidRPr="00584D46" w:rsidRDefault="00964715" w:rsidP="007814AF">
      <w:pPr>
        <w:pStyle w:val="NICCYBodyText"/>
      </w:pPr>
    </w:p>
    <w:sectPr w:rsidR="00964715" w:rsidRPr="00584D46" w:rsidSect="00791E93">
      <w:headerReference w:type="default" r:id="rId15"/>
      <w:footerReference w:type="even" r:id="rId16"/>
      <w:footerReference w:type="default" r:id="rId17"/>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958" w:rsidRDefault="00D44958" w:rsidP="00280C3B">
      <w:r>
        <w:separator/>
      </w:r>
    </w:p>
  </w:endnote>
  <w:endnote w:type="continuationSeparator" w:id="0">
    <w:p w:rsidR="00D44958" w:rsidRDefault="00D44958" w:rsidP="00280C3B">
      <w:r>
        <w:continuationSeparator/>
      </w:r>
    </w:p>
  </w:endnote>
  <w:endnote w:id="1">
    <w:p w:rsidR="008C756F" w:rsidRPr="00A81376" w:rsidRDefault="008C756F" w:rsidP="008C756F">
      <w:pPr>
        <w:pStyle w:val="NICCYBodyText"/>
        <w:rPr>
          <w:rFonts w:eastAsiaTheme="minorHAnsi"/>
          <w:sz w:val="20"/>
          <w:szCs w:val="20"/>
        </w:rPr>
      </w:pPr>
      <w:r w:rsidRPr="00A81376">
        <w:rPr>
          <w:sz w:val="20"/>
          <w:szCs w:val="20"/>
        </w:rPr>
        <w:t>[ii] Jay A. and Somers K. (2016) A Review of the Safeguarding Board for Northern Ireland.</w:t>
      </w:r>
    </w:p>
  </w:endnote>
  <w:endnote w:id="2">
    <w:p w:rsidR="008C756F" w:rsidRPr="00A81376" w:rsidRDefault="008C756F" w:rsidP="008C756F">
      <w:pPr>
        <w:pStyle w:val="NICCYBodyText"/>
        <w:rPr>
          <w:sz w:val="20"/>
          <w:szCs w:val="20"/>
        </w:rPr>
      </w:pPr>
      <w:r w:rsidRPr="00A81376">
        <w:rPr>
          <w:b/>
          <w:bCs/>
          <w:sz w:val="20"/>
          <w:szCs w:val="20"/>
        </w:rPr>
        <w:t>[iii] ETI (2016) Relationships and Sexuality Education in Primary and Special Schools: Report of an evaluation by Education and Training Inspectorate; pp7.</w:t>
      </w:r>
    </w:p>
  </w:endnote>
  <w:endnote w:id="3">
    <w:p w:rsidR="008C756F" w:rsidRPr="00A81376" w:rsidRDefault="008C756F" w:rsidP="008C756F">
      <w:pPr>
        <w:pStyle w:val="NICCYBodyText"/>
        <w:rPr>
          <w:sz w:val="20"/>
          <w:szCs w:val="20"/>
        </w:rPr>
      </w:pPr>
      <w:r w:rsidRPr="00A81376">
        <w:rPr>
          <w:sz w:val="20"/>
          <w:szCs w:val="20"/>
        </w:rPr>
        <w:t xml:space="preserve">[iv] HMIC (2016) PEEL: Police effectiveness: vulnerability, </w:t>
      </w:r>
      <w:proofErr w:type="gramStart"/>
      <w:r w:rsidRPr="00A81376">
        <w:rPr>
          <w:sz w:val="20"/>
          <w:szCs w:val="20"/>
        </w:rPr>
        <w:t>An</w:t>
      </w:r>
      <w:proofErr w:type="gramEnd"/>
      <w:r w:rsidRPr="00A81376">
        <w:rPr>
          <w:sz w:val="20"/>
          <w:szCs w:val="20"/>
        </w:rPr>
        <w:t xml:space="preserve"> inspection of the Police Service of Northern Ireland 1-5 February 2016; pp24.</w:t>
      </w:r>
    </w:p>
  </w:endnote>
  <w:endnote w:id="4">
    <w:p w:rsidR="008C756F" w:rsidRPr="00A81376" w:rsidRDefault="008C756F" w:rsidP="008C756F">
      <w:pPr>
        <w:pStyle w:val="NICCYBodyText"/>
        <w:rPr>
          <w:sz w:val="20"/>
          <w:szCs w:val="20"/>
        </w:rPr>
      </w:pPr>
      <w:r w:rsidRPr="00A81376">
        <w:rPr>
          <w:sz w:val="20"/>
          <w:szCs w:val="20"/>
        </w:rPr>
        <w:t xml:space="preserve">[v] HMIC (2016) PEEL: Police effectiveness: vulnerability, </w:t>
      </w:r>
      <w:proofErr w:type="gramStart"/>
      <w:r w:rsidRPr="00A81376">
        <w:rPr>
          <w:sz w:val="20"/>
          <w:szCs w:val="20"/>
        </w:rPr>
        <w:t>An</w:t>
      </w:r>
      <w:proofErr w:type="gramEnd"/>
      <w:r w:rsidRPr="00A81376">
        <w:rPr>
          <w:sz w:val="20"/>
          <w:szCs w:val="20"/>
        </w:rPr>
        <w:t xml:space="preserve"> inspection of the Police Service of Northern Ireland, pp3.</w:t>
      </w:r>
    </w:p>
  </w:endnote>
  <w:endnote w:id="5">
    <w:p w:rsidR="008C756F" w:rsidRDefault="008C756F" w:rsidP="008C756F">
      <w:pPr>
        <w:pStyle w:val="NICCYBodyText"/>
        <w:rPr>
          <w:rFonts w:ascii="Calibri" w:hAnsi="Calibri" w:cs="Times New Roman"/>
          <w:color w:val="auto"/>
        </w:rPr>
      </w:pPr>
      <w:proofErr w:type="gramStart"/>
      <w:r w:rsidRPr="00A81376">
        <w:rPr>
          <w:sz w:val="20"/>
          <w:szCs w:val="20"/>
        </w:rPr>
        <w:t xml:space="preserve">[vi] </w:t>
      </w:r>
      <w:proofErr w:type="spellStart"/>
      <w:r w:rsidRPr="00A81376">
        <w:rPr>
          <w:sz w:val="20"/>
          <w:szCs w:val="20"/>
        </w:rPr>
        <w:t>DoH</w:t>
      </w:r>
      <w:proofErr w:type="spellEnd"/>
      <w:proofErr w:type="gramEnd"/>
      <w:r w:rsidRPr="00A81376">
        <w:rPr>
          <w:sz w:val="20"/>
          <w:szCs w:val="20"/>
        </w:rPr>
        <w:t xml:space="preserve"> (2016) The 2nd Marshall Implementation Plan Progress Report 1st October 2015 to 30th June 2016, pp43.</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Futura Book">
    <w:altName w:val="Courier New"/>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A0" w:rsidRDefault="00F5066C" w:rsidP="006013F5">
    <w:pPr>
      <w:pStyle w:val="Footer"/>
      <w:framePr w:wrap="around" w:vAnchor="text" w:hAnchor="margin" w:xAlign="right" w:y="1"/>
      <w:rPr>
        <w:rStyle w:val="PageNumber"/>
      </w:rPr>
    </w:pPr>
    <w:r>
      <w:rPr>
        <w:rStyle w:val="PageNumber"/>
      </w:rPr>
      <w:fldChar w:fldCharType="begin"/>
    </w:r>
    <w:r w:rsidR="002A5FA0">
      <w:rPr>
        <w:rStyle w:val="PageNumber"/>
      </w:rPr>
      <w:instrText xml:space="preserve">PAGE  </w:instrText>
    </w:r>
    <w:r>
      <w:rPr>
        <w:rStyle w:val="PageNumber"/>
      </w:rPr>
      <w:fldChar w:fldCharType="end"/>
    </w:r>
  </w:p>
  <w:p w:rsidR="002A5FA0" w:rsidRDefault="002A5FA0"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A0" w:rsidRPr="008C32B9" w:rsidRDefault="00F5066C"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2A5FA0"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D06003">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rsidR="002A5FA0" w:rsidRPr="008C32B9" w:rsidRDefault="002A5FA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F5066C">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2A5FA0" w:rsidRDefault="002A5FA0"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2A5FA0" w:rsidRDefault="002A5FA0"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2A5FA0" w:rsidRDefault="002A5FA0"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2A5FA0" w:rsidRDefault="002A5FA0"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2A5FA0" w:rsidRDefault="002A5FA0"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958" w:rsidRDefault="00D44958" w:rsidP="00280C3B">
      <w:r>
        <w:separator/>
      </w:r>
    </w:p>
  </w:footnote>
  <w:footnote w:type="continuationSeparator" w:id="0">
    <w:p w:rsidR="00D44958" w:rsidRDefault="00D44958"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2A5FA0" w:rsidTr="000D52AB">
      <w:tc>
        <w:tcPr>
          <w:tcW w:w="5027" w:type="dxa"/>
          <w:shd w:val="clear" w:color="auto" w:fill="auto"/>
        </w:tcPr>
        <w:p w:rsidR="002A5FA0" w:rsidRDefault="002A5FA0" w:rsidP="000D52AB">
          <w:pPr>
            <w:pStyle w:val="CompanyName"/>
            <w:rPr>
              <w:rFonts w:ascii="Futura Book" w:hAnsi="Futura Book" w:cs="Arial"/>
              <w:lang w:val="en-GB"/>
            </w:rPr>
          </w:pPr>
        </w:p>
      </w:tc>
      <w:tc>
        <w:tcPr>
          <w:tcW w:w="4855" w:type="dxa"/>
          <w:shd w:val="clear" w:color="auto" w:fill="auto"/>
        </w:tcPr>
        <w:p w:rsidR="002A5FA0" w:rsidRDefault="002A5FA0" w:rsidP="000D52AB">
          <w:pPr>
            <w:pStyle w:val="CompanyName"/>
            <w:rPr>
              <w:rFonts w:ascii="Futura Book" w:hAnsi="Futura Book" w:cs="Arial"/>
              <w:lang w:val="en-GB"/>
            </w:rPr>
          </w:pPr>
        </w:p>
      </w:tc>
    </w:tr>
  </w:tbl>
  <w:p w:rsidR="002A5FA0" w:rsidRDefault="002A5FA0">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E3B61C6"/>
    <w:multiLevelType w:val="hybridMultilevel"/>
    <w:tmpl w:val="53CA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23C6FB6"/>
    <w:multiLevelType w:val="hybridMultilevel"/>
    <w:tmpl w:val="B3149C46"/>
    <w:lvl w:ilvl="0" w:tplc="C7BE4302">
      <w:start w:val="1"/>
      <w:numFmt w:val="bullet"/>
      <w:lvlText w:val=""/>
      <w:lvlJc w:val="left"/>
      <w:pPr>
        <w:ind w:left="720" w:hanging="360"/>
      </w:pPr>
      <w:rPr>
        <w:rFonts w:ascii="Symbol" w:hAnsi="Symbol" w:hint="default"/>
      </w:rPr>
    </w:lvl>
    <w:lvl w:ilvl="1" w:tplc="03C627BE">
      <w:start w:val="1"/>
      <w:numFmt w:val="bullet"/>
      <w:lvlText w:val="o"/>
      <w:lvlJc w:val="left"/>
      <w:pPr>
        <w:ind w:left="1440" w:hanging="360"/>
      </w:pPr>
      <w:rPr>
        <w:rFonts w:ascii="Courier New" w:hAnsi="Courier New" w:cs="Times New Roman" w:hint="default"/>
      </w:rPr>
    </w:lvl>
    <w:lvl w:ilvl="2" w:tplc="2C120E54">
      <w:start w:val="1"/>
      <w:numFmt w:val="bullet"/>
      <w:lvlText w:val=""/>
      <w:lvlJc w:val="left"/>
      <w:pPr>
        <w:ind w:left="2160" w:hanging="360"/>
      </w:pPr>
      <w:rPr>
        <w:rFonts w:ascii="Wingdings" w:hAnsi="Wingdings" w:hint="default"/>
      </w:rPr>
    </w:lvl>
    <w:lvl w:ilvl="3" w:tplc="29949416">
      <w:start w:val="1"/>
      <w:numFmt w:val="bullet"/>
      <w:lvlText w:val=""/>
      <w:lvlJc w:val="left"/>
      <w:pPr>
        <w:ind w:left="2880" w:hanging="360"/>
      </w:pPr>
      <w:rPr>
        <w:rFonts w:ascii="Symbol" w:hAnsi="Symbol" w:hint="default"/>
      </w:rPr>
    </w:lvl>
    <w:lvl w:ilvl="4" w:tplc="7C32178E">
      <w:start w:val="1"/>
      <w:numFmt w:val="bullet"/>
      <w:lvlText w:val="o"/>
      <w:lvlJc w:val="left"/>
      <w:pPr>
        <w:ind w:left="3600" w:hanging="360"/>
      </w:pPr>
      <w:rPr>
        <w:rFonts w:ascii="Courier New" w:hAnsi="Courier New" w:cs="Times New Roman" w:hint="default"/>
      </w:rPr>
    </w:lvl>
    <w:lvl w:ilvl="5" w:tplc="1C52F284">
      <w:start w:val="1"/>
      <w:numFmt w:val="bullet"/>
      <w:lvlText w:val=""/>
      <w:lvlJc w:val="left"/>
      <w:pPr>
        <w:ind w:left="4320" w:hanging="360"/>
      </w:pPr>
      <w:rPr>
        <w:rFonts w:ascii="Wingdings" w:hAnsi="Wingdings" w:hint="default"/>
      </w:rPr>
    </w:lvl>
    <w:lvl w:ilvl="6" w:tplc="61766F60">
      <w:start w:val="1"/>
      <w:numFmt w:val="bullet"/>
      <w:lvlText w:val=""/>
      <w:lvlJc w:val="left"/>
      <w:pPr>
        <w:ind w:left="5040" w:hanging="360"/>
      </w:pPr>
      <w:rPr>
        <w:rFonts w:ascii="Symbol" w:hAnsi="Symbol" w:hint="default"/>
      </w:rPr>
    </w:lvl>
    <w:lvl w:ilvl="7" w:tplc="448C41B2">
      <w:start w:val="1"/>
      <w:numFmt w:val="bullet"/>
      <w:lvlText w:val="o"/>
      <w:lvlJc w:val="left"/>
      <w:pPr>
        <w:ind w:left="5760" w:hanging="360"/>
      </w:pPr>
      <w:rPr>
        <w:rFonts w:ascii="Courier New" w:hAnsi="Courier New" w:cs="Times New Roman" w:hint="default"/>
      </w:rPr>
    </w:lvl>
    <w:lvl w:ilvl="8" w:tplc="963AB530">
      <w:start w:val="1"/>
      <w:numFmt w:val="bullet"/>
      <w:lvlText w:val=""/>
      <w:lvlJc w:val="left"/>
      <w:pPr>
        <w:ind w:left="6480" w:hanging="360"/>
      </w:pPr>
      <w:rPr>
        <w:rFonts w:ascii="Wingdings" w:hAnsi="Wingdings" w:hint="default"/>
      </w:rPr>
    </w:lvl>
  </w:abstractNum>
  <w:abstractNum w:abstractNumId="7">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8">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9">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2">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4"/>
  </w:num>
  <w:num w:numId="4">
    <w:abstractNumId w:val="13"/>
  </w:num>
  <w:num w:numId="5">
    <w:abstractNumId w:val="1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7"/>
  </w:num>
  <w:num w:numId="14">
    <w:abstractNumId w:val="6"/>
    <w:lvlOverride w:ilvl="0"/>
    <w:lvlOverride w:ilvl="1"/>
    <w:lvlOverride w:ilvl="2"/>
    <w:lvlOverride w:ilvl="3"/>
    <w:lvlOverride w:ilvl="4"/>
    <w:lvlOverride w:ilvl="5"/>
    <w:lvlOverride w:ilvl="6"/>
    <w:lvlOverride w:ilvl="7"/>
    <w:lvlOverride w:ilvl="8"/>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useFELayout/>
  </w:compat>
  <w:rsids>
    <w:rsidRoot w:val="00432B30"/>
    <w:rsid w:val="0003468A"/>
    <w:rsid w:val="000C3AD9"/>
    <w:rsid w:val="000D52AB"/>
    <w:rsid w:val="000F3047"/>
    <w:rsid w:val="0016572F"/>
    <w:rsid w:val="0018273D"/>
    <w:rsid w:val="0018447B"/>
    <w:rsid w:val="001936E2"/>
    <w:rsid w:val="00194555"/>
    <w:rsid w:val="001B36BB"/>
    <w:rsid w:val="001D2AA2"/>
    <w:rsid w:val="00241A07"/>
    <w:rsid w:val="00280C3B"/>
    <w:rsid w:val="002A5FA0"/>
    <w:rsid w:val="002E1271"/>
    <w:rsid w:val="002E64A8"/>
    <w:rsid w:val="002F025E"/>
    <w:rsid w:val="00316CF3"/>
    <w:rsid w:val="00385663"/>
    <w:rsid w:val="003F3682"/>
    <w:rsid w:val="003F5501"/>
    <w:rsid w:val="00432B30"/>
    <w:rsid w:val="00443A38"/>
    <w:rsid w:val="00451456"/>
    <w:rsid w:val="0048475E"/>
    <w:rsid w:val="004C026E"/>
    <w:rsid w:val="0050043B"/>
    <w:rsid w:val="00564A69"/>
    <w:rsid w:val="005809C6"/>
    <w:rsid w:val="00584D46"/>
    <w:rsid w:val="00597B67"/>
    <w:rsid w:val="005B626C"/>
    <w:rsid w:val="005C425F"/>
    <w:rsid w:val="005E1541"/>
    <w:rsid w:val="006013F5"/>
    <w:rsid w:val="00625972"/>
    <w:rsid w:val="00640853"/>
    <w:rsid w:val="00641FE0"/>
    <w:rsid w:val="00645C65"/>
    <w:rsid w:val="00656BAA"/>
    <w:rsid w:val="006C2566"/>
    <w:rsid w:val="006E5BA5"/>
    <w:rsid w:val="007215F3"/>
    <w:rsid w:val="00727D62"/>
    <w:rsid w:val="0076018E"/>
    <w:rsid w:val="007814AF"/>
    <w:rsid w:val="00791E93"/>
    <w:rsid w:val="00795FEB"/>
    <w:rsid w:val="007A5E2D"/>
    <w:rsid w:val="00831BDB"/>
    <w:rsid w:val="00870403"/>
    <w:rsid w:val="00873EBD"/>
    <w:rsid w:val="008A06AF"/>
    <w:rsid w:val="008A31A5"/>
    <w:rsid w:val="008A32FE"/>
    <w:rsid w:val="008C32B9"/>
    <w:rsid w:val="008C756F"/>
    <w:rsid w:val="008E3945"/>
    <w:rsid w:val="009108C4"/>
    <w:rsid w:val="009405BC"/>
    <w:rsid w:val="0096368A"/>
    <w:rsid w:val="00964715"/>
    <w:rsid w:val="009675A2"/>
    <w:rsid w:val="00982039"/>
    <w:rsid w:val="00993AE3"/>
    <w:rsid w:val="009A5DED"/>
    <w:rsid w:val="009C394B"/>
    <w:rsid w:val="009E095A"/>
    <w:rsid w:val="009E6D40"/>
    <w:rsid w:val="009F2391"/>
    <w:rsid w:val="00A03AF5"/>
    <w:rsid w:val="00A13398"/>
    <w:rsid w:val="00A53D00"/>
    <w:rsid w:val="00A61804"/>
    <w:rsid w:val="00A81376"/>
    <w:rsid w:val="00A85DDA"/>
    <w:rsid w:val="00AB5744"/>
    <w:rsid w:val="00AC6036"/>
    <w:rsid w:val="00B50701"/>
    <w:rsid w:val="00BB603F"/>
    <w:rsid w:val="00BC4DDC"/>
    <w:rsid w:val="00BE0052"/>
    <w:rsid w:val="00C06BD6"/>
    <w:rsid w:val="00C749C1"/>
    <w:rsid w:val="00CF1E19"/>
    <w:rsid w:val="00D06003"/>
    <w:rsid w:val="00D42788"/>
    <w:rsid w:val="00D44958"/>
    <w:rsid w:val="00D60DE1"/>
    <w:rsid w:val="00D81956"/>
    <w:rsid w:val="00D94E0A"/>
    <w:rsid w:val="00DB7E5C"/>
    <w:rsid w:val="00DC3547"/>
    <w:rsid w:val="00DF20BC"/>
    <w:rsid w:val="00E03CDC"/>
    <w:rsid w:val="00E33096"/>
    <w:rsid w:val="00E614AC"/>
    <w:rsid w:val="00E74BA7"/>
    <w:rsid w:val="00E760EA"/>
    <w:rsid w:val="00E852FA"/>
    <w:rsid w:val="00EA1820"/>
    <w:rsid w:val="00EA55B7"/>
    <w:rsid w:val="00EB3C3F"/>
    <w:rsid w:val="00EC0410"/>
    <w:rsid w:val="00EE0D0D"/>
    <w:rsid w:val="00EE2F25"/>
    <w:rsid w:val="00EE7908"/>
    <w:rsid w:val="00EF62E7"/>
    <w:rsid w:val="00F50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uiPriority w:val="99"/>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uiPriority w:val="99"/>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paragraph" w:styleId="CommentText">
    <w:name w:val="annotation text"/>
    <w:basedOn w:val="Normal"/>
    <w:link w:val="CommentTextChar"/>
    <w:uiPriority w:val="99"/>
    <w:semiHidden/>
    <w:unhideWhenUsed/>
    <w:rsid w:val="008C756F"/>
    <w:pPr>
      <w:spacing w:after="160"/>
    </w:pPr>
    <w:rPr>
      <w:rFonts w:ascii="Calibri" w:eastAsiaTheme="minorHAnsi" w:hAnsi="Calibri"/>
      <w:lang w:val="en-US"/>
    </w:rPr>
  </w:style>
  <w:style w:type="character" w:customStyle="1" w:styleId="CommentTextChar">
    <w:name w:val="Comment Text Char"/>
    <w:basedOn w:val="DefaultParagraphFont"/>
    <w:link w:val="CommentText"/>
    <w:uiPriority w:val="99"/>
    <w:semiHidden/>
    <w:rsid w:val="008C756F"/>
    <w:rPr>
      <w:rFonts w:ascii="Calibri" w:eastAsiaTheme="minorHAnsi" w:hAnsi="Calibri" w:cs="Times New Roman"/>
      <w:sz w:val="20"/>
      <w:szCs w:val="20"/>
    </w:rPr>
  </w:style>
  <w:style w:type="paragraph" w:styleId="EndnoteText">
    <w:name w:val="endnote text"/>
    <w:basedOn w:val="Normal"/>
    <w:link w:val="EndnoteTextChar"/>
    <w:uiPriority w:val="99"/>
    <w:semiHidden/>
    <w:unhideWhenUsed/>
    <w:rsid w:val="008C756F"/>
    <w:rPr>
      <w:rFonts w:ascii="Calibri" w:eastAsiaTheme="minorHAnsi" w:hAnsi="Calibri"/>
      <w:lang w:val="en-US"/>
    </w:rPr>
  </w:style>
  <w:style w:type="character" w:customStyle="1" w:styleId="EndnoteTextChar">
    <w:name w:val="Endnote Text Char"/>
    <w:basedOn w:val="DefaultParagraphFont"/>
    <w:link w:val="EndnoteText"/>
    <w:uiPriority w:val="99"/>
    <w:semiHidden/>
    <w:rsid w:val="008C756F"/>
    <w:rPr>
      <w:rFonts w:ascii="Calibri" w:eastAsiaTheme="minorHAnsi" w:hAnsi="Calibri"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23759904">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2046634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i.gov.uk/publications/progress-report-de-action-plan-tackle-child-sexual-exploitation" TargetMode="External"/><Relationship Id="rId13" Type="http://schemas.openxmlformats.org/officeDocument/2006/relationships/hyperlink" Target="https://www.justice-ni.gov.uk/sites/default/files/publications/justice/cse-second-progress-report-november15-june-1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stice-ni.gov.uk/sites/default/files/publications/doj/cse-first-progress-report-october-2015_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ni.gov.uk/publications/2nd-hsc-marshall-implementation-plan-progress-report-period-1-october-2015-30-june-20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ealth-ni.gov.uk/publications/hsc-marshall-implementation-plan-progress-report-period-1-april-2015-%E2%80%93-30-septemb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cation-ni.gov.uk/publications/progress-report-de-action-plan-tackle-child-sexual-exploitation-0" TargetMode="External"/><Relationship Id="rId14" Type="http://schemas.openxmlformats.org/officeDocument/2006/relationships/hyperlink" Target="http://www.niccy.org/c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364A-55B1-4442-AB65-0686BE5F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1551</Words>
  <Characters>8844</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2</cp:revision>
  <cp:lastPrinted>2013-11-19T11:46:00Z</cp:lastPrinted>
  <dcterms:created xsi:type="dcterms:W3CDTF">2016-11-17T15:36:00Z</dcterms:created>
  <dcterms:modified xsi:type="dcterms:W3CDTF">2016-11-17T15:36:00Z</dcterms:modified>
</cp:coreProperties>
</file>