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3255" w14:textId="77777777" w:rsidR="00F140BC" w:rsidRDefault="00F140BC" w:rsidP="006B7BFD">
      <w:pPr>
        <w:pStyle w:val="NICCYHeading"/>
        <w:rPr>
          <w:sz w:val="96"/>
          <w:szCs w:val="96"/>
        </w:rPr>
      </w:pPr>
    </w:p>
    <w:p w14:paraId="35EDBAB7" w14:textId="20501715" w:rsidR="006B7BFD" w:rsidRPr="00C57510" w:rsidRDefault="006B7BFD" w:rsidP="009636CD">
      <w:pPr>
        <w:pStyle w:val="NICCYHeading"/>
        <w:rPr>
          <w:sz w:val="96"/>
          <w:szCs w:val="96"/>
        </w:rPr>
      </w:pPr>
      <w:r w:rsidRPr="00C57510">
        <w:rPr>
          <w:sz w:val="96"/>
          <w:szCs w:val="96"/>
        </w:rPr>
        <w:t>Review of CAMHS Data from 2013-2020</w:t>
      </w:r>
    </w:p>
    <w:p w14:paraId="7C20DBE7" w14:textId="04BAA4E4" w:rsidR="006B7BFD" w:rsidRDefault="006B7BFD" w:rsidP="006B7BFD">
      <w:pPr>
        <w:pStyle w:val="NICCYBodyTest"/>
      </w:pPr>
    </w:p>
    <w:p w14:paraId="07546D70" w14:textId="3064C15D" w:rsidR="00F140BC" w:rsidRDefault="00F140BC" w:rsidP="006B7BFD">
      <w:pPr>
        <w:pStyle w:val="NICCYBodyTest"/>
      </w:pPr>
    </w:p>
    <w:p w14:paraId="245AE341" w14:textId="58DDAC48" w:rsidR="00F140BC" w:rsidRDefault="00F140BC" w:rsidP="006B7BFD">
      <w:pPr>
        <w:pStyle w:val="NICCYBodyTest"/>
      </w:pPr>
    </w:p>
    <w:p w14:paraId="601851F8" w14:textId="65FF679D" w:rsidR="00F140BC" w:rsidRDefault="00C8144B" w:rsidP="006B7BFD">
      <w:pPr>
        <w:pStyle w:val="NICCYBodyTest"/>
      </w:pPr>
      <w:r>
        <w:t xml:space="preserve">This report is a standalone document, however further reflections and analysis of the data is available from NICCYs second monitoring report on the progress of implementation on the recommendations from the ‘Still Waiting’ Review. </w:t>
      </w:r>
      <w:r w:rsidR="00967022">
        <w:t xml:space="preserve">All documents are available from </w:t>
      </w:r>
      <w:hyperlink r:id="rId8" w:history="1">
        <w:r w:rsidR="00967022">
          <w:rPr>
            <w:rStyle w:val="Hyperlink"/>
          </w:rPr>
          <w:t>Mental Health Review - Still Waiting (niccy.org)</w:t>
        </w:r>
      </w:hyperlink>
    </w:p>
    <w:p w14:paraId="790C6752" w14:textId="01A7DC0C" w:rsidR="00F140BC" w:rsidRDefault="00F140BC" w:rsidP="006B7BFD">
      <w:pPr>
        <w:pStyle w:val="NICCYBodyTest"/>
      </w:pPr>
    </w:p>
    <w:p w14:paraId="1FB158F5" w14:textId="6B2CBE4B" w:rsidR="00F140BC" w:rsidRDefault="00F140BC" w:rsidP="006B7BFD">
      <w:pPr>
        <w:pStyle w:val="NICCYBodyTest"/>
      </w:pPr>
    </w:p>
    <w:p w14:paraId="2E8D28A0" w14:textId="78A4C247" w:rsidR="00F140BC" w:rsidRDefault="00F140BC" w:rsidP="006B7BFD">
      <w:pPr>
        <w:pStyle w:val="NICCYBodyTest"/>
      </w:pPr>
    </w:p>
    <w:p w14:paraId="63BE13A7" w14:textId="63513301" w:rsidR="00F140BC" w:rsidRDefault="00F140BC" w:rsidP="006B7BFD">
      <w:pPr>
        <w:pStyle w:val="NICCYBodyTest"/>
      </w:pPr>
    </w:p>
    <w:p w14:paraId="3D1EA40D" w14:textId="6D098A43" w:rsidR="00F140BC" w:rsidRDefault="00F140BC" w:rsidP="006B7BFD">
      <w:pPr>
        <w:pStyle w:val="NICCYBodyTest"/>
      </w:pPr>
    </w:p>
    <w:p w14:paraId="64EA1CFC" w14:textId="7AB84916" w:rsidR="00F140BC" w:rsidRDefault="00F140BC" w:rsidP="006B7BFD">
      <w:pPr>
        <w:pStyle w:val="NICCYBodyTest"/>
      </w:pPr>
    </w:p>
    <w:p w14:paraId="0AD8D565" w14:textId="69F78295" w:rsidR="00F140BC" w:rsidRDefault="00F140BC" w:rsidP="006B7BFD">
      <w:pPr>
        <w:pStyle w:val="NICCYBodyTest"/>
      </w:pPr>
    </w:p>
    <w:p w14:paraId="5759771A" w14:textId="011678EC" w:rsidR="00F140BC" w:rsidRDefault="00F140BC" w:rsidP="006B7BFD">
      <w:pPr>
        <w:pStyle w:val="NICCYBodyTest"/>
      </w:pPr>
    </w:p>
    <w:p w14:paraId="5629A490" w14:textId="779311C6" w:rsidR="00F140BC" w:rsidRDefault="00F140BC" w:rsidP="006B7BFD">
      <w:pPr>
        <w:pStyle w:val="NICCYBodyTest"/>
      </w:pPr>
    </w:p>
    <w:p w14:paraId="601DD35C" w14:textId="6218611D" w:rsidR="00F140BC" w:rsidRDefault="00F140BC" w:rsidP="006B7BFD">
      <w:pPr>
        <w:pStyle w:val="NICCYBodyTest"/>
      </w:pPr>
    </w:p>
    <w:p w14:paraId="5C526DE0" w14:textId="069D07EE" w:rsidR="00F140BC" w:rsidRDefault="00F140BC" w:rsidP="006B7BFD">
      <w:pPr>
        <w:pStyle w:val="NICCYBodyTest"/>
      </w:pPr>
    </w:p>
    <w:p w14:paraId="5145E005" w14:textId="1A7986AD" w:rsidR="00F140BC" w:rsidRDefault="00F140BC" w:rsidP="006B7BFD">
      <w:pPr>
        <w:pStyle w:val="NICCYBodyTest"/>
      </w:pPr>
    </w:p>
    <w:p w14:paraId="4366AB03" w14:textId="3055DC93" w:rsidR="00F140BC" w:rsidRDefault="00F140BC" w:rsidP="006B7BFD">
      <w:pPr>
        <w:pStyle w:val="NICCYBodyTest"/>
      </w:pPr>
    </w:p>
    <w:p w14:paraId="68FBC599" w14:textId="77777777" w:rsidR="006C1562" w:rsidRDefault="006C1562" w:rsidP="006B7BFD">
      <w:pPr>
        <w:pStyle w:val="NICCYBodyTest"/>
      </w:pPr>
    </w:p>
    <w:p w14:paraId="0784C3F6" w14:textId="25E0DB5C" w:rsidR="009636CD" w:rsidRPr="00A437E1" w:rsidRDefault="00A437E1">
      <w:pPr>
        <w:rPr>
          <w:rFonts w:ascii="Arial" w:eastAsiaTheme="minorEastAsia" w:hAnsi="Arial" w:cs="Arial"/>
          <w:color w:val="414042"/>
          <w:sz w:val="24"/>
          <w:szCs w:val="24"/>
        </w:rPr>
      </w:pPr>
      <w:r w:rsidRPr="00A437E1">
        <w:rPr>
          <w:rFonts w:ascii="Arial" w:hAnsi="Arial" w:cs="Arial"/>
          <w:sz w:val="24"/>
          <w:szCs w:val="24"/>
        </w:rPr>
        <w:t>Publication Date: February 2021</w:t>
      </w:r>
      <w:r w:rsidR="009636CD" w:rsidRPr="00A437E1">
        <w:rPr>
          <w:rFonts w:ascii="Arial" w:hAnsi="Arial" w:cs="Arial"/>
          <w:sz w:val="24"/>
          <w:szCs w:val="24"/>
        </w:rPr>
        <w:br w:type="page"/>
      </w:r>
    </w:p>
    <w:p w14:paraId="13A1313F" w14:textId="4011D77E" w:rsidR="006B7BFD" w:rsidRDefault="006B7BFD" w:rsidP="006B7BFD">
      <w:pPr>
        <w:pStyle w:val="NICCYBodyTest"/>
      </w:pPr>
      <w:r>
        <w:lastRenderedPageBreak/>
        <w:t xml:space="preserve">NICCY published </w:t>
      </w:r>
      <w:r w:rsidR="00F6108B">
        <w:t>‘</w:t>
      </w:r>
      <w:r w:rsidR="00482CEB">
        <w:t>Still Waiting</w:t>
      </w:r>
      <w:r w:rsidR="00F6108B">
        <w:t>’</w:t>
      </w:r>
      <w:r w:rsidR="00482CEB">
        <w:t>- A</w:t>
      </w:r>
      <w:r>
        <w:t xml:space="preserve"> </w:t>
      </w:r>
      <w:r w:rsidR="00F6108B">
        <w:t>Rights Based Review of Mental Health Services and S</w:t>
      </w:r>
      <w:r>
        <w:t xml:space="preserve">upport in </w:t>
      </w:r>
      <w:r w:rsidR="00482CEB">
        <w:t>N</w:t>
      </w:r>
      <w:r w:rsidR="00F6108B">
        <w:t>orthern Ireland</w:t>
      </w:r>
      <w:r w:rsidR="00482CEB">
        <w:t xml:space="preserve"> in </w:t>
      </w:r>
      <w:r>
        <w:t>September 2018</w:t>
      </w:r>
      <w:r w:rsidR="00D20B31">
        <w:t>.</w:t>
      </w:r>
      <w:r>
        <w:t xml:space="preserve"> </w:t>
      </w:r>
      <w:r w:rsidR="00D20B31">
        <w:t>T</w:t>
      </w:r>
      <w:r>
        <w:t>his report contained three strands of work, these were</w:t>
      </w:r>
      <w:r w:rsidR="00B0643F">
        <w:t xml:space="preserve"> 1.</w:t>
      </w:r>
      <w:r>
        <w:t xml:space="preserve"> </w:t>
      </w:r>
      <w:r w:rsidR="00585572">
        <w:t>C</w:t>
      </w:r>
      <w:r w:rsidR="00B0643F">
        <w:t>hildren</w:t>
      </w:r>
      <w:r w:rsidR="00585572">
        <w:t>’s</w:t>
      </w:r>
      <w:r w:rsidR="00B0643F">
        <w:t xml:space="preserve"> and young people’s experiences of accessing or trying to access support</w:t>
      </w:r>
      <w:r w:rsidR="00585572">
        <w:t>;</w:t>
      </w:r>
      <w:r>
        <w:t xml:space="preserve"> </w:t>
      </w:r>
      <w:r w:rsidR="00B0643F">
        <w:t xml:space="preserve">2. </w:t>
      </w:r>
      <w:r w:rsidR="00585572">
        <w:t>A</w:t>
      </w:r>
      <w:r>
        <w:t xml:space="preserve"> mapping an</w:t>
      </w:r>
      <w:r w:rsidR="004054B5">
        <w:t>d</w:t>
      </w:r>
      <w:r>
        <w:t xml:space="preserve"> analysis of budgetary information and </w:t>
      </w:r>
      <w:r w:rsidR="00B0643F">
        <w:t xml:space="preserve">3. </w:t>
      </w:r>
      <w:r w:rsidR="00585572">
        <w:t>A</w:t>
      </w:r>
      <w:r>
        <w:t xml:space="preserve"> mapping an</w:t>
      </w:r>
      <w:r w:rsidR="004054B5">
        <w:t>d</w:t>
      </w:r>
      <w:r>
        <w:t xml:space="preserve"> analysis of CAMHS operational data.  </w:t>
      </w:r>
    </w:p>
    <w:p w14:paraId="29EAE8F9" w14:textId="77777777" w:rsidR="005901C7" w:rsidRDefault="005901C7" w:rsidP="00407FDB">
      <w:pPr>
        <w:pStyle w:val="NICCYBodyTest"/>
      </w:pPr>
    </w:p>
    <w:p w14:paraId="33F85CF1" w14:textId="77777777" w:rsidR="00407FDB" w:rsidRDefault="00224DCE" w:rsidP="00407FDB">
      <w:pPr>
        <w:pStyle w:val="NICCYBodyTest"/>
      </w:pPr>
      <w:r>
        <w:t xml:space="preserve">Strand 3 </w:t>
      </w:r>
      <w:r w:rsidR="00546E54">
        <w:t xml:space="preserve">which covered CAMHS service activity data </w:t>
      </w:r>
      <w:r w:rsidR="008B4D02">
        <w:t xml:space="preserve">was a key aspect of the review and </w:t>
      </w:r>
      <w:r w:rsidR="006B7BFD">
        <w:t xml:space="preserve">early scoping work </w:t>
      </w:r>
      <w:r w:rsidR="002815C0">
        <w:t>in this</w:t>
      </w:r>
      <w:r w:rsidR="006B7BFD">
        <w:t xml:space="preserve"> area found limited </w:t>
      </w:r>
      <w:r w:rsidR="008B4D02">
        <w:t xml:space="preserve">publically available </w:t>
      </w:r>
      <w:r w:rsidR="00482CEB">
        <w:t xml:space="preserve">official </w:t>
      </w:r>
      <w:r w:rsidR="006B7BFD">
        <w:t xml:space="preserve">information and what was collected was </w:t>
      </w:r>
      <w:r w:rsidR="00F70385">
        <w:t xml:space="preserve">not centrally held but </w:t>
      </w:r>
      <w:r w:rsidR="006B7BFD">
        <w:t>f</w:t>
      </w:r>
      <w:r w:rsidR="00F70385">
        <w:t>ragmented across different part</w:t>
      </w:r>
      <w:r w:rsidR="006B7BFD">
        <w:t>s</w:t>
      </w:r>
      <w:r w:rsidR="00F70385">
        <w:t xml:space="preserve"> of </w:t>
      </w:r>
      <w:r w:rsidR="00F70385" w:rsidRPr="001029BD">
        <w:t>the system</w:t>
      </w:r>
      <w:r w:rsidR="006B7BFD" w:rsidRPr="001029BD">
        <w:t>.</w:t>
      </w:r>
      <w:r w:rsidR="009606DC" w:rsidRPr="001029BD">
        <w:t xml:space="preserve"> </w:t>
      </w:r>
      <w:r w:rsidRPr="001029BD">
        <w:t xml:space="preserve">The </w:t>
      </w:r>
      <w:r w:rsidR="00407FDB" w:rsidRPr="001029BD">
        <w:t>‘Still Waiting’</w:t>
      </w:r>
      <w:r w:rsidR="00407FDB">
        <w:t xml:space="preserve"> </w:t>
      </w:r>
      <w:r>
        <w:t>review further explored this area and identified a range of</w:t>
      </w:r>
      <w:r w:rsidR="00407FDB">
        <w:t xml:space="preserve"> gaps in basic data</w:t>
      </w:r>
      <w:r>
        <w:t xml:space="preserve"> which it</w:t>
      </w:r>
      <w:r w:rsidR="008B4D02">
        <w:t xml:space="preserve"> advis</w:t>
      </w:r>
      <w:r>
        <w:t>ed Government to fill, along with a recommendation to</w:t>
      </w:r>
      <w:r w:rsidR="00407FDB">
        <w:t xml:space="preserve"> publish CAMHS data in the same way as other parts of the UK.</w:t>
      </w:r>
    </w:p>
    <w:p w14:paraId="5A126423" w14:textId="77777777" w:rsidR="005901C7" w:rsidRDefault="005901C7" w:rsidP="002B6266">
      <w:pPr>
        <w:pStyle w:val="NICCYBodyTest"/>
      </w:pPr>
    </w:p>
    <w:p w14:paraId="0E9883B6" w14:textId="7375A8C6" w:rsidR="004054B5" w:rsidRDefault="004054B5" w:rsidP="004054B5">
      <w:pPr>
        <w:pStyle w:val="NICCYBodyTest"/>
      </w:pPr>
      <w:r>
        <w:t xml:space="preserve">An Inter-Departmental Group (IDG) Chaired by the Department </w:t>
      </w:r>
      <w:r w:rsidR="00F140BC">
        <w:t xml:space="preserve">of </w:t>
      </w:r>
      <w:r>
        <w:t>Health and involving repr</w:t>
      </w:r>
      <w:r w:rsidR="0033034D">
        <w:t xml:space="preserve">esentatives from the Departments </w:t>
      </w:r>
      <w:r w:rsidR="00D20B31">
        <w:t>of</w:t>
      </w:r>
      <w:r>
        <w:t xml:space="preserve"> Education, Justice, and Communities, along with members of the Voluntary and Community Sector was established to </w:t>
      </w:r>
      <w:r w:rsidR="00546E54">
        <w:t>publish an</w:t>
      </w:r>
      <w:r>
        <w:t xml:space="preserve"> action plan and be responsible for the implementation of the recommendations.</w:t>
      </w:r>
      <w:r w:rsidR="002A0AE4">
        <w:rPr>
          <w:rStyle w:val="FootnoteReference"/>
        </w:rPr>
        <w:footnoteReference w:id="1"/>
      </w:r>
      <w:r>
        <w:t xml:space="preserve"> </w:t>
      </w:r>
      <w:r w:rsidR="00546E54">
        <w:t>One of the outstanding recommendations is to publish a comprehensive CAMHS Dataset in line with other health statistical reporting (Rec 47, p278)</w:t>
      </w:r>
      <w:r w:rsidR="003D0C54">
        <w:t>.</w:t>
      </w:r>
    </w:p>
    <w:p w14:paraId="0C018D4D" w14:textId="77777777" w:rsidR="004054B5" w:rsidRDefault="004054B5" w:rsidP="002B6266">
      <w:pPr>
        <w:pStyle w:val="NICCYBodyTest"/>
      </w:pPr>
    </w:p>
    <w:p w14:paraId="32966E95" w14:textId="77777777" w:rsidR="002B6266" w:rsidRDefault="0033034D" w:rsidP="002B6266">
      <w:pPr>
        <w:pStyle w:val="NICCYBodyTest"/>
      </w:pPr>
      <w:r>
        <w:t xml:space="preserve">Alongside the establishment of the IDG, </w:t>
      </w:r>
      <w:r w:rsidR="002815C0">
        <w:t xml:space="preserve">NICCY has committed to </w:t>
      </w:r>
      <w:r w:rsidR="006B7BFD">
        <w:t>monitoring</w:t>
      </w:r>
      <w:r w:rsidR="002815C0">
        <w:t xml:space="preserve"> the implementation of the Still Waiting Recommendations</w:t>
      </w:r>
      <w:r w:rsidR="003D0C54">
        <w:t xml:space="preserve"> on an annual basis between 2020-2023,</w:t>
      </w:r>
      <w:r w:rsidR="003D0C54">
        <w:rPr>
          <w:rStyle w:val="FootnoteReference"/>
        </w:rPr>
        <w:footnoteReference w:id="2"/>
      </w:r>
      <w:r w:rsidR="00407FDB">
        <w:t xml:space="preserve"> and p</w:t>
      </w:r>
      <w:r w:rsidR="00482CEB">
        <w:t xml:space="preserve">art </w:t>
      </w:r>
      <w:r w:rsidR="00407FDB">
        <w:t xml:space="preserve">of this monitoring process </w:t>
      </w:r>
      <w:r w:rsidR="00482CEB">
        <w:t>include</w:t>
      </w:r>
      <w:r w:rsidR="00407FDB">
        <w:t>s</w:t>
      </w:r>
      <w:r w:rsidR="00482CEB">
        <w:t xml:space="preserve"> </w:t>
      </w:r>
      <w:r w:rsidR="00224DCE">
        <w:t>using</w:t>
      </w:r>
      <w:r w:rsidR="00482CEB">
        <w:t xml:space="preserve"> </w:t>
      </w:r>
      <w:r w:rsidR="00407FDB">
        <w:t xml:space="preserve">mental health data </w:t>
      </w:r>
      <w:r w:rsidR="00876369">
        <w:t xml:space="preserve">to inform its </w:t>
      </w:r>
      <w:r w:rsidR="00482CEB">
        <w:t>assess</w:t>
      </w:r>
      <w:r w:rsidR="00876369">
        <w:t>ment of progress.</w:t>
      </w:r>
      <w:r w:rsidR="00482CEB">
        <w:t xml:space="preserve"> </w:t>
      </w:r>
    </w:p>
    <w:p w14:paraId="501D1907" w14:textId="77777777" w:rsidR="005901C7" w:rsidRDefault="005901C7" w:rsidP="005901C7">
      <w:pPr>
        <w:pStyle w:val="NICCYBodyTest"/>
      </w:pPr>
    </w:p>
    <w:p w14:paraId="075605A7" w14:textId="4524C34A" w:rsidR="00876369" w:rsidRDefault="005901C7" w:rsidP="005901C7">
      <w:pPr>
        <w:pStyle w:val="NICCYBodyTest"/>
      </w:pPr>
      <w:r w:rsidRPr="001029BD">
        <w:t xml:space="preserve">NICCY has </w:t>
      </w:r>
      <w:r w:rsidR="008B4D02" w:rsidRPr="001029BD">
        <w:t>compiled</w:t>
      </w:r>
      <w:r w:rsidRPr="001029BD">
        <w:t xml:space="preserve"> </w:t>
      </w:r>
      <w:r w:rsidR="008B4D02" w:rsidRPr="001029BD">
        <w:t xml:space="preserve">a wide range of </w:t>
      </w:r>
      <w:r w:rsidRPr="001029BD">
        <w:t xml:space="preserve">mental health </w:t>
      </w:r>
      <w:r w:rsidR="008B4D02" w:rsidRPr="001029BD">
        <w:t>data during the period 2013</w:t>
      </w:r>
      <w:r w:rsidR="00E80195" w:rsidRPr="001029BD">
        <w:t>/14</w:t>
      </w:r>
      <w:r w:rsidR="008B4D02" w:rsidRPr="001029BD">
        <w:t xml:space="preserve"> -2019</w:t>
      </w:r>
      <w:r w:rsidR="00E80195" w:rsidRPr="001029BD">
        <w:t>/2020</w:t>
      </w:r>
      <w:r w:rsidR="00D20B31">
        <w:t>,</w:t>
      </w:r>
      <w:r w:rsidR="00E80195" w:rsidRPr="001029BD">
        <w:t xml:space="preserve"> </w:t>
      </w:r>
      <w:r w:rsidR="004054B5" w:rsidRPr="001029BD">
        <w:t>much of which is not in the public domain</w:t>
      </w:r>
      <w:r w:rsidR="008B4D02" w:rsidRPr="001029BD">
        <w:t xml:space="preserve"> and had to be </w:t>
      </w:r>
      <w:r w:rsidR="008B4D02" w:rsidRPr="008C16DC">
        <w:t xml:space="preserve">requested. </w:t>
      </w:r>
      <w:r w:rsidR="008C16DC">
        <w:t xml:space="preserve">Unless stated otherwise, the data used originated from CAMHS Update reports provided to NICCY from the HSCB between 2017-2020. </w:t>
      </w:r>
      <w:r w:rsidR="00876369" w:rsidRPr="008C16DC">
        <w:t>In</w:t>
      </w:r>
      <w:r w:rsidR="00876369">
        <w:t xml:space="preserve"> the absence</w:t>
      </w:r>
      <w:r w:rsidR="008B4D02">
        <w:t xml:space="preserve"> of </w:t>
      </w:r>
      <w:r w:rsidR="004054B5">
        <w:t xml:space="preserve">easily accessible, </w:t>
      </w:r>
      <w:r w:rsidR="00585572">
        <w:t>public</w:t>
      </w:r>
      <w:r w:rsidR="008B4D02">
        <w:t>ly available data</w:t>
      </w:r>
      <w:r w:rsidR="004054B5">
        <w:t>,</w:t>
      </w:r>
      <w:r w:rsidR="008B4D02">
        <w:t xml:space="preserve"> NICCY is publishing this report for those with an interest in this area. The areas covered in </w:t>
      </w:r>
      <w:r w:rsidR="008B4D02" w:rsidRPr="000C3DAC">
        <w:t xml:space="preserve">this paper include </w:t>
      </w:r>
      <w:r w:rsidR="00AB701D" w:rsidRPr="000C3DAC">
        <w:t>CAMHS</w:t>
      </w:r>
      <w:r w:rsidR="00901550">
        <w:t xml:space="preserve"> service a</w:t>
      </w:r>
      <w:r w:rsidR="00AB701D">
        <w:t xml:space="preserve">ctivity data such as referral received and accepted across CAMHS specialisms, waiting lists and length of time waiting for CAMHS and psychological therapies, demographic profile of those accessing CAMHS, </w:t>
      </w:r>
      <w:r w:rsidR="00AB701D">
        <w:lastRenderedPageBreak/>
        <w:t xml:space="preserve">referral sources and rates of non-attendance at appointments. It also includes data on in-patient activity, anti-depressant prescribing for under 18’s, admission to adult wards and extra-contractual referrals on mental health grounds. </w:t>
      </w:r>
    </w:p>
    <w:p w14:paraId="0A237E8F" w14:textId="5CF80071" w:rsidR="00876369" w:rsidRDefault="00876369" w:rsidP="005901C7">
      <w:pPr>
        <w:pStyle w:val="NICCYBodyTest"/>
      </w:pPr>
    </w:p>
    <w:p w14:paraId="261ECBC9" w14:textId="64FBF764" w:rsidR="00C8144B" w:rsidRDefault="00C8144B" w:rsidP="00C8144B">
      <w:pPr>
        <w:pStyle w:val="NICCYBodyTest"/>
      </w:pPr>
      <w:r>
        <w:t>Whilst this report is a standalone document, further reflections and analysis of the data contained in it is available from NICCYs second monitoring report on the progress of implementation on the recommendations from the ‘Still Waiting’ Re</w:t>
      </w:r>
      <w:r w:rsidR="000A73CA">
        <w:t xml:space="preserve">view which is available from the </w:t>
      </w:r>
      <w:hyperlink r:id="rId9" w:history="1">
        <w:r w:rsidR="000A73CA" w:rsidRPr="000A73CA">
          <w:rPr>
            <w:rStyle w:val="Hyperlink"/>
          </w:rPr>
          <w:t>Still Waiting page of NICCYs website</w:t>
        </w:r>
      </w:hyperlink>
      <w:r w:rsidR="000A73CA">
        <w:t xml:space="preserve">. </w:t>
      </w:r>
    </w:p>
    <w:p w14:paraId="3CC7E517" w14:textId="6551D975" w:rsidR="00C8144B" w:rsidRDefault="00C8144B" w:rsidP="005901C7">
      <w:pPr>
        <w:pStyle w:val="NICCYBodyTest"/>
      </w:pPr>
    </w:p>
    <w:p w14:paraId="34DCA04B" w14:textId="37466216" w:rsidR="00482CEB" w:rsidRDefault="00876369" w:rsidP="006B7BFD">
      <w:pPr>
        <w:pStyle w:val="NICCYBodyTest"/>
      </w:pPr>
      <w:r w:rsidRPr="00482CEB">
        <w:t xml:space="preserve">Due to </w:t>
      </w:r>
      <w:r>
        <w:t xml:space="preserve">a </w:t>
      </w:r>
      <w:r w:rsidRPr="00482CEB">
        <w:t>lack of outcome</w:t>
      </w:r>
      <w:r w:rsidR="00D20B31">
        <w:t>s</w:t>
      </w:r>
      <w:r w:rsidRPr="00482CEB">
        <w:t xml:space="preserve"> data coll</w:t>
      </w:r>
      <w:r>
        <w:t>ected by the system, the data</w:t>
      </w:r>
      <w:r w:rsidRPr="00482CEB">
        <w:t xml:space="preserve"> </w:t>
      </w:r>
      <w:r>
        <w:t xml:space="preserve">contained in this report is </w:t>
      </w:r>
      <w:r w:rsidRPr="00482CEB">
        <w:t xml:space="preserve">mainly </w:t>
      </w:r>
      <w:r>
        <w:t>service a</w:t>
      </w:r>
      <w:bookmarkStart w:id="0" w:name="_GoBack"/>
      <w:bookmarkEnd w:id="0"/>
      <w:r>
        <w:t xml:space="preserve">ctivity data and therefore </w:t>
      </w:r>
      <w:r w:rsidRPr="00482CEB">
        <w:t>process focused.</w:t>
      </w:r>
      <w:r>
        <w:t xml:space="preserve"> Furthermore, the effect of covid</w:t>
      </w:r>
      <w:r w:rsidR="00D20B31">
        <w:t>-19</w:t>
      </w:r>
      <w:r>
        <w:t xml:space="preserve"> </w:t>
      </w:r>
      <w:r w:rsidRPr="00F13E0C">
        <w:t>on key service activity is not captured as the data</w:t>
      </w:r>
      <w:r w:rsidR="006A03C1" w:rsidRPr="00F13E0C">
        <w:t xml:space="preserve"> </w:t>
      </w:r>
      <w:r w:rsidRPr="00F13E0C">
        <w:t xml:space="preserve">doesn’t </w:t>
      </w:r>
      <w:r w:rsidR="00AD1C9F" w:rsidRPr="00F13E0C">
        <w:t>extend</w:t>
      </w:r>
      <w:r w:rsidRPr="00F13E0C">
        <w:t xml:space="preserve"> beyond</w:t>
      </w:r>
      <w:r w:rsidR="006A03C1" w:rsidRPr="00F13E0C">
        <w:t xml:space="preserve"> March 2020,</w:t>
      </w:r>
      <w:r w:rsidRPr="00F13E0C">
        <w:t xml:space="preserve"> h</w:t>
      </w:r>
      <w:r w:rsidR="006A03C1" w:rsidRPr="00F13E0C">
        <w:t xml:space="preserve">owever, this will be </w:t>
      </w:r>
      <w:r w:rsidR="00DE6935" w:rsidRPr="00F13E0C">
        <w:t xml:space="preserve">included </w:t>
      </w:r>
      <w:r w:rsidR="00A6527E" w:rsidRPr="00F13E0C">
        <w:t>in any f</w:t>
      </w:r>
      <w:r w:rsidR="00DE6935" w:rsidRPr="00F13E0C">
        <w:t xml:space="preserve">uture </w:t>
      </w:r>
      <w:r w:rsidR="00A6527E" w:rsidRPr="00F13E0C">
        <w:t xml:space="preserve">CAMHS Data </w:t>
      </w:r>
      <w:r w:rsidR="00DE6935" w:rsidRPr="00F13E0C">
        <w:t>reporting</w:t>
      </w:r>
      <w:r w:rsidR="00A6527E" w:rsidRPr="00F13E0C">
        <w:t xml:space="preserve"> and NICCY will also be publishing a covid specific report in 2021</w:t>
      </w:r>
      <w:r w:rsidR="00114BE0">
        <w:t>, which will</w:t>
      </w:r>
      <w:r w:rsidR="006C1562">
        <w:t xml:space="preserve"> consider the impact on children’s access to mental health services</w:t>
      </w:r>
      <w:r w:rsidR="00DE6935" w:rsidRPr="00F13E0C">
        <w:t>.</w:t>
      </w:r>
      <w:r w:rsidR="00EA1207">
        <w:t xml:space="preserve"> </w:t>
      </w:r>
    </w:p>
    <w:tbl>
      <w:tblPr>
        <w:tblStyle w:val="TableGrid"/>
        <w:tblW w:w="0" w:type="auto"/>
        <w:tblLook w:val="04A0" w:firstRow="1" w:lastRow="0" w:firstColumn="1" w:lastColumn="0" w:noHBand="0" w:noVBand="1"/>
      </w:tblPr>
      <w:tblGrid>
        <w:gridCol w:w="8544"/>
      </w:tblGrid>
      <w:tr w:rsidR="001C598C" w:rsidRPr="005A7AAB" w14:paraId="50461BF0" w14:textId="5EE45983" w:rsidTr="001C598C">
        <w:trPr>
          <w:trHeight w:val="353"/>
        </w:trPr>
        <w:tc>
          <w:tcPr>
            <w:tcW w:w="8544" w:type="dxa"/>
          </w:tcPr>
          <w:p w14:paraId="5728B8CB" w14:textId="77777777" w:rsidR="001C598C" w:rsidRPr="005A7AAB" w:rsidRDefault="001C598C" w:rsidP="00255C32">
            <w:pPr>
              <w:pStyle w:val="NICCYBodyTest"/>
              <w:rPr>
                <w:b/>
              </w:rPr>
            </w:pPr>
            <w:r w:rsidRPr="005A7AAB">
              <w:rPr>
                <w:b/>
              </w:rPr>
              <w:t xml:space="preserve">Table of Contents </w:t>
            </w:r>
          </w:p>
        </w:tc>
      </w:tr>
      <w:tr w:rsidR="001C598C" w:rsidRPr="005A7AAB" w14:paraId="27966C0E" w14:textId="48E83E14" w:rsidTr="001C598C">
        <w:trPr>
          <w:trHeight w:val="300"/>
        </w:trPr>
        <w:tc>
          <w:tcPr>
            <w:tcW w:w="8544" w:type="dxa"/>
          </w:tcPr>
          <w:p w14:paraId="2CAA9803" w14:textId="236167AC" w:rsidR="001C598C" w:rsidRPr="005A7AAB" w:rsidRDefault="001C598C" w:rsidP="00255C32">
            <w:pPr>
              <w:pStyle w:val="NICCYBodyText"/>
              <w:spacing w:line="240" w:lineRule="auto"/>
            </w:pPr>
            <w:r>
              <w:t xml:space="preserve">1.0 </w:t>
            </w:r>
            <w:hyperlink w:anchor="Definitions" w:history="1">
              <w:r w:rsidRPr="001C598C">
                <w:rPr>
                  <w:rStyle w:val="Hyperlink"/>
                </w:rPr>
                <w:t>Definitions</w:t>
              </w:r>
            </w:hyperlink>
          </w:p>
        </w:tc>
      </w:tr>
      <w:tr w:rsidR="001C598C" w:rsidRPr="005A7AAB" w14:paraId="5B674E0A" w14:textId="3EE56EF7" w:rsidTr="001C598C">
        <w:trPr>
          <w:trHeight w:val="287"/>
        </w:trPr>
        <w:tc>
          <w:tcPr>
            <w:tcW w:w="8544" w:type="dxa"/>
          </w:tcPr>
          <w:p w14:paraId="50BC1B11" w14:textId="12907597" w:rsidR="001C598C" w:rsidRPr="005A7AAB" w:rsidRDefault="001C598C" w:rsidP="00255C32">
            <w:pPr>
              <w:pStyle w:val="NICCYBodyText"/>
              <w:spacing w:line="240" w:lineRule="auto"/>
            </w:pPr>
            <w:r>
              <w:t xml:space="preserve">2.0 </w:t>
            </w:r>
            <w:hyperlink w:anchor="Referrals_Received_Accepted" w:history="1">
              <w:r w:rsidRPr="001C598C">
                <w:rPr>
                  <w:rStyle w:val="Hyperlink"/>
                </w:rPr>
                <w:t>CAMHS Referrals Received and Accepted</w:t>
              </w:r>
            </w:hyperlink>
          </w:p>
        </w:tc>
      </w:tr>
      <w:tr w:rsidR="001C598C" w:rsidRPr="005A7AAB" w14:paraId="4DDB487F" w14:textId="3984186B" w:rsidTr="001C598C">
        <w:trPr>
          <w:trHeight w:val="300"/>
        </w:trPr>
        <w:tc>
          <w:tcPr>
            <w:tcW w:w="8544" w:type="dxa"/>
          </w:tcPr>
          <w:p w14:paraId="2529C0EF" w14:textId="30162C55" w:rsidR="001C598C" w:rsidRPr="005A7AAB" w:rsidRDefault="001C598C" w:rsidP="00255C32">
            <w:pPr>
              <w:pStyle w:val="NICCYBodyText"/>
              <w:spacing w:line="240" w:lineRule="auto"/>
            </w:pPr>
            <w:r>
              <w:t xml:space="preserve">2.1 </w:t>
            </w:r>
            <w:hyperlink w:anchor="Referral_Types" w:history="1">
              <w:r w:rsidRPr="001C598C">
                <w:rPr>
                  <w:rStyle w:val="Hyperlink"/>
                </w:rPr>
                <w:t>Referral Types</w:t>
              </w:r>
            </w:hyperlink>
            <w:r w:rsidRPr="005A7AAB">
              <w:t xml:space="preserve"> </w:t>
            </w:r>
          </w:p>
        </w:tc>
      </w:tr>
      <w:tr w:rsidR="001C598C" w:rsidRPr="005A7AAB" w14:paraId="6E443035" w14:textId="5422A67B" w:rsidTr="001C598C">
        <w:trPr>
          <w:trHeight w:val="300"/>
        </w:trPr>
        <w:tc>
          <w:tcPr>
            <w:tcW w:w="8544" w:type="dxa"/>
          </w:tcPr>
          <w:p w14:paraId="70790866" w14:textId="15A854B0" w:rsidR="001C598C" w:rsidRPr="005A7AAB" w:rsidRDefault="00106254" w:rsidP="00255C32">
            <w:pPr>
              <w:pStyle w:val="NICCYBodyText"/>
              <w:spacing w:line="240" w:lineRule="auto"/>
            </w:pPr>
            <w:r>
              <w:t xml:space="preserve">2.2 </w:t>
            </w:r>
            <w:hyperlink w:anchor="Age_Gender" w:history="1">
              <w:r w:rsidR="001C598C" w:rsidRPr="001C598C">
                <w:rPr>
                  <w:rStyle w:val="Hyperlink"/>
                </w:rPr>
                <w:t>Age and Gender of Accepted Referrals</w:t>
              </w:r>
            </w:hyperlink>
          </w:p>
        </w:tc>
      </w:tr>
      <w:tr w:rsidR="001C598C" w:rsidRPr="005A7AAB" w14:paraId="4424092C" w14:textId="1AB0A4AB" w:rsidTr="001C598C">
        <w:trPr>
          <w:trHeight w:val="287"/>
        </w:trPr>
        <w:tc>
          <w:tcPr>
            <w:tcW w:w="8544" w:type="dxa"/>
          </w:tcPr>
          <w:p w14:paraId="48FA4489" w14:textId="1656C860" w:rsidR="001C598C" w:rsidRPr="005A7AAB" w:rsidRDefault="00106254" w:rsidP="00255C32">
            <w:pPr>
              <w:pStyle w:val="NICCYBodyText"/>
              <w:spacing w:line="240" w:lineRule="auto"/>
            </w:pPr>
            <w:r>
              <w:t xml:space="preserve">3.0 </w:t>
            </w:r>
            <w:hyperlink w:anchor="Active_Clients" w:history="1">
              <w:r w:rsidR="001C598C" w:rsidRPr="001C598C">
                <w:rPr>
                  <w:rStyle w:val="Hyperlink"/>
                </w:rPr>
                <w:t>Active Clients in CAMHS Services</w:t>
              </w:r>
            </w:hyperlink>
          </w:p>
        </w:tc>
      </w:tr>
      <w:tr w:rsidR="001C598C" w:rsidRPr="005A7AAB" w14:paraId="23D90683" w14:textId="66009DE5" w:rsidTr="001C598C">
        <w:trPr>
          <w:trHeight w:val="300"/>
        </w:trPr>
        <w:tc>
          <w:tcPr>
            <w:tcW w:w="8544" w:type="dxa"/>
          </w:tcPr>
          <w:p w14:paraId="3580A8D0" w14:textId="118E382D" w:rsidR="001C598C" w:rsidRPr="005A7AAB" w:rsidRDefault="00106254" w:rsidP="00255C32">
            <w:pPr>
              <w:pStyle w:val="NICCYBodyText"/>
              <w:spacing w:line="240" w:lineRule="auto"/>
            </w:pPr>
            <w:r>
              <w:t xml:space="preserve">4.0 </w:t>
            </w:r>
            <w:hyperlink w:anchor="Referral_sources" w:history="1">
              <w:r w:rsidR="001C598C" w:rsidRPr="001C598C">
                <w:rPr>
                  <w:rStyle w:val="Hyperlink"/>
                </w:rPr>
                <w:t>Referral sources</w:t>
              </w:r>
            </w:hyperlink>
            <w:r w:rsidR="001C598C" w:rsidRPr="005A7AAB">
              <w:t xml:space="preserve"> </w:t>
            </w:r>
          </w:p>
        </w:tc>
      </w:tr>
      <w:tr w:rsidR="001C598C" w:rsidRPr="005A7AAB" w14:paraId="1BB00FCE" w14:textId="29C8BF24" w:rsidTr="001C598C">
        <w:trPr>
          <w:trHeight w:val="300"/>
        </w:trPr>
        <w:tc>
          <w:tcPr>
            <w:tcW w:w="8544" w:type="dxa"/>
          </w:tcPr>
          <w:p w14:paraId="57DB85FD" w14:textId="37BA8489" w:rsidR="001C598C" w:rsidRPr="005A7AAB" w:rsidRDefault="00106254" w:rsidP="00255C32">
            <w:pPr>
              <w:pStyle w:val="NICCYBodyText"/>
              <w:spacing w:line="240" w:lineRule="auto"/>
            </w:pPr>
            <w:r>
              <w:t xml:space="preserve">4.1 </w:t>
            </w:r>
            <w:hyperlink w:anchor="Crisis" w:history="1">
              <w:r w:rsidR="001C598C" w:rsidRPr="001C598C">
                <w:rPr>
                  <w:rStyle w:val="Hyperlink"/>
                </w:rPr>
                <w:t>Crisis Referrals</w:t>
              </w:r>
            </w:hyperlink>
            <w:r>
              <w:t xml:space="preserve"> source</w:t>
            </w:r>
          </w:p>
        </w:tc>
      </w:tr>
      <w:tr w:rsidR="001C598C" w:rsidRPr="005A7AAB" w14:paraId="5F7F4AD7" w14:textId="25BD5E8F" w:rsidTr="001C598C">
        <w:trPr>
          <w:trHeight w:val="287"/>
        </w:trPr>
        <w:tc>
          <w:tcPr>
            <w:tcW w:w="8544" w:type="dxa"/>
          </w:tcPr>
          <w:p w14:paraId="4C5B23F5" w14:textId="3D400DF9" w:rsidR="001C598C" w:rsidRPr="005A7AAB" w:rsidRDefault="00106254" w:rsidP="00255C32">
            <w:pPr>
              <w:pStyle w:val="NICCYBodyText"/>
              <w:spacing w:line="240" w:lineRule="auto"/>
            </w:pPr>
            <w:r>
              <w:t xml:space="preserve">5.0 </w:t>
            </w:r>
            <w:hyperlink w:anchor="Appointments" w:history="1">
              <w:r w:rsidR="001C598C" w:rsidRPr="001C598C">
                <w:rPr>
                  <w:rStyle w:val="Hyperlink"/>
                </w:rPr>
                <w:t>Non Attendance at CAMHS Appointments</w:t>
              </w:r>
            </w:hyperlink>
          </w:p>
        </w:tc>
      </w:tr>
      <w:tr w:rsidR="001C598C" w:rsidRPr="005A7AAB" w14:paraId="55F6F918" w14:textId="1ED91495" w:rsidTr="001C598C">
        <w:trPr>
          <w:trHeight w:val="300"/>
        </w:trPr>
        <w:tc>
          <w:tcPr>
            <w:tcW w:w="8544" w:type="dxa"/>
          </w:tcPr>
          <w:p w14:paraId="3166F5F8" w14:textId="6016A8FC" w:rsidR="001C598C" w:rsidRPr="005A7AAB" w:rsidRDefault="00106254" w:rsidP="00255C32">
            <w:pPr>
              <w:pStyle w:val="NICCYBodyText"/>
              <w:spacing w:line="240" w:lineRule="auto"/>
            </w:pPr>
            <w:r>
              <w:t xml:space="preserve">6.0 </w:t>
            </w:r>
            <w:hyperlink w:anchor="Discharge" w:history="1">
              <w:r w:rsidR="001C598C" w:rsidRPr="001C598C">
                <w:rPr>
                  <w:rStyle w:val="Hyperlink"/>
                </w:rPr>
                <w:t>Clinical Reason for Discharge</w:t>
              </w:r>
            </w:hyperlink>
            <w:r w:rsidR="001C598C" w:rsidRPr="005A7AAB">
              <w:t xml:space="preserve"> </w:t>
            </w:r>
          </w:p>
        </w:tc>
      </w:tr>
      <w:tr w:rsidR="001C598C" w:rsidRPr="005A7AAB" w14:paraId="7D4784CC" w14:textId="166C1952" w:rsidTr="001C598C">
        <w:trPr>
          <w:trHeight w:val="300"/>
        </w:trPr>
        <w:tc>
          <w:tcPr>
            <w:tcW w:w="8544" w:type="dxa"/>
          </w:tcPr>
          <w:p w14:paraId="7EBEEAED" w14:textId="797E3619" w:rsidR="001C598C" w:rsidRPr="005A7AAB" w:rsidRDefault="00106254" w:rsidP="00255C32">
            <w:pPr>
              <w:pStyle w:val="NICCYBodyText"/>
              <w:spacing w:line="240" w:lineRule="auto"/>
            </w:pPr>
            <w:r>
              <w:t xml:space="preserve">7.0 </w:t>
            </w:r>
            <w:hyperlink w:anchor="Waiting_Time" w:history="1">
              <w:r w:rsidR="001C598C" w:rsidRPr="001C598C">
                <w:rPr>
                  <w:rStyle w:val="Hyperlink"/>
                </w:rPr>
                <w:t>Waiting Time for Access to CAMHS</w:t>
              </w:r>
            </w:hyperlink>
          </w:p>
        </w:tc>
      </w:tr>
      <w:tr w:rsidR="001C598C" w:rsidRPr="005A7AAB" w14:paraId="18197277" w14:textId="3D4C1B7E" w:rsidTr="001C598C">
        <w:trPr>
          <w:trHeight w:val="287"/>
        </w:trPr>
        <w:tc>
          <w:tcPr>
            <w:tcW w:w="8544" w:type="dxa"/>
          </w:tcPr>
          <w:p w14:paraId="3BBE8C4E" w14:textId="685B44E9" w:rsidR="001C598C" w:rsidRPr="005A7AAB" w:rsidRDefault="00106254" w:rsidP="00255C32">
            <w:pPr>
              <w:pStyle w:val="NICCYBodyText"/>
              <w:spacing w:line="240" w:lineRule="auto"/>
              <w:rPr>
                <w:b/>
              </w:rPr>
            </w:pPr>
            <w:r>
              <w:t xml:space="preserve">7.1 </w:t>
            </w:r>
            <w:hyperlink w:anchor="Length_Waiting" w:history="1">
              <w:r w:rsidR="001C598C" w:rsidRPr="004276BD">
                <w:rPr>
                  <w:rStyle w:val="Hyperlink"/>
                </w:rPr>
                <w:t>Length of Time Waiting for CAMHS</w:t>
              </w:r>
            </w:hyperlink>
          </w:p>
        </w:tc>
      </w:tr>
      <w:tr w:rsidR="001C598C" w:rsidRPr="005A7AAB" w14:paraId="43E3D546" w14:textId="1D912394" w:rsidTr="001C598C">
        <w:trPr>
          <w:trHeight w:val="300"/>
        </w:trPr>
        <w:tc>
          <w:tcPr>
            <w:tcW w:w="8544" w:type="dxa"/>
          </w:tcPr>
          <w:p w14:paraId="234908D0" w14:textId="6A61022B" w:rsidR="001C598C" w:rsidRPr="005A7AAB" w:rsidRDefault="00106254" w:rsidP="00255C32">
            <w:pPr>
              <w:pStyle w:val="NICCYBodyText"/>
              <w:spacing w:line="240" w:lineRule="auto"/>
            </w:pPr>
            <w:r>
              <w:t xml:space="preserve">8.0 </w:t>
            </w:r>
            <w:hyperlink w:anchor="Prescriptions" w:history="1">
              <w:r w:rsidR="001C598C" w:rsidRPr="004276BD">
                <w:rPr>
                  <w:rStyle w:val="Hyperlink"/>
                </w:rPr>
                <w:t>Anti-depressant Prescriptions for under 18’s</w:t>
              </w:r>
            </w:hyperlink>
            <w:r w:rsidR="001C598C" w:rsidRPr="005A7AAB">
              <w:t xml:space="preserve"> </w:t>
            </w:r>
          </w:p>
        </w:tc>
      </w:tr>
      <w:tr w:rsidR="001C598C" w:rsidRPr="005A7AAB" w14:paraId="5856CCF3" w14:textId="1E919898" w:rsidTr="001C598C">
        <w:trPr>
          <w:trHeight w:val="287"/>
        </w:trPr>
        <w:tc>
          <w:tcPr>
            <w:tcW w:w="8544" w:type="dxa"/>
          </w:tcPr>
          <w:p w14:paraId="1679C3BC" w14:textId="19DB92FA" w:rsidR="001C598C" w:rsidRPr="005A7AAB" w:rsidRDefault="00106254" w:rsidP="00255C32">
            <w:pPr>
              <w:pStyle w:val="NICCYBodyText"/>
              <w:spacing w:line="240" w:lineRule="auto"/>
            </w:pPr>
            <w:r>
              <w:t xml:space="preserve">8.1 </w:t>
            </w:r>
            <w:hyperlink w:anchor="PT" w:history="1">
              <w:r w:rsidR="001C598C" w:rsidRPr="004276BD">
                <w:rPr>
                  <w:rStyle w:val="Hyperlink"/>
                </w:rPr>
                <w:t>Waiting Time for Access to Psychological Therapies</w:t>
              </w:r>
            </w:hyperlink>
            <w:r w:rsidR="001C598C" w:rsidRPr="005A7AAB">
              <w:t xml:space="preserve"> </w:t>
            </w:r>
          </w:p>
        </w:tc>
      </w:tr>
      <w:tr w:rsidR="001C598C" w:rsidRPr="005A7AAB" w14:paraId="73FEABF8" w14:textId="245DFDEB" w:rsidTr="001C598C">
        <w:trPr>
          <w:trHeight w:val="300"/>
        </w:trPr>
        <w:tc>
          <w:tcPr>
            <w:tcW w:w="8544" w:type="dxa"/>
          </w:tcPr>
          <w:p w14:paraId="15017553" w14:textId="24F30646" w:rsidR="001C598C" w:rsidRPr="005A7AAB" w:rsidRDefault="00106254" w:rsidP="00255C32">
            <w:pPr>
              <w:pStyle w:val="NICCYBodyText"/>
              <w:spacing w:line="240" w:lineRule="auto"/>
            </w:pPr>
            <w:r>
              <w:t xml:space="preserve">9.0 </w:t>
            </w:r>
            <w:hyperlink w:anchor="adult_ward" w:history="1">
              <w:r w:rsidR="001C598C" w:rsidRPr="004276BD">
                <w:rPr>
                  <w:rStyle w:val="Hyperlink"/>
                </w:rPr>
                <w:t>Under 18 admissions to adult ward</w:t>
              </w:r>
            </w:hyperlink>
          </w:p>
        </w:tc>
      </w:tr>
      <w:tr w:rsidR="001C598C" w:rsidRPr="005A7AAB" w14:paraId="18623592" w14:textId="513B8B95" w:rsidTr="001C598C">
        <w:trPr>
          <w:trHeight w:val="300"/>
        </w:trPr>
        <w:tc>
          <w:tcPr>
            <w:tcW w:w="8544" w:type="dxa"/>
          </w:tcPr>
          <w:p w14:paraId="0C18397D" w14:textId="2D69EDE3" w:rsidR="001C598C" w:rsidRPr="005A7AAB" w:rsidRDefault="00106254" w:rsidP="00255C32">
            <w:pPr>
              <w:pStyle w:val="NICCYBodyText"/>
              <w:spacing w:line="240" w:lineRule="auto"/>
            </w:pPr>
            <w:r>
              <w:t xml:space="preserve">10.0 </w:t>
            </w:r>
            <w:hyperlink w:anchor="Beechcroft" w:history="1">
              <w:r w:rsidR="001C598C" w:rsidRPr="004276BD">
                <w:rPr>
                  <w:rStyle w:val="Hyperlink"/>
                </w:rPr>
                <w:t>Beechcroft</w:t>
              </w:r>
            </w:hyperlink>
            <w:r w:rsidR="001C598C" w:rsidRPr="005A7AAB">
              <w:t xml:space="preserve"> </w:t>
            </w:r>
          </w:p>
        </w:tc>
      </w:tr>
      <w:tr w:rsidR="001C598C" w:rsidRPr="005A7AAB" w14:paraId="4DA7EF4D" w14:textId="2508D51C" w:rsidTr="001C598C">
        <w:trPr>
          <w:trHeight w:val="287"/>
        </w:trPr>
        <w:tc>
          <w:tcPr>
            <w:tcW w:w="8544" w:type="dxa"/>
          </w:tcPr>
          <w:p w14:paraId="0AADEE9F" w14:textId="4A743FC5" w:rsidR="001C598C" w:rsidRPr="00724DE8" w:rsidRDefault="00106254" w:rsidP="00255C32">
            <w:pPr>
              <w:pStyle w:val="NICCYBodyText"/>
              <w:spacing w:line="240" w:lineRule="auto"/>
              <w:rPr>
                <w:color w:val="002060"/>
              </w:rPr>
            </w:pPr>
            <w:r>
              <w:t xml:space="preserve">11.0 </w:t>
            </w:r>
            <w:r w:rsidR="00724DE8" w:rsidRPr="006F707C">
              <w:rPr>
                <w:color w:val="002060"/>
                <w:u w:val="single"/>
              </w:rPr>
              <w:t>Iveagh Centre</w:t>
            </w:r>
          </w:p>
        </w:tc>
      </w:tr>
      <w:tr w:rsidR="00724DE8" w:rsidRPr="005A7AAB" w14:paraId="2D56B720" w14:textId="77777777" w:rsidTr="001C598C">
        <w:trPr>
          <w:trHeight w:val="300"/>
        </w:trPr>
        <w:tc>
          <w:tcPr>
            <w:tcW w:w="8544" w:type="dxa"/>
          </w:tcPr>
          <w:p w14:paraId="5C29094D" w14:textId="35662B5B" w:rsidR="00724DE8" w:rsidRPr="00724DE8" w:rsidRDefault="00724DE8" w:rsidP="00255C32">
            <w:pPr>
              <w:pStyle w:val="NICCYBodyText"/>
              <w:spacing w:line="240" w:lineRule="auto"/>
              <w:rPr>
                <w:color w:val="002060"/>
              </w:rPr>
            </w:pPr>
            <w:r>
              <w:t xml:space="preserve">11.0 </w:t>
            </w:r>
            <w:r w:rsidRPr="006F707C">
              <w:rPr>
                <w:color w:val="002060"/>
                <w:u w:val="single"/>
              </w:rPr>
              <w:t>Extra Contractual Referrals</w:t>
            </w:r>
          </w:p>
        </w:tc>
      </w:tr>
      <w:tr w:rsidR="001C598C" w:rsidRPr="005A7AAB" w14:paraId="570A7B1B" w14:textId="77A21286" w:rsidTr="001C598C">
        <w:trPr>
          <w:trHeight w:val="300"/>
        </w:trPr>
        <w:tc>
          <w:tcPr>
            <w:tcW w:w="8544" w:type="dxa"/>
          </w:tcPr>
          <w:p w14:paraId="3E9436E3" w14:textId="2710F080" w:rsidR="001C598C" w:rsidRPr="005A7AAB" w:rsidRDefault="00106254" w:rsidP="00255C32">
            <w:pPr>
              <w:pStyle w:val="NICCYBodyText"/>
              <w:spacing w:line="240" w:lineRule="auto"/>
            </w:pPr>
            <w:r>
              <w:t xml:space="preserve">11.1 </w:t>
            </w:r>
            <w:hyperlink w:anchor="ECR_Age" w:history="1">
              <w:r w:rsidRPr="004276BD">
                <w:rPr>
                  <w:rStyle w:val="Hyperlink"/>
                </w:rPr>
                <w:t xml:space="preserve">ECR- </w:t>
              </w:r>
              <w:r w:rsidR="001C598C" w:rsidRPr="004276BD">
                <w:rPr>
                  <w:rStyle w:val="Hyperlink"/>
                </w:rPr>
                <w:t>Age Range &amp; Length of Admission</w:t>
              </w:r>
            </w:hyperlink>
            <w:r w:rsidR="001C598C" w:rsidRPr="005A7AAB">
              <w:t xml:space="preserve"> </w:t>
            </w:r>
          </w:p>
        </w:tc>
      </w:tr>
      <w:tr w:rsidR="00106254" w:rsidRPr="005A7AAB" w14:paraId="0AFE4662" w14:textId="77777777" w:rsidTr="001C598C">
        <w:trPr>
          <w:trHeight w:val="300"/>
        </w:trPr>
        <w:tc>
          <w:tcPr>
            <w:tcW w:w="8544" w:type="dxa"/>
          </w:tcPr>
          <w:p w14:paraId="0E0C5AA6" w14:textId="49D96A5E" w:rsidR="00106254" w:rsidRPr="00106254" w:rsidRDefault="00106254" w:rsidP="00106254">
            <w:pPr>
              <w:rPr>
                <w:rFonts w:ascii="Arial" w:eastAsiaTheme="minorEastAsia" w:hAnsi="Arial" w:cs="Arial"/>
                <w:color w:val="414042"/>
                <w:sz w:val="24"/>
                <w:szCs w:val="24"/>
              </w:rPr>
            </w:pPr>
            <w:r>
              <w:rPr>
                <w:rFonts w:ascii="Arial" w:eastAsiaTheme="minorEastAsia" w:hAnsi="Arial" w:cs="Arial"/>
                <w:color w:val="414042"/>
                <w:sz w:val="24"/>
                <w:szCs w:val="24"/>
              </w:rPr>
              <w:t xml:space="preserve">11.2 </w:t>
            </w:r>
            <w:hyperlink w:anchor="ECR_REFERRAL" w:history="1">
              <w:r w:rsidRPr="004276BD">
                <w:rPr>
                  <w:rStyle w:val="Hyperlink"/>
                  <w:rFonts w:ascii="Arial" w:eastAsiaTheme="minorEastAsia" w:hAnsi="Arial" w:cs="Arial"/>
                  <w:sz w:val="24"/>
                  <w:szCs w:val="24"/>
                </w:rPr>
                <w:t>ECR- Clinical Reason for Referral</w:t>
              </w:r>
            </w:hyperlink>
          </w:p>
        </w:tc>
      </w:tr>
      <w:tr w:rsidR="001C598C" w:rsidRPr="005A7AAB" w14:paraId="4AA11DDD" w14:textId="61A6E201" w:rsidTr="001C598C">
        <w:trPr>
          <w:trHeight w:val="300"/>
        </w:trPr>
        <w:tc>
          <w:tcPr>
            <w:tcW w:w="8544" w:type="dxa"/>
          </w:tcPr>
          <w:p w14:paraId="48219014" w14:textId="7EA5BB8D" w:rsidR="001C598C" w:rsidRPr="005A7AAB" w:rsidRDefault="00106254" w:rsidP="00255C32">
            <w:pPr>
              <w:pStyle w:val="NICCYBodyText"/>
              <w:spacing w:line="240" w:lineRule="auto"/>
            </w:pPr>
            <w:r>
              <w:t xml:space="preserve">12.0 </w:t>
            </w:r>
            <w:hyperlink w:anchor="Dataset" w:history="1">
              <w:r w:rsidR="001C598C" w:rsidRPr="004276BD">
                <w:rPr>
                  <w:rStyle w:val="Hyperlink"/>
                </w:rPr>
                <w:t>Gaps in CAMHS Dataset</w:t>
              </w:r>
            </w:hyperlink>
          </w:p>
        </w:tc>
      </w:tr>
      <w:tr w:rsidR="001C598C" w:rsidRPr="005A7AAB" w14:paraId="7E99B678" w14:textId="5D38DCD8" w:rsidTr="001C598C">
        <w:trPr>
          <w:trHeight w:val="287"/>
        </w:trPr>
        <w:tc>
          <w:tcPr>
            <w:tcW w:w="8544" w:type="dxa"/>
          </w:tcPr>
          <w:p w14:paraId="220395E2" w14:textId="5C4DD09C" w:rsidR="001C598C" w:rsidRPr="005A7AAB" w:rsidRDefault="00106254" w:rsidP="00255C32">
            <w:pPr>
              <w:pStyle w:val="NICCYBodyText"/>
              <w:spacing w:line="240" w:lineRule="auto"/>
            </w:pPr>
            <w:r>
              <w:t xml:space="preserve">13.0 </w:t>
            </w:r>
            <w:hyperlink w:anchor="conclusion" w:history="1">
              <w:r w:rsidR="001C598C" w:rsidRPr="002D24C5">
                <w:rPr>
                  <w:rStyle w:val="Hyperlink"/>
                </w:rPr>
                <w:t>Conclusion</w:t>
              </w:r>
            </w:hyperlink>
            <w:r w:rsidR="001C598C" w:rsidRPr="005A7AAB">
              <w:t xml:space="preserve"> </w:t>
            </w:r>
          </w:p>
        </w:tc>
      </w:tr>
    </w:tbl>
    <w:p w14:paraId="0B294AD6" w14:textId="24FF03C7" w:rsidR="00C26BC9" w:rsidRDefault="00C26BC9" w:rsidP="002B6266">
      <w:pPr>
        <w:pStyle w:val="NICCYBodyTest"/>
        <w:rPr>
          <w:b/>
        </w:rPr>
      </w:pPr>
    </w:p>
    <w:p w14:paraId="3E525861" w14:textId="18CCB6F1" w:rsidR="0027049C" w:rsidRPr="0097195A" w:rsidRDefault="001C598C" w:rsidP="0097195A">
      <w:pPr>
        <w:pStyle w:val="NICCYHeading"/>
        <w:rPr>
          <w:sz w:val="24"/>
          <w:szCs w:val="24"/>
        </w:rPr>
      </w:pPr>
      <w:bookmarkStart w:id="1" w:name="Definitions"/>
      <w:r>
        <w:rPr>
          <w:sz w:val="24"/>
          <w:szCs w:val="24"/>
        </w:rPr>
        <w:t xml:space="preserve">1.0 </w:t>
      </w:r>
      <w:r w:rsidR="0027049C" w:rsidRPr="0097195A">
        <w:rPr>
          <w:sz w:val="24"/>
          <w:szCs w:val="24"/>
        </w:rPr>
        <w:t>Definitions</w:t>
      </w:r>
    </w:p>
    <w:bookmarkEnd w:id="1"/>
    <w:p w14:paraId="78155082" w14:textId="77777777" w:rsidR="0027049C" w:rsidRPr="0097195A" w:rsidRDefault="0027049C" w:rsidP="002B6266">
      <w:pPr>
        <w:pStyle w:val="NICCYBodyTest"/>
        <w:rPr>
          <w:b/>
        </w:rPr>
      </w:pPr>
    </w:p>
    <w:p w14:paraId="64BE922C" w14:textId="77777777" w:rsidR="008B4D02" w:rsidRPr="008B4D02" w:rsidRDefault="008B4D02" w:rsidP="002B6266">
      <w:pPr>
        <w:pStyle w:val="NICCYBodyTest"/>
      </w:pPr>
      <w:r w:rsidRPr="008B4D02">
        <w:t xml:space="preserve">The table provides a description for titles / acronyms used within statutory CAMHS and which are referred to </w:t>
      </w:r>
      <w:r w:rsidR="003B53F2">
        <w:t>within</w:t>
      </w:r>
      <w:r w:rsidRPr="008B4D02">
        <w:t xml:space="preserve"> this paper.  </w:t>
      </w:r>
    </w:p>
    <w:p w14:paraId="7DFA8111" w14:textId="77777777" w:rsidR="008B4D02" w:rsidRPr="008B4D02" w:rsidRDefault="008B4D02" w:rsidP="002B6266">
      <w:pPr>
        <w:pStyle w:val="NICCYBodyTest"/>
      </w:pPr>
    </w:p>
    <w:p w14:paraId="0E365646" w14:textId="77777777" w:rsidR="00244238" w:rsidRPr="00ED37FC" w:rsidRDefault="00F15068" w:rsidP="004054B5">
      <w:pPr>
        <w:pStyle w:val="NICCYBodyTest"/>
        <w:shd w:val="clear" w:color="auto" w:fill="D9D9D9" w:themeFill="background1" w:themeFillShade="D9"/>
        <w:rPr>
          <w:b/>
        </w:rPr>
      </w:pPr>
      <w:r>
        <w:rPr>
          <w:b/>
        </w:rPr>
        <w:t>Child and Adolescent Mental Health Services (</w:t>
      </w:r>
      <w:r w:rsidR="00244238" w:rsidRPr="00ED37FC">
        <w:rPr>
          <w:b/>
        </w:rPr>
        <w:t>CAMHS</w:t>
      </w:r>
      <w:r>
        <w:rPr>
          <w:b/>
        </w:rPr>
        <w:t>)</w:t>
      </w:r>
      <w:r w:rsidR="00244238" w:rsidRPr="00ED37FC">
        <w:rPr>
          <w:b/>
        </w:rPr>
        <w:t xml:space="preserve"> </w:t>
      </w:r>
      <w:r w:rsidR="00BE70A9" w:rsidRPr="00ED37FC">
        <w:rPr>
          <w:b/>
        </w:rPr>
        <w:t>is the overarching service provided by HSCTs encompassing the teams detailed below:</w:t>
      </w:r>
      <w:r w:rsidR="00717168" w:rsidRPr="00ED37FC">
        <w:rPr>
          <w:rStyle w:val="FootnoteReference"/>
          <w:b/>
        </w:rPr>
        <w:footnoteReference w:id="3"/>
      </w:r>
    </w:p>
    <w:p w14:paraId="559880E3" w14:textId="77777777" w:rsidR="00717168" w:rsidRDefault="00717168" w:rsidP="004054B5">
      <w:pPr>
        <w:pStyle w:val="NICCYBodyTest"/>
        <w:shd w:val="clear" w:color="auto" w:fill="D9D9D9" w:themeFill="background1" w:themeFillShade="D9"/>
      </w:pPr>
    </w:p>
    <w:p w14:paraId="56956CEA" w14:textId="77777777" w:rsidR="00BE70A9" w:rsidRPr="00ED37FC" w:rsidRDefault="00BE70A9" w:rsidP="004054B5">
      <w:pPr>
        <w:pStyle w:val="NICCYBodyTest"/>
        <w:shd w:val="clear" w:color="auto" w:fill="D9D9D9" w:themeFill="background1" w:themeFillShade="D9"/>
        <w:rPr>
          <w:b/>
        </w:rPr>
      </w:pPr>
      <w:r w:rsidRPr="00ED37FC">
        <w:rPr>
          <w:b/>
        </w:rPr>
        <w:t xml:space="preserve">Primary Mental Health Teams (PMHT) (Step 2)- dedicated CAMHS service which involves early detection and provision of preventative support for children and families. </w:t>
      </w:r>
    </w:p>
    <w:p w14:paraId="3D802ECA" w14:textId="77777777" w:rsidR="00BE70A9" w:rsidRDefault="00BE70A9" w:rsidP="004054B5">
      <w:pPr>
        <w:pStyle w:val="NICCYBodyTest"/>
        <w:shd w:val="clear" w:color="auto" w:fill="D9D9D9" w:themeFill="background1" w:themeFillShade="D9"/>
      </w:pPr>
    </w:p>
    <w:p w14:paraId="798FD6CB" w14:textId="77777777" w:rsidR="003D0B61" w:rsidRPr="00ED37FC" w:rsidRDefault="00BE70A9" w:rsidP="004054B5">
      <w:pPr>
        <w:pStyle w:val="NICCYBodyTest"/>
        <w:shd w:val="clear" w:color="auto" w:fill="D9D9D9" w:themeFill="background1" w:themeFillShade="D9"/>
        <w:rPr>
          <w:b/>
        </w:rPr>
      </w:pPr>
      <w:r w:rsidRPr="00ED37FC">
        <w:rPr>
          <w:b/>
        </w:rPr>
        <w:t>Step 3 / Core CAMHS</w:t>
      </w:r>
      <w:r w:rsidR="003D0B61" w:rsidRPr="00ED37FC">
        <w:rPr>
          <w:b/>
        </w:rPr>
        <w:t xml:space="preserve">- </w:t>
      </w:r>
      <w:r w:rsidR="00A0561F" w:rsidRPr="00ED37FC">
        <w:rPr>
          <w:b/>
        </w:rPr>
        <w:t>Specialist community / outpatient CAMHS Teams / Clinics.</w:t>
      </w:r>
    </w:p>
    <w:p w14:paraId="1E301AAA" w14:textId="77777777" w:rsidR="00A0561F" w:rsidRPr="00ED37FC" w:rsidRDefault="00A0561F" w:rsidP="004054B5">
      <w:pPr>
        <w:pStyle w:val="NICCYBodyTest"/>
        <w:shd w:val="clear" w:color="auto" w:fill="D9D9D9" w:themeFill="background1" w:themeFillShade="D9"/>
        <w:rPr>
          <w:b/>
        </w:rPr>
      </w:pPr>
    </w:p>
    <w:p w14:paraId="367BBB68" w14:textId="77777777" w:rsidR="003D0B61" w:rsidRPr="00ED37FC" w:rsidRDefault="00BE70A9" w:rsidP="004054B5">
      <w:pPr>
        <w:pStyle w:val="NICCYBodyTest"/>
        <w:shd w:val="clear" w:color="auto" w:fill="D9D9D9" w:themeFill="background1" w:themeFillShade="D9"/>
        <w:rPr>
          <w:b/>
        </w:rPr>
      </w:pPr>
      <w:r w:rsidRPr="00ED37FC">
        <w:rPr>
          <w:b/>
        </w:rPr>
        <w:t>Eating</w:t>
      </w:r>
      <w:r w:rsidR="003D0B61" w:rsidRPr="00ED37FC">
        <w:rPr>
          <w:b/>
        </w:rPr>
        <w:t xml:space="preserve"> Disorder-specialist CAMHS team dedicated to the assessment and treatment of complex eating disorders.  </w:t>
      </w:r>
    </w:p>
    <w:p w14:paraId="43D161D8" w14:textId="77777777" w:rsidR="00A0561F" w:rsidRPr="00ED37FC" w:rsidRDefault="00A0561F" w:rsidP="004054B5">
      <w:pPr>
        <w:pStyle w:val="NICCYBodyTest"/>
        <w:shd w:val="clear" w:color="auto" w:fill="D9D9D9" w:themeFill="background1" w:themeFillShade="D9"/>
        <w:rPr>
          <w:b/>
        </w:rPr>
      </w:pPr>
    </w:p>
    <w:p w14:paraId="52A365DF" w14:textId="77777777" w:rsidR="00A0561F" w:rsidRDefault="00BE70A9" w:rsidP="004054B5">
      <w:pPr>
        <w:pStyle w:val="NICCYBodyTest"/>
        <w:shd w:val="clear" w:color="auto" w:fill="D9D9D9" w:themeFill="background1" w:themeFillShade="D9"/>
        <w:rPr>
          <w:b/>
        </w:rPr>
      </w:pPr>
      <w:r w:rsidRPr="00ED37FC">
        <w:rPr>
          <w:b/>
        </w:rPr>
        <w:t xml:space="preserve">Crisis </w:t>
      </w:r>
      <w:r w:rsidR="00A0561F" w:rsidRPr="00ED37FC">
        <w:rPr>
          <w:b/>
        </w:rPr>
        <w:t>Response Home Treatment (CRHT)</w:t>
      </w:r>
      <w:r w:rsidR="006D2141">
        <w:rPr>
          <w:b/>
        </w:rPr>
        <w:t xml:space="preserve"> or </w:t>
      </w:r>
      <w:r w:rsidR="006D2141" w:rsidRPr="00ED37FC">
        <w:rPr>
          <w:b/>
        </w:rPr>
        <w:t>Crisis</w:t>
      </w:r>
      <w:r w:rsidR="006D2141">
        <w:rPr>
          <w:b/>
        </w:rPr>
        <w:t xml:space="preserve"> Assessment Intervention Team (CAIT) </w:t>
      </w:r>
      <w:r w:rsidR="00A0561F" w:rsidRPr="00ED37FC">
        <w:rPr>
          <w:b/>
        </w:rPr>
        <w:t xml:space="preserve">dedicated to emergency / </w:t>
      </w:r>
      <w:r w:rsidR="00E00668" w:rsidRPr="00ED37FC">
        <w:rPr>
          <w:b/>
        </w:rPr>
        <w:t xml:space="preserve">next day assessment and short term intensive intervention. </w:t>
      </w:r>
      <w:r w:rsidRPr="00ED37FC">
        <w:rPr>
          <w:b/>
        </w:rPr>
        <w:t xml:space="preserve"> </w:t>
      </w:r>
    </w:p>
    <w:p w14:paraId="61880403" w14:textId="77777777" w:rsidR="00E00668" w:rsidRPr="00ED37FC" w:rsidRDefault="00E00668" w:rsidP="004054B5">
      <w:pPr>
        <w:pStyle w:val="NICCYBodyTest"/>
        <w:shd w:val="clear" w:color="auto" w:fill="D9D9D9" w:themeFill="background1" w:themeFillShade="D9"/>
        <w:rPr>
          <w:b/>
        </w:rPr>
      </w:pPr>
    </w:p>
    <w:p w14:paraId="3A0EC56D" w14:textId="30685BFC" w:rsidR="00D27BD0" w:rsidRPr="00ED37FC" w:rsidRDefault="00BE70A9" w:rsidP="004054B5">
      <w:pPr>
        <w:pStyle w:val="NICCYBodyTest"/>
        <w:shd w:val="clear" w:color="auto" w:fill="D9D9D9" w:themeFill="background1" w:themeFillShade="D9"/>
        <w:rPr>
          <w:b/>
        </w:rPr>
      </w:pPr>
      <w:r w:rsidRPr="00ED37FC">
        <w:rPr>
          <w:b/>
        </w:rPr>
        <w:t>Drug and Alcoho</w:t>
      </w:r>
      <w:r w:rsidR="00E00668" w:rsidRPr="00ED37FC">
        <w:rPr>
          <w:b/>
        </w:rPr>
        <w:t xml:space="preserve">l Mental Health Service (DAMHS)- specialist CAMHS Team dedicated to the assessment and treatment of substance misuse. </w:t>
      </w:r>
      <w:r w:rsidR="009D22B0">
        <w:rPr>
          <w:b/>
        </w:rPr>
        <w:t>Also referred to as Addiction Services.</w:t>
      </w:r>
    </w:p>
    <w:p w14:paraId="63B8B45F" w14:textId="77777777" w:rsidR="00D27BD0" w:rsidRDefault="00D27BD0" w:rsidP="004054B5">
      <w:pPr>
        <w:pStyle w:val="NICCYBodyTest"/>
        <w:shd w:val="clear" w:color="auto" w:fill="D9D9D9" w:themeFill="background1" w:themeFillShade="D9"/>
      </w:pPr>
    </w:p>
    <w:p w14:paraId="3FEC8F2E" w14:textId="050CBFB1" w:rsidR="00BE70A9" w:rsidRDefault="003B53F2" w:rsidP="004054B5">
      <w:pPr>
        <w:pStyle w:val="NICCYBodyTest"/>
        <w:shd w:val="clear" w:color="auto" w:fill="D9D9D9" w:themeFill="background1" w:themeFillShade="D9"/>
        <w:rPr>
          <w:b/>
        </w:rPr>
      </w:pPr>
      <w:r>
        <w:rPr>
          <w:b/>
        </w:rPr>
        <w:t>An Active C</w:t>
      </w:r>
      <w:r w:rsidR="00BE70A9" w:rsidRPr="00ED37FC">
        <w:rPr>
          <w:b/>
        </w:rPr>
        <w:t xml:space="preserve">lient is a child that has been seen at least once by a CAMHS professional and is deemed to be currently in receipt of treatment at a given point in time. </w:t>
      </w:r>
    </w:p>
    <w:p w14:paraId="55228FAA" w14:textId="47204E22" w:rsidR="000F7268" w:rsidRDefault="000F7268" w:rsidP="004054B5">
      <w:pPr>
        <w:pStyle w:val="NICCYBodyTest"/>
        <w:shd w:val="clear" w:color="auto" w:fill="D9D9D9" w:themeFill="background1" w:themeFillShade="D9"/>
        <w:rPr>
          <w:b/>
        </w:rPr>
      </w:pPr>
    </w:p>
    <w:p w14:paraId="3D624BCA" w14:textId="4F0906DD" w:rsidR="000F7268" w:rsidRPr="000F7268" w:rsidRDefault="000F7268" w:rsidP="000F7268">
      <w:pPr>
        <w:pStyle w:val="NICCYBodyTest"/>
        <w:shd w:val="clear" w:color="auto" w:fill="D9D9D9" w:themeFill="background1" w:themeFillShade="D9"/>
        <w:rPr>
          <w:b/>
        </w:rPr>
      </w:pPr>
      <w:r>
        <w:rPr>
          <w:b/>
        </w:rPr>
        <w:t xml:space="preserve">Global CAMHS- </w:t>
      </w:r>
      <w:r w:rsidRPr="000F7268">
        <w:rPr>
          <w:b/>
        </w:rPr>
        <w:t>Global referrals relate to all referrals received into CAMHS for Step 2, Step 3 / Core CAMHS, Eating Disorder Service, Crisis Response Home Treatment (CRHT) &amp; Drug and Alcohol Mental Health Service (DAMHS).</w:t>
      </w:r>
    </w:p>
    <w:p w14:paraId="713DBC69" w14:textId="77777777" w:rsidR="002016FC" w:rsidRDefault="002016FC" w:rsidP="00244A57">
      <w:pPr>
        <w:pStyle w:val="NICCYHeading"/>
        <w:rPr>
          <w:sz w:val="24"/>
          <w:szCs w:val="24"/>
        </w:rPr>
      </w:pPr>
    </w:p>
    <w:p w14:paraId="677A1642" w14:textId="77777777" w:rsidR="006955A6" w:rsidRDefault="00304E76" w:rsidP="006955A6">
      <w:pPr>
        <w:pStyle w:val="NICCYBodyText"/>
        <w:numPr>
          <w:ilvl w:val="0"/>
          <w:numId w:val="30"/>
        </w:numPr>
      </w:pPr>
      <w:r w:rsidRPr="00304E76">
        <w:lastRenderedPageBreak/>
        <w:t>Please note</w:t>
      </w:r>
      <w:r>
        <w:t xml:space="preserve"> that</w:t>
      </w:r>
      <w:r w:rsidRPr="00304E76">
        <w:t xml:space="preserve"> individual values </w:t>
      </w:r>
      <w:r w:rsidR="00F50D57">
        <w:t xml:space="preserve">within tables and figures </w:t>
      </w:r>
      <w:r w:rsidRPr="00304E76">
        <w:t>may not sum to column/ r</w:t>
      </w:r>
      <w:r>
        <w:t xml:space="preserve">ow totals due to suppression </w:t>
      </w:r>
      <w:r w:rsidR="0032107A">
        <w:t xml:space="preserve">of some data </w:t>
      </w:r>
      <w:r>
        <w:t xml:space="preserve">in </w:t>
      </w:r>
      <w:r w:rsidR="00C26BC9">
        <w:t>line with disclosure protocol.</w:t>
      </w:r>
      <w:r w:rsidR="006955A6" w:rsidRPr="006955A6">
        <w:t xml:space="preserve"> </w:t>
      </w:r>
    </w:p>
    <w:p w14:paraId="01F0D5EC" w14:textId="09CF9757" w:rsidR="0097195A" w:rsidRPr="006955A6" w:rsidRDefault="006955A6" w:rsidP="00244A57">
      <w:pPr>
        <w:pStyle w:val="NICCYBodyText"/>
        <w:numPr>
          <w:ilvl w:val="0"/>
          <w:numId w:val="30"/>
        </w:numPr>
      </w:pPr>
      <w:r>
        <w:t>Service level data provided to us for Belfast and SEHST is amalgamated. Belfast Trust is the provider for CAMHS to the SEHST.</w:t>
      </w:r>
    </w:p>
    <w:p w14:paraId="31C7A9A2" w14:textId="77777777" w:rsidR="003E4823" w:rsidRDefault="003E4823" w:rsidP="00244A57">
      <w:pPr>
        <w:pStyle w:val="NICCYHeading"/>
        <w:rPr>
          <w:sz w:val="24"/>
          <w:szCs w:val="24"/>
        </w:rPr>
      </w:pPr>
    </w:p>
    <w:p w14:paraId="0F4B7091" w14:textId="25C7193C" w:rsidR="0097195A" w:rsidRPr="0097195A" w:rsidRDefault="001C598C" w:rsidP="0097195A">
      <w:pPr>
        <w:pStyle w:val="NICCYHeading"/>
        <w:rPr>
          <w:sz w:val="28"/>
          <w:szCs w:val="28"/>
        </w:rPr>
      </w:pPr>
      <w:r>
        <w:rPr>
          <w:sz w:val="28"/>
          <w:szCs w:val="28"/>
        </w:rPr>
        <w:t xml:space="preserve">2.0 </w:t>
      </w:r>
      <w:r w:rsidR="0097195A" w:rsidRPr="0097195A">
        <w:rPr>
          <w:sz w:val="28"/>
          <w:szCs w:val="28"/>
        </w:rPr>
        <w:t xml:space="preserve">CAMHS Service Activity Data </w:t>
      </w:r>
    </w:p>
    <w:p w14:paraId="5C2A1623" w14:textId="77777777" w:rsidR="0097195A" w:rsidRDefault="0097195A" w:rsidP="00244A57">
      <w:pPr>
        <w:pStyle w:val="NICCYHeading"/>
        <w:rPr>
          <w:b w:val="0"/>
          <w:color w:val="414042"/>
          <w:sz w:val="24"/>
          <w:szCs w:val="24"/>
        </w:rPr>
      </w:pPr>
    </w:p>
    <w:p w14:paraId="55A014AE" w14:textId="77777777" w:rsidR="002900E8" w:rsidRDefault="00211950" w:rsidP="00244A57">
      <w:pPr>
        <w:pStyle w:val="NICCYHeading"/>
        <w:rPr>
          <w:b w:val="0"/>
          <w:color w:val="414042"/>
          <w:sz w:val="24"/>
          <w:szCs w:val="24"/>
        </w:rPr>
      </w:pPr>
      <w:r w:rsidRPr="00211950">
        <w:rPr>
          <w:rStyle w:val="NICCYBodyTextChar"/>
          <w:rFonts w:ascii="Arial" w:hAnsi="Arial" w:cs="Arial"/>
          <w:b w:val="0"/>
          <w:sz w:val="24"/>
          <w:szCs w:val="24"/>
        </w:rPr>
        <w:fldChar w:fldCharType="begin"/>
      </w:r>
      <w:r w:rsidRPr="00211950">
        <w:rPr>
          <w:rStyle w:val="NICCYBodyTextChar"/>
          <w:rFonts w:ascii="Arial" w:hAnsi="Arial" w:cs="Arial"/>
          <w:b w:val="0"/>
          <w:sz w:val="24"/>
          <w:szCs w:val="24"/>
        </w:rPr>
        <w:instrText xml:space="preserve"> REF _Ref58423470 \h  \* MERGEFORMAT </w:instrText>
      </w:r>
      <w:r w:rsidRPr="00211950">
        <w:rPr>
          <w:rStyle w:val="NICCYBodyTextChar"/>
          <w:rFonts w:ascii="Arial" w:hAnsi="Arial" w:cs="Arial"/>
          <w:b w:val="0"/>
          <w:sz w:val="24"/>
          <w:szCs w:val="24"/>
        </w:rPr>
      </w:r>
      <w:r w:rsidRPr="00211950">
        <w:rPr>
          <w:rStyle w:val="NICCYBodyTextChar"/>
          <w:rFonts w:ascii="Arial" w:hAnsi="Arial" w:cs="Arial"/>
          <w:b w:val="0"/>
          <w:sz w:val="24"/>
          <w:szCs w:val="24"/>
        </w:rPr>
        <w:fldChar w:fldCharType="separate"/>
      </w:r>
      <w:r w:rsidRPr="00211950">
        <w:rPr>
          <w:rStyle w:val="NICCYBodyTextChar"/>
          <w:rFonts w:ascii="Arial" w:hAnsi="Arial" w:cs="Arial"/>
          <w:b w:val="0"/>
          <w:sz w:val="24"/>
          <w:szCs w:val="24"/>
        </w:rPr>
        <w:t>Figure 1</w:t>
      </w:r>
      <w:r w:rsidRPr="00211950">
        <w:rPr>
          <w:rStyle w:val="NICCYBodyTextChar"/>
          <w:rFonts w:ascii="Arial" w:hAnsi="Arial" w:cs="Arial"/>
          <w:b w:val="0"/>
          <w:sz w:val="24"/>
          <w:szCs w:val="24"/>
        </w:rPr>
        <w:fldChar w:fldCharType="end"/>
      </w:r>
      <w:r w:rsidRPr="00211950">
        <w:rPr>
          <w:rStyle w:val="NICCYBodyTextChar"/>
          <w:rFonts w:ascii="Arial" w:hAnsi="Arial" w:cs="Arial"/>
          <w:b w:val="0"/>
          <w:sz w:val="24"/>
          <w:szCs w:val="24"/>
        </w:rPr>
        <w:t xml:space="preserve"> </w:t>
      </w:r>
      <w:r w:rsidR="002900E8" w:rsidRPr="002900E8">
        <w:rPr>
          <w:b w:val="0"/>
          <w:color w:val="414042"/>
          <w:sz w:val="24"/>
          <w:szCs w:val="24"/>
        </w:rPr>
        <w:t xml:space="preserve">below shows the number of </w:t>
      </w:r>
      <w:r w:rsidR="002900E8">
        <w:rPr>
          <w:b w:val="0"/>
          <w:color w:val="414042"/>
          <w:sz w:val="24"/>
          <w:szCs w:val="24"/>
        </w:rPr>
        <w:t>referrals received from CAMHS over the three-year period 2017-18 and 2019-20. It shows that referrals contin</w:t>
      </w:r>
      <w:r w:rsidR="006A03C1">
        <w:rPr>
          <w:b w:val="0"/>
          <w:color w:val="414042"/>
          <w:sz w:val="24"/>
          <w:szCs w:val="24"/>
        </w:rPr>
        <w:t>u</w:t>
      </w:r>
      <w:r w:rsidR="002900E8">
        <w:rPr>
          <w:b w:val="0"/>
          <w:color w:val="414042"/>
          <w:sz w:val="24"/>
          <w:szCs w:val="24"/>
        </w:rPr>
        <w:t xml:space="preserve">e </w:t>
      </w:r>
      <w:r w:rsidR="006A03C1">
        <w:rPr>
          <w:b w:val="0"/>
          <w:color w:val="414042"/>
          <w:sz w:val="24"/>
          <w:szCs w:val="24"/>
        </w:rPr>
        <w:t xml:space="preserve">to increase with a significant increase between 2017/8 and 2018/19 </w:t>
      </w:r>
      <w:r w:rsidR="00FA60E3">
        <w:rPr>
          <w:b w:val="0"/>
          <w:color w:val="414042"/>
          <w:sz w:val="24"/>
          <w:szCs w:val="24"/>
        </w:rPr>
        <w:t xml:space="preserve">from 13,125 to 15,395 with a </w:t>
      </w:r>
      <w:r w:rsidR="006A03C1">
        <w:rPr>
          <w:b w:val="0"/>
          <w:color w:val="414042"/>
          <w:sz w:val="24"/>
          <w:szCs w:val="24"/>
        </w:rPr>
        <w:t>levelling off between 2018/19 and 2019/20</w:t>
      </w:r>
      <w:r w:rsidR="00FA60E3">
        <w:rPr>
          <w:b w:val="0"/>
          <w:color w:val="414042"/>
          <w:sz w:val="24"/>
          <w:szCs w:val="24"/>
        </w:rPr>
        <w:t xml:space="preserve"> from 15,395 referrals to 15,057</w:t>
      </w:r>
      <w:r w:rsidR="006A03C1">
        <w:rPr>
          <w:b w:val="0"/>
          <w:color w:val="414042"/>
          <w:sz w:val="24"/>
          <w:szCs w:val="24"/>
        </w:rPr>
        <w:t>.</w:t>
      </w:r>
    </w:p>
    <w:p w14:paraId="79463A7D" w14:textId="77777777" w:rsidR="006A03C1" w:rsidRDefault="006A03C1" w:rsidP="00244A57">
      <w:pPr>
        <w:pStyle w:val="NICCYHeading"/>
        <w:rPr>
          <w:b w:val="0"/>
          <w:color w:val="414042"/>
          <w:sz w:val="24"/>
          <w:szCs w:val="24"/>
        </w:rPr>
      </w:pPr>
    </w:p>
    <w:p w14:paraId="163EC11A" w14:textId="77777777" w:rsidR="006A03C1" w:rsidRDefault="006A03C1" w:rsidP="006A03C1">
      <w:pPr>
        <w:pStyle w:val="NICCYBodyTest"/>
      </w:pPr>
      <w:r w:rsidRPr="006A03C1">
        <w:t xml:space="preserve">The rise in demand for CAMHS </w:t>
      </w:r>
      <w:r w:rsidR="00FA60E3">
        <w:t>between 2017/18 and 2018/19 has been put down to</w:t>
      </w:r>
      <w:r w:rsidRPr="006A03C1">
        <w:t xml:space="preserve"> three </w:t>
      </w:r>
      <w:r w:rsidR="00FA60E3">
        <w:t xml:space="preserve">main </w:t>
      </w:r>
      <w:r w:rsidRPr="006A03C1">
        <w:t>factors:</w:t>
      </w:r>
      <w:r w:rsidR="00FA60E3">
        <w:t xml:space="preserve"> ”</w:t>
      </w:r>
      <w:r w:rsidRPr="006A03C1">
        <w:t xml:space="preserve"> 1) the reduction over time in community and voluntary sector provision which would have provided an appropriate alternative to CAMHS; 2) greater public awareness of children and young people’s mental health generally; 3) the mental health of children and young people would seem to be getting worse rather than improving.</w:t>
      </w:r>
      <w:r w:rsidR="00FA60E3">
        <w:t>”</w:t>
      </w:r>
      <w:r w:rsidRPr="006A03C1">
        <w:rPr>
          <w:rStyle w:val="FootnoteReference"/>
        </w:rPr>
        <w:footnoteReference w:id="4"/>
      </w:r>
    </w:p>
    <w:p w14:paraId="0082C74F" w14:textId="77777777" w:rsidR="00A54371" w:rsidRDefault="00A54371" w:rsidP="002B6266">
      <w:pPr>
        <w:pStyle w:val="NICCYBodyTest"/>
      </w:pPr>
    </w:p>
    <w:p w14:paraId="3424D267" w14:textId="0BF668EF" w:rsidR="00EE428D" w:rsidRDefault="001C598C" w:rsidP="0097195A">
      <w:pPr>
        <w:pStyle w:val="NICCYHeading"/>
        <w:rPr>
          <w:sz w:val="24"/>
          <w:szCs w:val="24"/>
        </w:rPr>
      </w:pPr>
      <w:bookmarkStart w:id="2" w:name="Referrals_Received_Accepted"/>
      <w:r>
        <w:rPr>
          <w:sz w:val="24"/>
          <w:szCs w:val="24"/>
        </w:rPr>
        <w:t xml:space="preserve">2.1 </w:t>
      </w:r>
      <w:r w:rsidR="00EE428D" w:rsidRPr="0097195A">
        <w:rPr>
          <w:sz w:val="24"/>
          <w:szCs w:val="24"/>
        </w:rPr>
        <w:t>CAMHS Referral</w:t>
      </w:r>
      <w:r w:rsidR="00D20B31">
        <w:rPr>
          <w:sz w:val="24"/>
          <w:szCs w:val="24"/>
        </w:rPr>
        <w:t>s</w:t>
      </w:r>
      <w:r w:rsidR="00EE428D" w:rsidRPr="0097195A">
        <w:rPr>
          <w:sz w:val="24"/>
          <w:szCs w:val="24"/>
        </w:rPr>
        <w:t xml:space="preserve"> </w:t>
      </w:r>
      <w:r w:rsidR="005710B5" w:rsidRPr="0097195A">
        <w:rPr>
          <w:sz w:val="24"/>
          <w:szCs w:val="24"/>
        </w:rPr>
        <w:t>Received and Accepted</w:t>
      </w:r>
    </w:p>
    <w:bookmarkEnd w:id="2"/>
    <w:p w14:paraId="03A895CF" w14:textId="77777777" w:rsidR="0097195A" w:rsidRPr="0097195A" w:rsidRDefault="0097195A" w:rsidP="0097195A">
      <w:pPr>
        <w:pStyle w:val="NICCYHeading"/>
        <w:rPr>
          <w:sz w:val="24"/>
          <w:szCs w:val="24"/>
        </w:rPr>
      </w:pPr>
    </w:p>
    <w:p w14:paraId="7587E3C0" w14:textId="03BDFD39" w:rsidR="00EE428D" w:rsidRPr="00610EF8" w:rsidRDefault="00610EF8" w:rsidP="00610EF8">
      <w:pPr>
        <w:pStyle w:val="NICCYBodyText"/>
        <w:rPr>
          <w:sz w:val="20"/>
          <w:szCs w:val="20"/>
        </w:rPr>
      </w:pPr>
      <w:bookmarkStart w:id="3" w:name="_Ref58423470"/>
      <w:r w:rsidRPr="00610EF8">
        <w:rPr>
          <w:sz w:val="20"/>
          <w:szCs w:val="20"/>
        </w:rPr>
        <w:t xml:space="preserve">Figure </w:t>
      </w:r>
      <w:r w:rsidRPr="00610EF8">
        <w:rPr>
          <w:sz w:val="20"/>
          <w:szCs w:val="20"/>
        </w:rPr>
        <w:fldChar w:fldCharType="begin"/>
      </w:r>
      <w:r w:rsidRPr="00610EF8">
        <w:rPr>
          <w:sz w:val="20"/>
          <w:szCs w:val="20"/>
        </w:rPr>
        <w:instrText xml:space="preserve"> SEQ Figure \* ARABIC </w:instrText>
      </w:r>
      <w:r w:rsidRPr="00610EF8">
        <w:rPr>
          <w:sz w:val="20"/>
          <w:szCs w:val="20"/>
        </w:rPr>
        <w:fldChar w:fldCharType="separate"/>
      </w:r>
      <w:r w:rsidR="0076451B">
        <w:rPr>
          <w:noProof/>
          <w:sz w:val="20"/>
          <w:szCs w:val="20"/>
        </w:rPr>
        <w:t>1</w:t>
      </w:r>
      <w:r w:rsidRPr="00610EF8">
        <w:rPr>
          <w:sz w:val="20"/>
          <w:szCs w:val="20"/>
        </w:rPr>
        <w:fldChar w:fldCharType="end"/>
      </w:r>
      <w:bookmarkEnd w:id="3"/>
      <w:r w:rsidRPr="00610EF8">
        <w:rPr>
          <w:sz w:val="20"/>
          <w:szCs w:val="20"/>
        </w:rPr>
        <w:t>: All CAMHS Referrals Received 2017/18- 2019/20</w:t>
      </w:r>
      <w:r w:rsidR="00217989">
        <w:rPr>
          <w:sz w:val="20"/>
          <w:szCs w:val="20"/>
        </w:rPr>
        <w:t xml:space="preserve"> </w:t>
      </w:r>
    </w:p>
    <w:p w14:paraId="7939321F" w14:textId="77777777" w:rsidR="005710B5" w:rsidRDefault="005710B5" w:rsidP="00C4329B">
      <w:pPr>
        <w:pStyle w:val="NICCYSubline"/>
      </w:pPr>
      <w:r>
        <w:rPr>
          <w:noProof/>
          <w:lang w:eastAsia="en-GB"/>
        </w:rPr>
        <w:drawing>
          <wp:inline distT="0" distB="0" distL="0" distR="0" wp14:anchorId="14581827" wp14:editId="72C1EB10">
            <wp:extent cx="4764101" cy="2674175"/>
            <wp:effectExtent l="0" t="0" r="17780"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7A147A" w14:textId="77777777" w:rsidR="00C26BC9" w:rsidRDefault="00C26BC9" w:rsidP="00A567C0">
      <w:pPr>
        <w:pStyle w:val="NICCYBodyTest"/>
      </w:pPr>
    </w:p>
    <w:p w14:paraId="2244D11D" w14:textId="547DC1A1" w:rsidR="00B532D1" w:rsidRPr="00A567C0" w:rsidRDefault="00EE428D" w:rsidP="00A567C0">
      <w:pPr>
        <w:pStyle w:val="NICCYBodyTest"/>
      </w:pPr>
      <w:r>
        <w:t xml:space="preserve">In </w:t>
      </w:r>
      <w:r w:rsidR="00B532D1">
        <w:t>‘</w:t>
      </w:r>
      <w:r>
        <w:t>Still Waiting</w:t>
      </w:r>
      <w:r w:rsidR="00B532D1">
        <w:t>’</w:t>
      </w:r>
      <w:r w:rsidR="007A1EEF">
        <w:t xml:space="preserve">, </w:t>
      </w:r>
      <w:r>
        <w:t>NICCY raised c</w:t>
      </w:r>
      <w:r w:rsidR="00A567C0">
        <w:t xml:space="preserve">onsiderable concerns about the </w:t>
      </w:r>
      <w:r>
        <w:t xml:space="preserve">proportion of young people not accepted for </w:t>
      </w:r>
      <w:r w:rsidR="00A567C0">
        <w:t>Step 3 /</w:t>
      </w:r>
      <w:r w:rsidR="00C4329B">
        <w:t>Core CAMHS</w:t>
      </w:r>
      <w:r w:rsidR="00A567C0">
        <w:t xml:space="preserve">. </w:t>
      </w:r>
      <w:r w:rsidR="00B532D1" w:rsidRPr="00A567C0">
        <w:t xml:space="preserve">We reported that regionally, the percentage of referrals not accepted increased </w:t>
      </w:r>
      <w:r w:rsidR="00A567C0">
        <w:t>from</w:t>
      </w:r>
      <w:r w:rsidR="00B532D1" w:rsidRPr="00A567C0">
        <w:t xml:space="preserve"> 33% in </w:t>
      </w:r>
      <w:r w:rsidR="00A567C0" w:rsidRPr="00A567C0">
        <w:t>2013/14</w:t>
      </w:r>
      <w:r w:rsidR="00021531">
        <w:t xml:space="preserve"> to 42% in </w:t>
      </w:r>
      <w:r w:rsidR="00B532D1" w:rsidRPr="00A567C0">
        <w:t>2015</w:t>
      </w:r>
      <w:r w:rsidR="00021531">
        <w:t>/16 (page 207-210</w:t>
      </w:r>
      <w:r w:rsidR="002D1F0D">
        <w:t xml:space="preserve">), and </w:t>
      </w:r>
      <w:r w:rsidR="00417AD3">
        <w:t xml:space="preserve">the review </w:t>
      </w:r>
      <w:r w:rsidR="002D1F0D">
        <w:t>included a specific recommendation to address the reasons for this</w:t>
      </w:r>
      <w:r w:rsidR="00417AD3">
        <w:t>,</w:t>
      </w:r>
      <w:r w:rsidR="002D1F0D">
        <w:t xml:space="preserve"> to include </w:t>
      </w:r>
      <w:r w:rsidR="00417AD3">
        <w:t xml:space="preserve">addressing </w:t>
      </w:r>
      <w:r w:rsidR="002D1F0D">
        <w:t>potential problems with the referral process (Rec 3, p274).</w:t>
      </w:r>
      <w:r w:rsidR="008803A1" w:rsidRPr="00A567C0">
        <w:t xml:space="preserve">                                                                                                                                                                                                                                                                      </w:t>
      </w:r>
    </w:p>
    <w:p w14:paraId="45171722" w14:textId="77777777" w:rsidR="00B532D1" w:rsidRDefault="00B532D1" w:rsidP="006B7BFD">
      <w:pPr>
        <w:pStyle w:val="NICCYBodyTest"/>
      </w:pPr>
    </w:p>
    <w:p w14:paraId="21DF45C6" w14:textId="28FC1E85" w:rsidR="00C7739E" w:rsidRDefault="00781BCC" w:rsidP="006B7BFD">
      <w:pPr>
        <w:pStyle w:val="NICCYBodyTest"/>
      </w:pPr>
      <w:r>
        <w:t>We</w:t>
      </w:r>
      <w:r w:rsidR="00A058AB">
        <w:t xml:space="preserve"> are unable to </w:t>
      </w:r>
      <w:r>
        <w:t>provide an update on</w:t>
      </w:r>
      <w:r w:rsidR="00A058AB">
        <w:t xml:space="preserve"> non-</w:t>
      </w:r>
      <w:r w:rsidR="00944F7A">
        <w:t>acceptance</w:t>
      </w:r>
      <w:r w:rsidR="00A058AB">
        <w:t xml:space="preserve"> rates </w:t>
      </w:r>
      <w:r w:rsidR="00944F7A">
        <w:t xml:space="preserve">specifically </w:t>
      </w:r>
      <w:r w:rsidR="00A058AB">
        <w:t>for Step 3</w:t>
      </w:r>
      <w:r w:rsidR="00957E7A">
        <w:t xml:space="preserve"> /Core</w:t>
      </w:r>
      <w:r w:rsidR="00A058AB">
        <w:t xml:space="preserve"> CAMHS </w:t>
      </w:r>
      <w:r w:rsidR="0006485E">
        <w:t>for 2016/17 onwards</w:t>
      </w:r>
      <w:r w:rsidR="00957E7A">
        <w:t xml:space="preserve"> </w:t>
      </w:r>
      <w:r w:rsidR="00417AD3">
        <w:t xml:space="preserve">in this report </w:t>
      </w:r>
      <w:r w:rsidR="00957E7A">
        <w:t>as this data is no longer available</w:t>
      </w:r>
      <w:r w:rsidR="00944F7A">
        <w:t xml:space="preserve">. </w:t>
      </w:r>
      <w:r w:rsidR="00957E7A">
        <w:t>The HSCB have informed us that d</w:t>
      </w:r>
      <w:r w:rsidR="00A058AB">
        <w:t>ue to a</w:t>
      </w:r>
      <w:r w:rsidR="00EE428D">
        <w:t xml:space="preserve"> </w:t>
      </w:r>
      <w:r w:rsidR="00C4329B">
        <w:t xml:space="preserve">re-configuration of services and the introduction of a single point </w:t>
      </w:r>
      <w:r w:rsidR="00957E7A">
        <w:t>of referral mechanism</w:t>
      </w:r>
      <w:r w:rsidR="0006485E">
        <w:t xml:space="preserve">, they are </w:t>
      </w:r>
      <w:r w:rsidR="00C4329B">
        <w:t xml:space="preserve">unable to differentiate number of referrals received between </w:t>
      </w:r>
      <w:r w:rsidR="0006485E">
        <w:t xml:space="preserve">Step 2, </w:t>
      </w:r>
      <w:r w:rsidR="00C4329B">
        <w:t>Step 3</w:t>
      </w:r>
      <w:r w:rsidR="0006485E">
        <w:t xml:space="preserve"> / C</w:t>
      </w:r>
      <w:r w:rsidR="00DA0A0D">
        <w:t>ore</w:t>
      </w:r>
      <w:r w:rsidR="00C4329B">
        <w:t>, Eating</w:t>
      </w:r>
      <w:r w:rsidR="00E00668">
        <w:t xml:space="preserve"> Disorder</w:t>
      </w:r>
      <w:r w:rsidR="00C4329B">
        <w:t>, C</w:t>
      </w:r>
      <w:r w:rsidR="00C90455">
        <w:t xml:space="preserve">risis </w:t>
      </w:r>
      <w:r w:rsidR="00C4329B">
        <w:t>R</w:t>
      </w:r>
      <w:r w:rsidR="00C90455">
        <w:t xml:space="preserve">esponse </w:t>
      </w:r>
      <w:r w:rsidR="00C4329B">
        <w:t>H</w:t>
      </w:r>
      <w:r w:rsidR="00C90455">
        <w:t xml:space="preserve">ome </w:t>
      </w:r>
      <w:r w:rsidR="00C4329B">
        <w:t>T</w:t>
      </w:r>
      <w:r w:rsidR="00C90455">
        <w:t>reatment</w:t>
      </w:r>
      <w:r w:rsidR="00C4329B">
        <w:t xml:space="preserve"> </w:t>
      </w:r>
      <w:r w:rsidR="00C90455">
        <w:t xml:space="preserve">(CRHT) </w:t>
      </w:r>
      <w:r w:rsidR="00C4329B">
        <w:t>&amp; D</w:t>
      </w:r>
      <w:r w:rsidR="00C90455">
        <w:t xml:space="preserve">rug and </w:t>
      </w:r>
      <w:r w:rsidR="00C4329B">
        <w:t>A</w:t>
      </w:r>
      <w:r w:rsidR="00C90455">
        <w:t xml:space="preserve">lcohol </w:t>
      </w:r>
      <w:r w:rsidR="00C4329B">
        <w:t>M</w:t>
      </w:r>
      <w:r w:rsidR="00C90455">
        <w:t xml:space="preserve">ental </w:t>
      </w:r>
      <w:r w:rsidR="00C4329B">
        <w:t>H</w:t>
      </w:r>
      <w:r w:rsidR="00C90455">
        <w:t xml:space="preserve">ealth </w:t>
      </w:r>
      <w:r w:rsidR="00C4329B">
        <w:t>S</w:t>
      </w:r>
      <w:r w:rsidR="00C90455">
        <w:t>ervice (DAMHS)</w:t>
      </w:r>
      <w:r w:rsidR="00C4329B">
        <w:t>.</w:t>
      </w:r>
      <w:r>
        <w:t xml:space="preserve"> </w:t>
      </w:r>
    </w:p>
    <w:p w14:paraId="0D848F47" w14:textId="77777777" w:rsidR="00C7739E" w:rsidRDefault="00C7739E" w:rsidP="006B7BFD">
      <w:pPr>
        <w:pStyle w:val="NICCYBodyTest"/>
      </w:pPr>
    </w:p>
    <w:p w14:paraId="3179622C" w14:textId="428A225D" w:rsidR="00466BD3" w:rsidRDefault="00781BCC" w:rsidP="006B7BFD">
      <w:pPr>
        <w:pStyle w:val="NICCYBodyTest"/>
      </w:pPr>
      <w:r>
        <w:t xml:space="preserve">We can report on the number of </w:t>
      </w:r>
      <w:r w:rsidR="00C7739E">
        <w:t xml:space="preserve">‘global </w:t>
      </w:r>
      <w:r>
        <w:t>referrals</w:t>
      </w:r>
      <w:r w:rsidR="00C7739E">
        <w:t>’</w:t>
      </w:r>
      <w:r>
        <w:t xml:space="preserve"> </w:t>
      </w:r>
      <w:r w:rsidR="00C7739E">
        <w:t xml:space="preserve">received and </w:t>
      </w:r>
      <w:r>
        <w:t>accepted</w:t>
      </w:r>
      <w:r w:rsidR="00ED37FC">
        <w:t xml:space="preserve"> from 2017</w:t>
      </w:r>
      <w:r w:rsidR="002D1F0D">
        <w:t xml:space="preserve"> onwards. Global referrals relate</w:t>
      </w:r>
      <w:r w:rsidR="00C7739E">
        <w:t xml:space="preserve"> to all referrals received into CAMHS </w:t>
      </w:r>
      <w:r w:rsidR="00E00668">
        <w:t>for Step 2, Step 3</w:t>
      </w:r>
      <w:r w:rsidR="00417AD3">
        <w:t xml:space="preserve"> / Core CAMHS</w:t>
      </w:r>
      <w:r w:rsidR="00C7739E">
        <w:t>, Eating</w:t>
      </w:r>
      <w:r w:rsidR="00E00668">
        <w:t xml:space="preserve"> Disorder</w:t>
      </w:r>
      <w:r w:rsidR="00417AD3">
        <w:t xml:space="preserve"> Service</w:t>
      </w:r>
      <w:r w:rsidR="00C7739E">
        <w:t>, Crisis Response Home Treatment (CRHT) &amp; Drug and Alcohol Mental Health Service (DAMHS)</w:t>
      </w:r>
      <w:r w:rsidR="00DE4EC1">
        <w:t xml:space="preserve">. </w:t>
      </w:r>
      <w:r w:rsidR="00DE4EC1" w:rsidRPr="008A7A69">
        <w:t xml:space="preserve">Table </w:t>
      </w:r>
      <w:r w:rsidR="002A6A82">
        <w:t>1</w:t>
      </w:r>
      <w:r w:rsidR="00E155D1" w:rsidRPr="008A7A69">
        <w:t xml:space="preserve"> </w:t>
      </w:r>
      <w:r w:rsidR="001118FA" w:rsidRPr="008A7A69">
        <w:t>shows</w:t>
      </w:r>
      <w:r w:rsidR="001118FA">
        <w:t xml:space="preserve"> that between 2017/18 and 2019/20</w:t>
      </w:r>
      <w:r w:rsidR="00DE4EC1">
        <w:t xml:space="preserve"> the % of referrals </w:t>
      </w:r>
      <w:r w:rsidR="005710B5">
        <w:t>not-accepted ranged between 25-29</w:t>
      </w:r>
      <w:r w:rsidR="00417AD3">
        <w:t xml:space="preserve">%. </w:t>
      </w:r>
    </w:p>
    <w:p w14:paraId="661DC12B" w14:textId="77777777" w:rsidR="00417AD3" w:rsidRPr="00610EF8" w:rsidRDefault="00417AD3" w:rsidP="00610EF8">
      <w:pPr>
        <w:pStyle w:val="NICCYBodyText"/>
        <w:rPr>
          <w:sz w:val="20"/>
          <w:szCs w:val="20"/>
        </w:rPr>
      </w:pPr>
    </w:p>
    <w:p w14:paraId="1E8887A2" w14:textId="77777777" w:rsidR="00ED37FC" w:rsidRPr="00610EF8" w:rsidRDefault="00610EF8" w:rsidP="00610EF8">
      <w:pPr>
        <w:pStyle w:val="NICCYBodyText"/>
        <w:rPr>
          <w:sz w:val="20"/>
          <w:szCs w:val="20"/>
        </w:rPr>
      </w:pPr>
      <w:bookmarkStart w:id="4" w:name="_Ref58423532"/>
      <w:r w:rsidRPr="00610EF8">
        <w:rPr>
          <w:sz w:val="20"/>
          <w:szCs w:val="20"/>
        </w:rPr>
        <w:t xml:space="preserve">Table </w:t>
      </w:r>
      <w:r w:rsidRPr="00610EF8">
        <w:rPr>
          <w:sz w:val="20"/>
          <w:szCs w:val="20"/>
        </w:rPr>
        <w:fldChar w:fldCharType="begin"/>
      </w:r>
      <w:r w:rsidRPr="00610EF8">
        <w:rPr>
          <w:sz w:val="20"/>
          <w:szCs w:val="20"/>
        </w:rPr>
        <w:instrText xml:space="preserve"> SEQ Table \* ARABIC </w:instrText>
      </w:r>
      <w:r w:rsidRPr="00610EF8">
        <w:rPr>
          <w:sz w:val="20"/>
          <w:szCs w:val="20"/>
        </w:rPr>
        <w:fldChar w:fldCharType="separate"/>
      </w:r>
      <w:r w:rsidR="00652AC5">
        <w:rPr>
          <w:noProof/>
          <w:sz w:val="20"/>
          <w:szCs w:val="20"/>
        </w:rPr>
        <w:t>1</w:t>
      </w:r>
      <w:r w:rsidRPr="00610EF8">
        <w:rPr>
          <w:sz w:val="20"/>
          <w:szCs w:val="20"/>
        </w:rPr>
        <w:fldChar w:fldCharType="end"/>
      </w:r>
      <w:bookmarkEnd w:id="4"/>
      <w:r w:rsidRPr="00610EF8">
        <w:rPr>
          <w:sz w:val="20"/>
          <w:szCs w:val="20"/>
        </w:rPr>
        <w:t>: Global referrals’ received and accepted from 2017/18-2019/20</w:t>
      </w:r>
    </w:p>
    <w:tbl>
      <w:tblPr>
        <w:tblW w:w="9632" w:type="dxa"/>
        <w:tblLook w:val="04A0" w:firstRow="1" w:lastRow="0" w:firstColumn="1" w:lastColumn="0" w:noHBand="0" w:noVBand="1"/>
      </w:tblPr>
      <w:tblGrid>
        <w:gridCol w:w="1077"/>
        <w:gridCol w:w="2390"/>
        <w:gridCol w:w="1385"/>
        <w:gridCol w:w="2591"/>
        <w:gridCol w:w="2189"/>
      </w:tblGrid>
      <w:tr w:rsidR="00417AD3" w:rsidRPr="002D1F0D" w14:paraId="3CA0F5FD" w14:textId="77777777" w:rsidTr="00417AD3">
        <w:trPr>
          <w:trHeight w:val="485"/>
        </w:trPr>
        <w:tc>
          <w:tcPr>
            <w:tcW w:w="1077" w:type="dxa"/>
            <w:tcBorders>
              <w:top w:val="single" w:sz="8" w:space="0" w:color="auto"/>
              <w:left w:val="nil"/>
              <w:bottom w:val="single" w:sz="8" w:space="0" w:color="auto"/>
              <w:right w:val="nil"/>
            </w:tcBorders>
            <w:vAlign w:val="bottom"/>
          </w:tcPr>
          <w:p w14:paraId="76C812BD" w14:textId="77777777" w:rsidR="00417AD3" w:rsidRPr="002D1F0D" w:rsidRDefault="00417AD3" w:rsidP="00417AD3">
            <w:pPr>
              <w:rPr>
                <w:rFonts w:ascii="Arial" w:hAnsi="Arial" w:cs="Arial"/>
                <w:b/>
                <w:bCs/>
                <w:color w:val="000000"/>
                <w:sz w:val="22"/>
                <w:szCs w:val="22"/>
                <w:lang w:eastAsia="en-GB"/>
              </w:rPr>
            </w:pPr>
            <w:r>
              <w:rPr>
                <w:rFonts w:ascii="Arial" w:hAnsi="Arial" w:cs="Arial"/>
                <w:b/>
                <w:bCs/>
                <w:color w:val="000000"/>
                <w:sz w:val="22"/>
                <w:szCs w:val="22"/>
                <w:lang w:eastAsia="en-GB"/>
              </w:rPr>
              <w:t xml:space="preserve">Year </w:t>
            </w:r>
          </w:p>
        </w:tc>
        <w:tc>
          <w:tcPr>
            <w:tcW w:w="2390" w:type="dxa"/>
            <w:tcBorders>
              <w:top w:val="single" w:sz="8" w:space="0" w:color="auto"/>
              <w:left w:val="nil"/>
              <w:bottom w:val="single" w:sz="8" w:space="0" w:color="auto"/>
              <w:right w:val="nil"/>
            </w:tcBorders>
            <w:shd w:val="clear" w:color="auto" w:fill="auto"/>
            <w:noWrap/>
            <w:vAlign w:val="bottom"/>
            <w:hideMark/>
          </w:tcPr>
          <w:p w14:paraId="7483C209" w14:textId="77777777" w:rsidR="00417AD3" w:rsidRPr="002D1F0D" w:rsidRDefault="00417AD3" w:rsidP="009D6A39">
            <w:pPr>
              <w:jc w:val="center"/>
              <w:rPr>
                <w:rFonts w:ascii="Arial" w:hAnsi="Arial" w:cs="Arial"/>
                <w:b/>
                <w:bCs/>
                <w:color w:val="000000"/>
                <w:sz w:val="22"/>
                <w:szCs w:val="22"/>
                <w:lang w:eastAsia="en-GB"/>
              </w:rPr>
            </w:pPr>
            <w:r w:rsidRPr="002D1F0D">
              <w:rPr>
                <w:rFonts w:ascii="Arial" w:hAnsi="Arial" w:cs="Arial"/>
                <w:b/>
                <w:bCs/>
                <w:color w:val="000000"/>
                <w:sz w:val="22"/>
                <w:szCs w:val="22"/>
                <w:lang w:eastAsia="en-GB"/>
              </w:rPr>
              <w:t xml:space="preserve">Referrals Accepted </w:t>
            </w:r>
          </w:p>
        </w:tc>
        <w:tc>
          <w:tcPr>
            <w:tcW w:w="1385" w:type="dxa"/>
            <w:tcBorders>
              <w:top w:val="single" w:sz="8" w:space="0" w:color="auto"/>
              <w:left w:val="nil"/>
              <w:bottom w:val="single" w:sz="8" w:space="0" w:color="auto"/>
              <w:right w:val="nil"/>
            </w:tcBorders>
            <w:shd w:val="clear" w:color="auto" w:fill="auto"/>
            <w:noWrap/>
            <w:vAlign w:val="bottom"/>
            <w:hideMark/>
          </w:tcPr>
          <w:p w14:paraId="7DB7CA54" w14:textId="77777777" w:rsidR="00417AD3" w:rsidRPr="002D1F0D" w:rsidRDefault="00417AD3" w:rsidP="009D6A39">
            <w:pPr>
              <w:jc w:val="center"/>
              <w:rPr>
                <w:rFonts w:ascii="Arial" w:hAnsi="Arial" w:cs="Arial"/>
                <w:b/>
                <w:bCs/>
                <w:color w:val="000000"/>
                <w:sz w:val="22"/>
                <w:szCs w:val="22"/>
                <w:lang w:eastAsia="en-GB"/>
              </w:rPr>
            </w:pPr>
            <w:r w:rsidRPr="002D1F0D">
              <w:rPr>
                <w:rFonts w:ascii="Arial" w:hAnsi="Arial" w:cs="Arial"/>
                <w:b/>
                <w:bCs/>
                <w:color w:val="000000"/>
                <w:sz w:val="22"/>
                <w:szCs w:val="22"/>
                <w:lang w:eastAsia="en-GB"/>
              </w:rPr>
              <w:t xml:space="preserve">% accepted </w:t>
            </w:r>
          </w:p>
        </w:tc>
        <w:tc>
          <w:tcPr>
            <w:tcW w:w="2591" w:type="dxa"/>
            <w:tcBorders>
              <w:top w:val="single" w:sz="8" w:space="0" w:color="auto"/>
              <w:left w:val="nil"/>
              <w:bottom w:val="single" w:sz="8" w:space="0" w:color="auto"/>
              <w:right w:val="nil"/>
            </w:tcBorders>
            <w:shd w:val="clear" w:color="auto" w:fill="auto"/>
            <w:noWrap/>
            <w:vAlign w:val="bottom"/>
            <w:hideMark/>
          </w:tcPr>
          <w:p w14:paraId="0ED9EA7C" w14:textId="77777777" w:rsidR="00417AD3" w:rsidRPr="002D1F0D" w:rsidRDefault="00417AD3" w:rsidP="009D6A39">
            <w:pPr>
              <w:jc w:val="center"/>
              <w:rPr>
                <w:rFonts w:ascii="Arial" w:hAnsi="Arial" w:cs="Arial"/>
                <w:b/>
                <w:bCs/>
                <w:color w:val="000000"/>
                <w:sz w:val="22"/>
                <w:szCs w:val="22"/>
                <w:lang w:eastAsia="en-GB"/>
              </w:rPr>
            </w:pPr>
            <w:r w:rsidRPr="002D1F0D">
              <w:rPr>
                <w:rFonts w:ascii="Arial" w:hAnsi="Arial" w:cs="Arial"/>
                <w:b/>
                <w:bCs/>
                <w:color w:val="000000"/>
                <w:sz w:val="22"/>
                <w:szCs w:val="22"/>
                <w:lang w:eastAsia="en-GB"/>
              </w:rPr>
              <w:t xml:space="preserve">Referrals Not Accepted </w:t>
            </w:r>
          </w:p>
        </w:tc>
        <w:tc>
          <w:tcPr>
            <w:tcW w:w="2189" w:type="dxa"/>
            <w:tcBorders>
              <w:top w:val="single" w:sz="8" w:space="0" w:color="auto"/>
              <w:left w:val="nil"/>
              <w:bottom w:val="single" w:sz="8" w:space="0" w:color="auto"/>
              <w:right w:val="nil"/>
            </w:tcBorders>
            <w:shd w:val="clear" w:color="auto" w:fill="auto"/>
            <w:noWrap/>
            <w:vAlign w:val="bottom"/>
            <w:hideMark/>
          </w:tcPr>
          <w:p w14:paraId="59055529" w14:textId="77777777" w:rsidR="00417AD3" w:rsidRPr="002D1F0D" w:rsidRDefault="00417AD3" w:rsidP="009D6A39">
            <w:pPr>
              <w:jc w:val="center"/>
              <w:rPr>
                <w:rFonts w:ascii="Arial" w:hAnsi="Arial" w:cs="Arial"/>
                <w:b/>
                <w:bCs/>
                <w:color w:val="000000"/>
                <w:sz w:val="22"/>
                <w:szCs w:val="22"/>
                <w:lang w:eastAsia="en-GB"/>
              </w:rPr>
            </w:pPr>
            <w:r w:rsidRPr="002D1F0D">
              <w:rPr>
                <w:rFonts w:ascii="Arial" w:hAnsi="Arial" w:cs="Arial"/>
                <w:b/>
                <w:bCs/>
                <w:color w:val="000000"/>
                <w:sz w:val="22"/>
                <w:szCs w:val="22"/>
                <w:lang w:eastAsia="en-GB"/>
              </w:rPr>
              <w:t xml:space="preserve">% not accepted </w:t>
            </w:r>
          </w:p>
        </w:tc>
      </w:tr>
      <w:tr w:rsidR="00417AD3" w:rsidRPr="002D1F0D" w14:paraId="25108F8E" w14:textId="77777777" w:rsidTr="00417AD3">
        <w:trPr>
          <w:trHeight w:val="463"/>
        </w:trPr>
        <w:tc>
          <w:tcPr>
            <w:tcW w:w="1077" w:type="dxa"/>
            <w:tcBorders>
              <w:top w:val="nil"/>
              <w:left w:val="nil"/>
              <w:bottom w:val="nil"/>
              <w:right w:val="nil"/>
            </w:tcBorders>
            <w:vAlign w:val="bottom"/>
          </w:tcPr>
          <w:p w14:paraId="0609BA90" w14:textId="77777777" w:rsidR="00417AD3" w:rsidRPr="002D1F0D" w:rsidRDefault="00417AD3" w:rsidP="00417AD3">
            <w:pPr>
              <w:rPr>
                <w:rFonts w:ascii="Arial" w:hAnsi="Arial" w:cs="Arial"/>
                <w:color w:val="000000"/>
                <w:sz w:val="22"/>
                <w:szCs w:val="22"/>
                <w:lang w:eastAsia="en-GB"/>
              </w:rPr>
            </w:pPr>
            <w:r>
              <w:rPr>
                <w:rFonts w:ascii="Arial" w:hAnsi="Arial" w:cs="Arial"/>
                <w:color w:val="000000"/>
                <w:sz w:val="22"/>
                <w:szCs w:val="22"/>
                <w:lang w:eastAsia="en-GB"/>
              </w:rPr>
              <w:t>2017/18</w:t>
            </w:r>
          </w:p>
        </w:tc>
        <w:tc>
          <w:tcPr>
            <w:tcW w:w="2390" w:type="dxa"/>
            <w:tcBorders>
              <w:top w:val="nil"/>
              <w:left w:val="nil"/>
              <w:bottom w:val="nil"/>
              <w:right w:val="nil"/>
            </w:tcBorders>
            <w:shd w:val="clear" w:color="auto" w:fill="auto"/>
            <w:noWrap/>
            <w:vAlign w:val="bottom"/>
            <w:hideMark/>
          </w:tcPr>
          <w:p w14:paraId="3E46DD03"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9852</w:t>
            </w:r>
          </w:p>
        </w:tc>
        <w:tc>
          <w:tcPr>
            <w:tcW w:w="1385" w:type="dxa"/>
            <w:tcBorders>
              <w:top w:val="nil"/>
              <w:left w:val="nil"/>
              <w:bottom w:val="nil"/>
              <w:right w:val="nil"/>
            </w:tcBorders>
            <w:shd w:val="clear" w:color="auto" w:fill="auto"/>
            <w:noWrap/>
            <w:vAlign w:val="bottom"/>
            <w:hideMark/>
          </w:tcPr>
          <w:p w14:paraId="3F99867E"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75</w:t>
            </w:r>
          </w:p>
        </w:tc>
        <w:tc>
          <w:tcPr>
            <w:tcW w:w="2591" w:type="dxa"/>
            <w:tcBorders>
              <w:top w:val="nil"/>
              <w:left w:val="nil"/>
              <w:bottom w:val="nil"/>
              <w:right w:val="nil"/>
            </w:tcBorders>
            <w:shd w:val="clear" w:color="auto" w:fill="auto"/>
            <w:noWrap/>
            <w:vAlign w:val="bottom"/>
            <w:hideMark/>
          </w:tcPr>
          <w:p w14:paraId="7FC977C5"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3273</w:t>
            </w:r>
          </w:p>
        </w:tc>
        <w:tc>
          <w:tcPr>
            <w:tcW w:w="2189" w:type="dxa"/>
            <w:tcBorders>
              <w:top w:val="nil"/>
              <w:left w:val="nil"/>
              <w:bottom w:val="nil"/>
              <w:right w:val="nil"/>
            </w:tcBorders>
            <w:shd w:val="clear" w:color="auto" w:fill="auto"/>
            <w:noWrap/>
            <w:vAlign w:val="bottom"/>
            <w:hideMark/>
          </w:tcPr>
          <w:p w14:paraId="6F04C543"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25</w:t>
            </w:r>
          </w:p>
        </w:tc>
      </w:tr>
      <w:tr w:rsidR="00417AD3" w:rsidRPr="002D1F0D" w14:paraId="37785304" w14:textId="77777777" w:rsidTr="00417AD3">
        <w:trPr>
          <w:trHeight w:val="463"/>
        </w:trPr>
        <w:tc>
          <w:tcPr>
            <w:tcW w:w="1077" w:type="dxa"/>
            <w:tcBorders>
              <w:top w:val="nil"/>
              <w:left w:val="nil"/>
              <w:bottom w:val="nil"/>
              <w:right w:val="nil"/>
            </w:tcBorders>
            <w:vAlign w:val="bottom"/>
          </w:tcPr>
          <w:p w14:paraId="076009F0" w14:textId="77777777" w:rsidR="00417AD3" w:rsidRPr="002D1F0D" w:rsidRDefault="00417AD3" w:rsidP="00417AD3">
            <w:pPr>
              <w:rPr>
                <w:rFonts w:ascii="Arial" w:hAnsi="Arial" w:cs="Arial"/>
                <w:color w:val="000000"/>
                <w:sz w:val="22"/>
                <w:szCs w:val="22"/>
                <w:lang w:eastAsia="en-GB"/>
              </w:rPr>
            </w:pPr>
            <w:r>
              <w:rPr>
                <w:rFonts w:ascii="Arial" w:hAnsi="Arial" w:cs="Arial"/>
                <w:color w:val="000000"/>
                <w:sz w:val="22"/>
                <w:szCs w:val="22"/>
                <w:lang w:eastAsia="en-GB"/>
              </w:rPr>
              <w:t>2018/19</w:t>
            </w:r>
          </w:p>
        </w:tc>
        <w:tc>
          <w:tcPr>
            <w:tcW w:w="2390" w:type="dxa"/>
            <w:tcBorders>
              <w:top w:val="nil"/>
              <w:left w:val="nil"/>
              <w:bottom w:val="nil"/>
              <w:right w:val="nil"/>
            </w:tcBorders>
            <w:shd w:val="clear" w:color="auto" w:fill="auto"/>
            <w:noWrap/>
            <w:vAlign w:val="bottom"/>
            <w:hideMark/>
          </w:tcPr>
          <w:p w14:paraId="0A69FD61"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11903</w:t>
            </w:r>
          </w:p>
        </w:tc>
        <w:tc>
          <w:tcPr>
            <w:tcW w:w="1385" w:type="dxa"/>
            <w:tcBorders>
              <w:top w:val="nil"/>
              <w:left w:val="nil"/>
              <w:bottom w:val="nil"/>
              <w:right w:val="nil"/>
            </w:tcBorders>
            <w:shd w:val="clear" w:color="auto" w:fill="auto"/>
            <w:noWrap/>
            <w:vAlign w:val="bottom"/>
            <w:hideMark/>
          </w:tcPr>
          <w:p w14:paraId="1F2A26C4"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77</w:t>
            </w:r>
          </w:p>
        </w:tc>
        <w:tc>
          <w:tcPr>
            <w:tcW w:w="2591" w:type="dxa"/>
            <w:tcBorders>
              <w:top w:val="nil"/>
              <w:left w:val="nil"/>
              <w:bottom w:val="nil"/>
              <w:right w:val="nil"/>
            </w:tcBorders>
            <w:shd w:val="clear" w:color="auto" w:fill="auto"/>
            <w:noWrap/>
            <w:vAlign w:val="bottom"/>
            <w:hideMark/>
          </w:tcPr>
          <w:p w14:paraId="2F1DED58"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3492</w:t>
            </w:r>
          </w:p>
        </w:tc>
        <w:tc>
          <w:tcPr>
            <w:tcW w:w="2189" w:type="dxa"/>
            <w:tcBorders>
              <w:top w:val="nil"/>
              <w:left w:val="nil"/>
              <w:bottom w:val="nil"/>
              <w:right w:val="nil"/>
            </w:tcBorders>
            <w:shd w:val="clear" w:color="auto" w:fill="auto"/>
            <w:noWrap/>
            <w:vAlign w:val="bottom"/>
            <w:hideMark/>
          </w:tcPr>
          <w:p w14:paraId="2A270F07"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23</w:t>
            </w:r>
          </w:p>
        </w:tc>
      </w:tr>
      <w:tr w:rsidR="00417AD3" w:rsidRPr="002D1F0D" w14:paraId="093995B1" w14:textId="77777777" w:rsidTr="00417AD3">
        <w:trPr>
          <w:trHeight w:val="485"/>
        </w:trPr>
        <w:tc>
          <w:tcPr>
            <w:tcW w:w="1077" w:type="dxa"/>
            <w:tcBorders>
              <w:top w:val="nil"/>
              <w:left w:val="nil"/>
              <w:bottom w:val="single" w:sz="8" w:space="0" w:color="auto"/>
              <w:right w:val="nil"/>
            </w:tcBorders>
            <w:vAlign w:val="bottom"/>
          </w:tcPr>
          <w:p w14:paraId="1E158145" w14:textId="77777777" w:rsidR="00417AD3" w:rsidRPr="002D1F0D" w:rsidRDefault="00417AD3" w:rsidP="00417AD3">
            <w:pPr>
              <w:rPr>
                <w:rFonts w:ascii="Arial" w:hAnsi="Arial" w:cs="Arial"/>
                <w:color w:val="000000"/>
                <w:sz w:val="22"/>
                <w:szCs w:val="22"/>
                <w:lang w:eastAsia="en-GB"/>
              </w:rPr>
            </w:pPr>
            <w:r>
              <w:rPr>
                <w:rFonts w:ascii="Arial" w:hAnsi="Arial" w:cs="Arial"/>
                <w:color w:val="000000"/>
                <w:sz w:val="22"/>
                <w:szCs w:val="22"/>
                <w:lang w:eastAsia="en-GB"/>
              </w:rPr>
              <w:t>2019/20</w:t>
            </w:r>
          </w:p>
        </w:tc>
        <w:tc>
          <w:tcPr>
            <w:tcW w:w="2390" w:type="dxa"/>
            <w:tcBorders>
              <w:top w:val="nil"/>
              <w:left w:val="nil"/>
              <w:bottom w:val="single" w:sz="8" w:space="0" w:color="auto"/>
              <w:right w:val="nil"/>
            </w:tcBorders>
            <w:shd w:val="clear" w:color="auto" w:fill="auto"/>
            <w:noWrap/>
            <w:vAlign w:val="bottom"/>
            <w:hideMark/>
          </w:tcPr>
          <w:p w14:paraId="3A0CEC1D"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10744</w:t>
            </w:r>
          </w:p>
        </w:tc>
        <w:tc>
          <w:tcPr>
            <w:tcW w:w="1385" w:type="dxa"/>
            <w:tcBorders>
              <w:top w:val="nil"/>
              <w:left w:val="nil"/>
              <w:bottom w:val="single" w:sz="8" w:space="0" w:color="auto"/>
              <w:right w:val="nil"/>
            </w:tcBorders>
            <w:shd w:val="clear" w:color="auto" w:fill="auto"/>
            <w:noWrap/>
            <w:vAlign w:val="bottom"/>
            <w:hideMark/>
          </w:tcPr>
          <w:p w14:paraId="1CCAE948"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71</w:t>
            </w:r>
          </w:p>
        </w:tc>
        <w:tc>
          <w:tcPr>
            <w:tcW w:w="2591" w:type="dxa"/>
            <w:tcBorders>
              <w:top w:val="nil"/>
              <w:left w:val="nil"/>
              <w:bottom w:val="single" w:sz="8" w:space="0" w:color="auto"/>
              <w:right w:val="nil"/>
            </w:tcBorders>
            <w:shd w:val="clear" w:color="auto" w:fill="auto"/>
            <w:noWrap/>
            <w:vAlign w:val="bottom"/>
            <w:hideMark/>
          </w:tcPr>
          <w:p w14:paraId="2F643358"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4313</w:t>
            </w:r>
          </w:p>
        </w:tc>
        <w:tc>
          <w:tcPr>
            <w:tcW w:w="2189" w:type="dxa"/>
            <w:tcBorders>
              <w:top w:val="nil"/>
              <w:left w:val="nil"/>
              <w:bottom w:val="single" w:sz="8" w:space="0" w:color="auto"/>
              <w:right w:val="nil"/>
            </w:tcBorders>
            <w:shd w:val="clear" w:color="auto" w:fill="auto"/>
            <w:noWrap/>
            <w:vAlign w:val="bottom"/>
            <w:hideMark/>
          </w:tcPr>
          <w:p w14:paraId="321275AF" w14:textId="77777777" w:rsidR="00417AD3" w:rsidRPr="002D1F0D" w:rsidRDefault="00417AD3" w:rsidP="009D6A39">
            <w:pPr>
              <w:jc w:val="center"/>
              <w:rPr>
                <w:rFonts w:ascii="Arial" w:hAnsi="Arial" w:cs="Arial"/>
                <w:color w:val="000000"/>
                <w:sz w:val="22"/>
                <w:szCs w:val="22"/>
                <w:lang w:eastAsia="en-GB"/>
              </w:rPr>
            </w:pPr>
            <w:r w:rsidRPr="002D1F0D">
              <w:rPr>
                <w:rFonts w:ascii="Arial" w:hAnsi="Arial" w:cs="Arial"/>
                <w:color w:val="000000"/>
                <w:sz w:val="22"/>
                <w:szCs w:val="22"/>
                <w:lang w:eastAsia="en-GB"/>
              </w:rPr>
              <w:t>29</w:t>
            </w:r>
          </w:p>
        </w:tc>
      </w:tr>
    </w:tbl>
    <w:p w14:paraId="013055FC" w14:textId="48DCD730" w:rsidR="00ED37FC" w:rsidRPr="00E80195" w:rsidRDefault="00E80195" w:rsidP="006B7BFD">
      <w:pPr>
        <w:pStyle w:val="NICCYBodyTest"/>
        <w:rPr>
          <w:sz w:val="20"/>
          <w:szCs w:val="20"/>
        </w:rPr>
      </w:pPr>
      <w:r w:rsidRPr="00E80195">
        <w:rPr>
          <w:sz w:val="20"/>
          <w:szCs w:val="20"/>
        </w:rPr>
        <w:t xml:space="preserve">Nb. </w:t>
      </w:r>
      <w:r>
        <w:rPr>
          <w:sz w:val="20"/>
          <w:szCs w:val="20"/>
        </w:rPr>
        <w:t xml:space="preserve">Figures include </w:t>
      </w:r>
      <w:r w:rsidRPr="00E80195">
        <w:rPr>
          <w:sz w:val="20"/>
          <w:szCs w:val="20"/>
        </w:rPr>
        <w:t>Step 2, Step 3</w:t>
      </w:r>
      <w:r w:rsidR="00B80D34">
        <w:rPr>
          <w:sz w:val="20"/>
          <w:szCs w:val="20"/>
        </w:rPr>
        <w:t xml:space="preserve"> (core)</w:t>
      </w:r>
      <w:r w:rsidRPr="00E80195">
        <w:rPr>
          <w:sz w:val="20"/>
          <w:szCs w:val="20"/>
        </w:rPr>
        <w:t>, Eating Disorders,</w:t>
      </w:r>
      <w:r>
        <w:rPr>
          <w:sz w:val="20"/>
          <w:szCs w:val="20"/>
        </w:rPr>
        <w:t xml:space="preserve"> Crisis and </w:t>
      </w:r>
      <w:r w:rsidR="009D22B0">
        <w:rPr>
          <w:sz w:val="20"/>
          <w:szCs w:val="20"/>
        </w:rPr>
        <w:t>DAMHS</w:t>
      </w:r>
      <w:r>
        <w:rPr>
          <w:sz w:val="20"/>
          <w:szCs w:val="20"/>
        </w:rPr>
        <w:t xml:space="preserve"> services.</w:t>
      </w:r>
    </w:p>
    <w:p w14:paraId="365F5E3E" w14:textId="77777777" w:rsidR="00802B1F" w:rsidRDefault="00466BD3" w:rsidP="00802B1F">
      <w:pPr>
        <w:pStyle w:val="NICCYBodyTest"/>
      </w:pPr>
      <w:r>
        <w:t xml:space="preserve">                                                                                                                                                                                                                                                                                                                                                                                                                                                                                                                                                                                                                                                                                                                                                                                                                                                                                                                                                                                                            </w:t>
      </w:r>
    </w:p>
    <w:p w14:paraId="03AF451F" w14:textId="77777777" w:rsidR="00802B1F" w:rsidRDefault="00417AD3" w:rsidP="00802B1F">
      <w:pPr>
        <w:pStyle w:val="NICCYBodyTest"/>
      </w:pPr>
      <w:r>
        <w:t xml:space="preserve">The data shows that there </w:t>
      </w:r>
      <w:r w:rsidR="00802B1F">
        <w:t xml:space="preserve">are a significant number of young people </w:t>
      </w:r>
      <w:r>
        <w:t xml:space="preserve">referred to CAMHS </w:t>
      </w:r>
      <w:r w:rsidR="00802B1F">
        <w:t>for whom CAMHS is not deeme</w:t>
      </w:r>
      <w:r w:rsidR="00E155D1">
        <w:t>d appropriate and therefore</w:t>
      </w:r>
      <w:r w:rsidR="00802B1F">
        <w:t xml:space="preserve"> req</w:t>
      </w:r>
      <w:r w:rsidR="009468D9">
        <w:t>uire other forms of support.</w:t>
      </w:r>
      <w:r w:rsidR="00E155D1">
        <w:t xml:space="preserve"> </w:t>
      </w:r>
    </w:p>
    <w:p w14:paraId="0290B280" w14:textId="371C3EFF" w:rsidR="00524BB9" w:rsidRDefault="00620CBA" w:rsidP="006B7BFD">
      <w:pPr>
        <w:pStyle w:val="NICCYBodyTest"/>
      </w:pPr>
      <w:r>
        <w:t xml:space="preserve">The Still Waiting Review </w:t>
      </w:r>
      <w:r w:rsidR="002A0370">
        <w:t xml:space="preserve">also </w:t>
      </w:r>
      <w:r>
        <w:t>highlighted significant variation in acceptance rates for Step 3/ Core CAMHS across HSCTs during 2013/14 and 2015/16</w:t>
      </w:r>
      <w:r w:rsidR="00D20B31">
        <w:t>.</w:t>
      </w:r>
      <w:r>
        <w:t xml:space="preserve"> </w:t>
      </w:r>
      <w:r w:rsidR="00D20B31">
        <w:t>A</w:t>
      </w:r>
      <w:r>
        <w:t>lthough we can no longer extrapolate comparable data for future years for this specific service, a</w:t>
      </w:r>
      <w:r w:rsidR="001F4D71">
        <w:t xml:space="preserve"> review of </w:t>
      </w:r>
      <w:r>
        <w:t>all (</w:t>
      </w:r>
      <w:r w:rsidR="001F4D71">
        <w:t>global</w:t>
      </w:r>
      <w:r>
        <w:t>)</w:t>
      </w:r>
      <w:r w:rsidR="001F4D71">
        <w:t xml:space="preserve"> referral acceptance rates shows </w:t>
      </w:r>
      <w:r w:rsidR="00BF7FB7">
        <w:t xml:space="preserve">variation in the % of referrals accepted across HSCTs. For example, in 2019/20 the Belfast and South Eastern Trust had an acceptance </w:t>
      </w:r>
      <w:r w:rsidR="00BF7FB7">
        <w:lastRenderedPageBreak/>
        <w:t xml:space="preserve">rate of 63% compared to 83% acceptance in the Western Trust </w:t>
      </w:r>
      <w:r w:rsidR="00524BB9">
        <w:t xml:space="preserve">(regional average, 71% </w:t>
      </w:r>
      <w:r w:rsidR="002A6A82">
        <w:t>Table 2</w:t>
      </w:r>
      <w:r w:rsidR="00BF7FB7" w:rsidRPr="00524BB9">
        <w:t>)</w:t>
      </w:r>
    </w:p>
    <w:p w14:paraId="24002E0B" w14:textId="670D98D3" w:rsidR="00C26BC9" w:rsidRDefault="00C26BC9" w:rsidP="006B7BFD">
      <w:pPr>
        <w:pStyle w:val="NICCYBodyTest"/>
      </w:pPr>
    </w:p>
    <w:p w14:paraId="0FACD2BD" w14:textId="77777777" w:rsidR="00CB077B" w:rsidRDefault="00CB077B" w:rsidP="006B7BFD">
      <w:pPr>
        <w:pStyle w:val="NICCYBodyTest"/>
      </w:pPr>
    </w:p>
    <w:p w14:paraId="041C7AD2" w14:textId="77777777" w:rsidR="00F51A0F" w:rsidRPr="00F51A0F" w:rsidRDefault="00F51A0F" w:rsidP="00F51A0F">
      <w:pPr>
        <w:pStyle w:val="NICCYBodyText"/>
        <w:rPr>
          <w:sz w:val="20"/>
          <w:szCs w:val="20"/>
        </w:rPr>
      </w:pPr>
      <w:r w:rsidRPr="00F51A0F">
        <w:rPr>
          <w:sz w:val="20"/>
          <w:szCs w:val="20"/>
        </w:rPr>
        <w:t xml:space="preserve">Table </w:t>
      </w:r>
      <w:r w:rsidRPr="00F51A0F">
        <w:rPr>
          <w:sz w:val="20"/>
          <w:szCs w:val="20"/>
        </w:rPr>
        <w:fldChar w:fldCharType="begin"/>
      </w:r>
      <w:r w:rsidRPr="00F51A0F">
        <w:rPr>
          <w:sz w:val="20"/>
          <w:szCs w:val="20"/>
        </w:rPr>
        <w:instrText xml:space="preserve"> SEQ Table \* ARABIC </w:instrText>
      </w:r>
      <w:r w:rsidRPr="00F51A0F">
        <w:rPr>
          <w:sz w:val="20"/>
          <w:szCs w:val="20"/>
        </w:rPr>
        <w:fldChar w:fldCharType="separate"/>
      </w:r>
      <w:r w:rsidR="00652AC5">
        <w:rPr>
          <w:noProof/>
          <w:sz w:val="20"/>
          <w:szCs w:val="20"/>
        </w:rPr>
        <w:t>2</w:t>
      </w:r>
      <w:r w:rsidRPr="00F51A0F">
        <w:rPr>
          <w:sz w:val="20"/>
          <w:szCs w:val="20"/>
        </w:rPr>
        <w:fldChar w:fldCharType="end"/>
      </w:r>
      <w:r w:rsidRPr="00F51A0F">
        <w:rPr>
          <w:sz w:val="20"/>
          <w:szCs w:val="20"/>
        </w:rPr>
        <w:t>: % Global Referrals Accepted by HSCT for period 2017/18- 2019/20</w:t>
      </w:r>
    </w:p>
    <w:tbl>
      <w:tblPr>
        <w:tblW w:w="9556" w:type="dxa"/>
        <w:tblLook w:val="04A0" w:firstRow="1" w:lastRow="0" w:firstColumn="1" w:lastColumn="0" w:noHBand="0" w:noVBand="1"/>
      </w:tblPr>
      <w:tblGrid>
        <w:gridCol w:w="6520"/>
        <w:gridCol w:w="1012"/>
        <w:gridCol w:w="1012"/>
        <w:gridCol w:w="1012"/>
      </w:tblGrid>
      <w:tr w:rsidR="00FC00FC" w:rsidRPr="00FC00FC" w14:paraId="77C78663" w14:textId="77777777" w:rsidTr="00FC00FC">
        <w:trPr>
          <w:trHeight w:val="315"/>
        </w:trPr>
        <w:tc>
          <w:tcPr>
            <w:tcW w:w="6520" w:type="dxa"/>
            <w:tcBorders>
              <w:top w:val="single" w:sz="8" w:space="0" w:color="auto"/>
              <w:left w:val="nil"/>
              <w:bottom w:val="single" w:sz="8" w:space="0" w:color="auto"/>
              <w:right w:val="nil"/>
            </w:tcBorders>
            <w:shd w:val="clear" w:color="auto" w:fill="auto"/>
            <w:noWrap/>
            <w:vAlign w:val="bottom"/>
            <w:hideMark/>
          </w:tcPr>
          <w:p w14:paraId="53A0851C" w14:textId="77777777" w:rsidR="00FC00FC" w:rsidRPr="00FC00FC" w:rsidRDefault="00FC00FC" w:rsidP="00FC00FC">
            <w:pPr>
              <w:rPr>
                <w:rFonts w:ascii="Arial" w:hAnsi="Arial" w:cs="Arial"/>
                <w:b/>
                <w:bCs/>
                <w:color w:val="000000"/>
                <w:sz w:val="22"/>
                <w:szCs w:val="22"/>
                <w:lang w:eastAsia="en-GB"/>
              </w:rPr>
            </w:pPr>
            <w:r w:rsidRPr="00FC00FC">
              <w:rPr>
                <w:rFonts w:ascii="Arial" w:hAnsi="Arial" w:cs="Arial"/>
                <w:b/>
                <w:bCs/>
                <w:color w:val="000000"/>
                <w:sz w:val="22"/>
                <w:szCs w:val="22"/>
                <w:lang w:eastAsia="en-GB"/>
              </w:rPr>
              <w:t> </w:t>
            </w:r>
          </w:p>
        </w:tc>
        <w:tc>
          <w:tcPr>
            <w:tcW w:w="1012" w:type="dxa"/>
            <w:tcBorders>
              <w:top w:val="single" w:sz="8" w:space="0" w:color="auto"/>
              <w:left w:val="nil"/>
              <w:bottom w:val="single" w:sz="8" w:space="0" w:color="auto"/>
              <w:right w:val="nil"/>
            </w:tcBorders>
            <w:shd w:val="clear" w:color="auto" w:fill="auto"/>
            <w:noWrap/>
            <w:vAlign w:val="bottom"/>
            <w:hideMark/>
          </w:tcPr>
          <w:p w14:paraId="501F6432" w14:textId="77777777" w:rsidR="00FC00FC" w:rsidRPr="00FC00FC" w:rsidRDefault="00FC00FC" w:rsidP="00FC00FC">
            <w:pPr>
              <w:rPr>
                <w:rFonts w:ascii="Arial" w:hAnsi="Arial" w:cs="Arial"/>
                <w:b/>
                <w:bCs/>
                <w:color w:val="000000"/>
                <w:sz w:val="22"/>
                <w:szCs w:val="22"/>
                <w:lang w:eastAsia="en-GB"/>
              </w:rPr>
            </w:pPr>
            <w:r w:rsidRPr="00FC00FC">
              <w:rPr>
                <w:rFonts w:ascii="Arial" w:hAnsi="Arial" w:cs="Arial"/>
                <w:b/>
                <w:bCs/>
                <w:color w:val="000000"/>
                <w:sz w:val="22"/>
                <w:szCs w:val="22"/>
                <w:lang w:eastAsia="en-GB"/>
              </w:rPr>
              <w:t>2017/18</w:t>
            </w:r>
          </w:p>
        </w:tc>
        <w:tc>
          <w:tcPr>
            <w:tcW w:w="1012" w:type="dxa"/>
            <w:tcBorders>
              <w:top w:val="single" w:sz="8" w:space="0" w:color="auto"/>
              <w:left w:val="nil"/>
              <w:bottom w:val="single" w:sz="8" w:space="0" w:color="auto"/>
              <w:right w:val="nil"/>
            </w:tcBorders>
            <w:shd w:val="clear" w:color="auto" w:fill="auto"/>
            <w:noWrap/>
            <w:vAlign w:val="bottom"/>
            <w:hideMark/>
          </w:tcPr>
          <w:p w14:paraId="5F53A555" w14:textId="77777777" w:rsidR="00FC00FC" w:rsidRPr="00FC00FC" w:rsidRDefault="00FC00FC" w:rsidP="00FC00FC">
            <w:pPr>
              <w:rPr>
                <w:rFonts w:ascii="Arial" w:hAnsi="Arial" w:cs="Arial"/>
                <w:b/>
                <w:bCs/>
                <w:color w:val="000000"/>
                <w:sz w:val="22"/>
                <w:szCs w:val="22"/>
                <w:lang w:eastAsia="en-GB"/>
              </w:rPr>
            </w:pPr>
            <w:r w:rsidRPr="00FC00FC">
              <w:rPr>
                <w:rFonts w:ascii="Arial" w:hAnsi="Arial" w:cs="Arial"/>
                <w:b/>
                <w:bCs/>
                <w:color w:val="000000"/>
                <w:sz w:val="22"/>
                <w:szCs w:val="22"/>
                <w:lang w:eastAsia="en-GB"/>
              </w:rPr>
              <w:t>2018/19</w:t>
            </w:r>
          </w:p>
        </w:tc>
        <w:tc>
          <w:tcPr>
            <w:tcW w:w="1012" w:type="dxa"/>
            <w:tcBorders>
              <w:top w:val="single" w:sz="8" w:space="0" w:color="auto"/>
              <w:left w:val="nil"/>
              <w:bottom w:val="single" w:sz="8" w:space="0" w:color="auto"/>
              <w:right w:val="nil"/>
            </w:tcBorders>
            <w:shd w:val="clear" w:color="auto" w:fill="auto"/>
            <w:noWrap/>
            <w:vAlign w:val="bottom"/>
            <w:hideMark/>
          </w:tcPr>
          <w:p w14:paraId="26FA9F8C" w14:textId="77777777" w:rsidR="00FC00FC" w:rsidRPr="00FC00FC" w:rsidRDefault="00FC00FC" w:rsidP="00FC00FC">
            <w:pPr>
              <w:rPr>
                <w:rFonts w:ascii="Arial" w:hAnsi="Arial" w:cs="Arial"/>
                <w:b/>
                <w:bCs/>
                <w:color w:val="000000"/>
                <w:sz w:val="22"/>
                <w:szCs w:val="22"/>
                <w:lang w:eastAsia="en-GB"/>
              </w:rPr>
            </w:pPr>
            <w:r w:rsidRPr="00FC00FC">
              <w:rPr>
                <w:rFonts w:ascii="Arial" w:hAnsi="Arial" w:cs="Arial"/>
                <w:b/>
                <w:bCs/>
                <w:color w:val="000000"/>
                <w:sz w:val="22"/>
                <w:szCs w:val="22"/>
                <w:lang w:eastAsia="en-GB"/>
              </w:rPr>
              <w:t>2019/20</w:t>
            </w:r>
          </w:p>
        </w:tc>
      </w:tr>
      <w:tr w:rsidR="00FC00FC" w:rsidRPr="00FC00FC" w14:paraId="123ACA8A" w14:textId="77777777" w:rsidTr="00FC00FC">
        <w:trPr>
          <w:trHeight w:val="300"/>
        </w:trPr>
        <w:tc>
          <w:tcPr>
            <w:tcW w:w="6520" w:type="dxa"/>
            <w:tcBorders>
              <w:top w:val="nil"/>
              <w:left w:val="nil"/>
              <w:bottom w:val="nil"/>
              <w:right w:val="nil"/>
            </w:tcBorders>
            <w:shd w:val="clear" w:color="auto" w:fill="auto"/>
            <w:noWrap/>
            <w:vAlign w:val="bottom"/>
            <w:hideMark/>
          </w:tcPr>
          <w:p w14:paraId="3C7B7D93" w14:textId="77777777" w:rsidR="00FC00FC" w:rsidRPr="00FC00FC" w:rsidRDefault="00FC00FC" w:rsidP="00FC00FC">
            <w:pPr>
              <w:rPr>
                <w:rFonts w:ascii="Arial" w:hAnsi="Arial" w:cs="Arial"/>
                <w:color w:val="000000"/>
                <w:sz w:val="22"/>
                <w:szCs w:val="22"/>
                <w:lang w:eastAsia="en-GB"/>
              </w:rPr>
            </w:pPr>
            <w:r w:rsidRPr="00FC00FC">
              <w:rPr>
                <w:rFonts w:ascii="Arial" w:hAnsi="Arial" w:cs="Arial"/>
                <w:color w:val="000000"/>
                <w:sz w:val="22"/>
                <w:szCs w:val="22"/>
                <w:lang w:eastAsia="en-GB"/>
              </w:rPr>
              <w:t xml:space="preserve">Belfast &amp; South Eastern </w:t>
            </w:r>
          </w:p>
        </w:tc>
        <w:tc>
          <w:tcPr>
            <w:tcW w:w="1012" w:type="dxa"/>
            <w:tcBorders>
              <w:top w:val="nil"/>
              <w:left w:val="nil"/>
              <w:bottom w:val="nil"/>
              <w:right w:val="nil"/>
            </w:tcBorders>
            <w:shd w:val="clear" w:color="auto" w:fill="auto"/>
            <w:noWrap/>
            <w:vAlign w:val="bottom"/>
            <w:hideMark/>
          </w:tcPr>
          <w:p w14:paraId="688D42BF"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77</w:t>
            </w:r>
          </w:p>
        </w:tc>
        <w:tc>
          <w:tcPr>
            <w:tcW w:w="1012" w:type="dxa"/>
            <w:tcBorders>
              <w:top w:val="nil"/>
              <w:left w:val="nil"/>
              <w:bottom w:val="nil"/>
              <w:right w:val="nil"/>
            </w:tcBorders>
            <w:shd w:val="clear" w:color="auto" w:fill="auto"/>
            <w:noWrap/>
            <w:vAlign w:val="bottom"/>
            <w:hideMark/>
          </w:tcPr>
          <w:p w14:paraId="0E468B22"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68</w:t>
            </w:r>
          </w:p>
        </w:tc>
        <w:tc>
          <w:tcPr>
            <w:tcW w:w="1012" w:type="dxa"/>
            <w:tcBorders>
              <w:top w:val="nil"/>
              <w:left w:val="nil"/>
              <w:bottom w:val="nil"/>
              <w:right w:val="nil"/>
            </w:tcBorders>
            <w:shd w:val="clear" w:color="auto" w:fill="auto"/>
            <w:noWrap/>
            <w:vAlign w:val="bottom"/>
            <w:hideMark/>
          </w:tcPr>
          <w:p w14:paraId="4354407D"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63</w:t>
            </w:r>
          </w:p>
        </w:tc>
      </w:tr>
      <w:tr w:rsidR="00FC00FC" w:rsidRPr="00FC00FC" w14:paraId="0F5BD56B" w14:textId="77777777" w:rsidTr="00FC00FC">
        <w:trPr>
          <w:trHeight w:val="315"/>
        </w:trPr>
        <w:tc>
          <w:tcPr>
            <w:tcW w:w="6520" w:type="dxa"/>
            <w:tcBorders>
              <w:top w:val="nil"/>
              <w:left w:val="nil"/>
              <w:bottom w:val="nil"/>
              <w:right w:val="nil"/>
            </w:tcBorders>
            <w:shd w:val="clear" w:color="auto" w:fill="auto"/>
            <w:noWrap/>
            <w:vAlign w:val="bottom"/>
            <w:hideMark/>
          </w:tcPr>
          <w:p w14:paraId="7478BC6A" w14:textId="77777777" w:rsidR="00FC00FC" w:rsidRPr="00FC00FC" w:rsidRDefault="00FC00FC" w:rsidP="00FC00FC">
            <w:pPr>
              <w:rPr>
                <w:rFonts w:ascii="Arial" w:hAnsi="Arial" w:cs="Arial"/>
                <w:color w:val="000000"/>
                <w:sz w:val="22"/>
                <w:szCs w:val="22"/>
                <w:lang w:eastAsia="en-GB"/>
              </w:rPr>
            </w:pPr>
            <w:r w:rsidRPr="00FC00FC">
              <w:rPr>
                <w:rFonts w:ascii="Arial" w:hAnsi="Arial" w:cs="Arial"/>
                <w:color w:val="000000"/>
                <w:sz w:val="22"/>
                <w:szCs w:val="22"/>
                <w:lang w:eastAsia="en-GB"/>
              </w:rPr>
              <w:t xml:space="preserve">Northern </w:t>
            </w:r>
          </w:p>
        </w:tc>
        <w:tc>
          <w:tcPr>
            <w:tcW w:w="1012" w:type="dxa"/>
            <w:tcBorders>
              <w:top w:val="nil"/>
              <w:left w:val="nil"/>
              <w:bottom w:val="nil"/>
              <w:right w:val="nil"/>
            </w:tcBorders>
            <w:shd w:val="clear" w:color="auto" w:fill="auto"/>
            <w:noWrap/>
            <w:vAlign w:val="bottom"/>
            <w:hideMark/>
          </w:tcPr>
          <w:p w14:paraId="56E115C2"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60</w:t>
            </w:r>
          </w:p>
        </w:tc>
        <w:tc>
          <w:tcPr>
            <w:tcW w:w="1012" w:type="dxa"/>
            <w:tcBorders>
              <w:top w:val="nil"/>
              <w:left w:val="nil"/>
              <w:bottom w:val="nil"/>
              <w:right w:val="nil"/>
            </w:tcBorders>
            <w:shd w:val="clear" w:color="auto" w:fill="auto"/>
            <w:noWrap/>
            <w:vAlign w:val="bottom"/>
            <w:hideMark/>
          </w:tcPr>
          <w:p w14:paraId="140C9902"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82</w:t>
            </w:r>
          </w:p>
        </w:tc>
        <w:tc>
          <w:tcPr>
            <w:tcW w:w="1012" w:type="dxa"/>
            <w:tcBorders>
              <w:top w:val="nil"/>
              <w:left w:val="nil"/>
              <w:bottom w:val="nil"/>
              <w:right w:val="nil"/>
            </w:tcBorders>
            <w:shd w:val="clear" w:color="auto" w:fill="auto"/>
            <w:noWrap/>
            <w:vAlign w:val="bottom"/>
            <w:hideMark/>
          </w:tcPr>
          <w:p w14:paraId="425699EC"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79</w:t>
            </w:r>
          </w:p>
        </w:tc>
      </w:tr>
      <w:tr w:rsidR="00FC00FC" w:rsidRPr="00FC00FC" w14:paraId="3DA131B1" w14:textId="77777777" w:rsidTr="00FC00FC">
        <w:trPr>
          <w:trHeight w:val="300"/>
        </w:trPr>
        <w:tc>
          <w:tcPr>
            <w:tcW w:w="6520" w:type="dxa"/>
            <w:tcBorders>
              <w:top w:val="nil"/>
              <w:left w:val="nil"/>
              <w:bottom w:val="nil"/>
              <w:right w:val="nil"/>
            </w:tcBorders>
            <w:shd w:val="clear" w:color="auto" w:fill="auto"/>
            <w:noWrap/>
            <w:vAlign w:val="bottom"/>
            <w:hideMark/>
          </w:tcPr>
          <w:p w14:paraId="511725D0" w14:textId="77777777" w:rsidR="00FC00FC" w:rsidRPr="00FC00FC" w:rsidRDefault="00FC00FC" w:rsidP="00FC00FC">
            <w:pPr>
              <w:rPr>
                <w:rFonts w:ascii="Arial" w:hAnsi="Arial" w:cs="Arial"/>
                <w:color w:val="000000"/>
                <w:sz w:val="22"/>
                <w:szCs w:val="22"/>
                <w:lang w:eastAsia="en-GB"/>
              </w:rPr>
            </w:pPr>
            <w:r w:rsidRPr="00FC00FC">
              <w:rPr>
                <w:rFonts w:ascii="Arial" w:hAnsi="Arial" w:cs="Arial"/>
                <w:color w:val="000000"/>
                <w:sz w:val="22"/>
                <w:szCs w:val="22"/>
                <w:lang w:eastAsia="en-GB"/>
              </w:rPr>
              <w:t>Southern</w:t>
            </w:r>
          </w:p>
        </w:tc>
        <w:tc>
          <w:tcPr>
            <w:tcW w:w="1012" w:type="dxa"/>
            <w:tcBorders>
              <w:top w:val="nil"/>
              <w:left w:val="nil"/>
              <w:bottom w:val="nil"/>
              <w:right w:val="nil"/>
            </w:tcBorders>
            <w:shd w:val="clear" w:color="auto" w:fill="auto"/>
            <w:noWrap/>
            <w:vAlign w:val="bottom"/>
            <w:hideMark/>
          </w:tcPr>
          <w:p w14:paraId="00128265"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79</w:t>
            </w:r>
          </w:p>
        </w:tc>
        <w:tc>
          <w:tcPr>
            <w:tcW w:w="1012" w:type="dxa"/>
            <w:tcBorders>
              <w:top w:val="nil"/>
              <w:left w:val="nil"/>
              <w:bottom w:val="nil"/>
              <w:right w:val="nil"/>
            </w:tcBorders>
            <w:shd w:val="clear" w:color="auto" w:fill="auto"/>
            <w:noWrap/>
            <w:vAlign w:val="bottom"/>
            <w:hideMark/>
          </w:tcPr>
          <w:p w14:paraId="61210A65"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78</w:t>
            </w:r>
          </w:p>
        </w:tc>
        <w:tc>
          <w:tcPr>
            <w:tcW w:w="1012" w:type="dxa"/>
            <w:tcBorders>
              <w:top w:val="nil"/>
              <w:left w:val="nil"/>
              <w:bottom w:val="nil"/>
              <w:right w:val="nil"/>
            </w:tcBorders>
            <w:shd w:val="clear" w:color="auto" w:fill="auto"/>
            <w:noWrap/>
            <w:vAlign w:val="bottom"/>
            <w:hideMark/>
          </w:tcPr>
          <w:p w14:paraId="4B98BD41"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71</w:t>
            </w:r>
          </w:p>
        </w:tc>
      </w:tr>
      <w:tr w:rsidR="00FC00FC" w:rsidRPr="00FC00FC" w14:paraId="632053D3" w14:textId="77777777" w:rsidTr="00FC00FC">
        <w:trPr>
          <w:trHeight w:val="300"/>
        </w:trPr>
        <w:tc>
          <w:tcPr>
            <w:tcW w:w="6520" w:type="dxa"/>
            <w:tcBorders>
              <w:top w:val="nil"/>
              <w:left w:val="nil"/>
              <w:bottom w:val="nil"/>
              <w:right w:val="nil"/>
            </w:tcBorders>
            <w:shd w:val="clear" w:color="auto" w:fill="auto"/>
            <w:noWrap/>
            <w:vAlign w:val="bottom"/>
            <w:hideMark/>
          </w:tcPr>
          <w:p w14:paraId="6BFC2D4A" w14:textId="77777777" w:rsidR="00FC00FC" w:rsidRPr="00FC00FC" w:rsidRDefault="00FC00FC" w:rsidP="00FC00FC">
            <w:pPr>
              <w:rPr>
                <w:rFonts w:ascii="Arial" w:hAnsi="Arial" w:cs="Arial"/>
                <w:color w:val="000000"/>
                <w:sz w:val="22"/>
                <w:szCs w:val="22"/>
                <w:lang w:eastAsia="en-GB"/>
              </w:rPr>
            </w:pPr>
            <w:r w:rsidRPr="00FC00FC">
              <w:rPr>
                <w:rFonts w:ascii="Arial" w:hAnsi="Arial" w:cs="Arial"/>
                <w:color w:val="000000"/>
                <w:sz w:val="22"/>
                <w:szCs w:val="22"/>
                <w:lang w:eastAsia="en-GB"/>
              </w:rPr>
              <w:t xml:space="preserve">Western </w:t>
            </w:r>
          </w:p>
        </w:tc>
        <w:tc>
          <w:tcPr>
            <w:tcW w:w="1012" w:type="dxa"/>
            <w:tcBorders>
              <w:top w:val="nil"/>
              <w:left w:val="nil"/>
              <w:bottom w:val="nil"/>
              <w:right w:val="nil"/>
            </w:tcBorders>
            <w:shd w:val="clear" w:color="auto" w:fill="auto"/>
            <w:noWrap/>
            <w:vAlign w:val="bottom"/>
            <w:hideMark/>
          </w:tcPr>
          <w:p w14:paraId="44624F7E"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87</w:t>
            </w:r>
          </w:p>
        </w:tc>
        <w:tc>
          <w:tcPr>
            <w:tcW w:w="1012" w:type="dxa"/>
            <w:tcBorders>
              <w:top w:val="nil"/>
              <w:left w:val="nil"/>
              <w:bottom w:val="nil"/>
              <w:right w:val="nil"/>
            </w:tcBorders>
            <w:shd w:val="clear" w:color="auto" w:fill="auto"/>
            <w:noWrap/>
            <w:vAlign w:val="bottom"/>
            <w:hideMark/>
          </w:tcPr>
          <w:p w14:paraId="0A9065ED"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92</w:t>
            </w:r>
          </w:p>
        </w:tc>
        <w:tc>
          <w:tcPr>
            <w:tcW w:w="1012" w:type="dxa"/>
            <w:tcBorders>
              <w:top w:val="nil"/>
              <w:left w:val="nil"/>
              <w:bottom w:val="nil"/>
              <w:right w:val="nil"/>
            </w:tcBorders>
            <w:shd w:val="clear" w:color="auto" w:fill="auto"/>
            <w:noWrap/>
            <w:vAlign w:val="bottom"/>
            <w:hideMark/>
          </w:tcPr>
          <w:p w14:paraId="60A2DDB5" w14:textId="77777777" w:rsidR="00FC00FC" w:rsidRPr="00FC00FC" w:rsidRDefault="00FC00FC" w:rsidP="00FC00FC">
            <w:pPr>
              <w:jc w:val="right"/>
              <w:rPr>
                <w:rFonts w:ascii="Arial" w:hAnsi="Arial" w:cs="Arial"/>
                <w:color w:val="000000"/>
                <w:sz w:val="22"/>
                <w:szCs w:val="22"/>
                <w:lang w:eastAsia="en-GB"/>
              </w:rPr>
            </w:pPr>
            <w:r w:rsidRPr="00FC00FC">
              <w:rPr>
                <w:rFonts w:ascii="Arial" w:hAnsi="Arial" w:cs="Arial"/>
                <w:color w:val="000000"/>
                <w:sz w:val="22"/>
                <w:szCs w:val="22"/>
                <w:lang w:eastAsia="en-GB"/>
              </w:rPr>
              <w:t>83</w:t>
            </w:r>
          </w:p>
        </w:tc>
      </w:tr>
      <w:tr w:rsidR="00FC00FC" w:rsidRPr="00FC00FC" w14:paraId="3A515848" w14:textId="77777777" w:rsidTr="00FC00FC">
        <w:trPr>
          <w:trHeight w:val="315"/>
        </w:trPr>
        <w:tc>
          <w:tcPr>
            <w:tcW w:w="6520" w:type="dxa"/>
            <w:tcBorders>
              <w:top w:val="nil"/>
              <w:left w:val="nil"/>
              <w:bottom w:val="single" w:sz="8" w:space="0" w:color="auto"/>
              <w:right w:val="nil"/>
            </w:tcBorders>
            <w:shd w:val="clear" w:color="auto" w:fill="auto"/>
            <w:noWrap/>
            <w:vAlign w:val="bottom"/>
            <w:hideMark/>
          </w:tcPr>
          <w:p w14:paraId="6A3CB525" w14:textId="77777777" w:rsidR="00FC00FC" w:rsidRPr="00105AE8" w:rsidRDefault="001B1227" w:rsidP="00FC00FC">
            <w:pPr>
              <w:rPr>
                <w:rFonts w:ascii="Arial" w:hAnsi="Arial" w:cs="Arial"/>
                <w:b/>
                <w:color w:val="000000"/>
                <w:sz w:val="22"/>
                <w:szCs w:val="22"/>
                <w:lang w:eastAsia="en-GB"/>
              </w:rPr>
            </w:pPr>
            <w:r>
              <w:rPr>
                <w:rFonts w:ascii="Arial" w:hAnsi="Arial" w:cs="Arial"/>
                <w:b/>
                <w:color w:val="000000"/>
                <w:sz w:val="22"/>
                <w:szCs w:val="22"/>
                <w:lang w:eastAsia="en-GB"/>
              </w:rPr>
              <w:t>Region</w:t>
            </w:r>
          </w:p>
        </w:tc>
        <w:tc>
          <w:tcPr>
            <w:tcW w:w="1012" w:type="dxa"/>
            <w:tcBorders>
              <w:top w:val="nil"/>
              <w:left w:val="nil"/>
              <w:bottom w:val="single" w:sz="8" w:space="0" w:color="auto"/>
              <w:right w:val="nil"/>
            </w:tcBorders>
            <w:shd w:val="clear" w:color="auto" w:fill="auto"/>
            <w:noWrap/>
            <w:vAlign w:val="bottom"/>
            <w:hideMark/>
          </w:tcPr>
          <w:p w14:paraId="35FE3112" w14:textId="77777777" w:rsidR="00FC00FC" w:rsidRPr="00105AE8" w:rsidRDefault="00FC00FC" w:rsidP="00FC00FC">
            <w:pPr>
              <w:jc w:val="right"/>
              <w:rPr>
                <w:rFonts w:ascii="Arial" w:hAnsi="Arial" w:cs="Arial"/>
                <w:b/>
                <w:color w:val="000000"/>
                <w:sz w:val="22"/>
                <w:szCs w:val="22"/>
                <w:lang w:eastAsia="en-GB"/>
              </w:rPr>
            </w:pPr>
            <w:r w:rsidRPr="00105AE8">
              <w:rPr>
                <w:rFonts w:ascii="Arial" w:hAnsi="Arial" w:cs="Arial"/>
                <w:b/>
                <w:color w:val="000000"/>
                <w:sz w:val="22"/>
                <w:szCs w:val="22"/>
                <w:lang w:eastAsia="en-GB"/>
              </w:rPr>
              <w:t>75</w:t>
            </w:r>
          </w:p>
        </w:tc>
        <w:tc>
          <w:tcPr>
            <w:tcW w:w="1012" w:type="dxa"/>
            <w:tcBorders>
              <w:top w:val="nil"/>
              <w:left w:val="nil"/>
              <w:bottom w:val="single" w:sz="8" w:space="0" w:color="auto"/>
              <w:right w:val="nil"/>
            </w:tcBorders>
            <w:shd w:val="clear" w:color="auto" w:fill="auto"/>
            <w:noWrap/>
            <w:vAlign w:val="bottom"/>
            <w:hideMark/>
          </w:tcPr>
          <w:p w14:paraId="73AD5734" w14:textId="77777777" w:rsidR="00FC00FC" w:rsidRPr="00105AE8" w:rsidRDefault="00FC00FC" w:rsidP="00FC00FC">
            <w:pPr>
              <w:jc w:val="right"/>
              <w:rPr>
                <w:rFonts w:ascii="Arial" w:hAnsi="Arial" w:cs="Arial"/>
                <w:b/>
                <w:color w:val="000000"/>
                <w:sz w:val="22"/>
                <w:szCs w:val="22"/>
                <w:lang w:eastAsia="en-GB"/>
              </w:rPr>
            </w:pPr>
            <w:r w:rsidRPr="00105AE8">
              <w:rPr>
                <w:rFonts w:ascii="Arial" w:hAnsi="Arial" w:cs="Arial"/>
                <w:b/>
                <w:color w:val="000000"/>
                <w:sz w:val="22"/>
                <w:szCs w:val="22"/>
                <w:lang w:eastAsia="en-GB"/>
              </w:rPr>
              <w:t>77</w:t>
            </w:r>
          </w:p>
        </w:tc>
        <w:tc>
          <w:tcPr>
            <w:tcW w:w="1012" w:type="dxa"/>
            <w:tcBorders>
              <w:top w:val="nil"/>
              <w:left w:val="nil"/>
              <w:bottom w:val="single" w:sz="8" w:space="0" w:color="auto"/>
              <w:right w:val="nil"/>
            </w:tcBorders>
            <w:shd w:val="clear" w:color="auto" w:fill="auto"/>
            <w:noWrap/>
            <w:vAlign w:val="bottom"/>
            <w:hideMark/>
          </w:tcPr>
          <w:p w14:paraId="5BF753A9" w14:textId="77777777" w:rsidR="00FC00FC" w:rsidRPr="00105AE8" w:rsidRDefault="00FC00FC" w:rsidP="00FC00FC">
            <w:pPr>
              <w:jc w:val="right"/>
              <w:rPr>
                <w:rFonts w:ascii="Arial" w:hAnsi="Arial" w:cs="Arial"/>
                <w:b/>
                <w:color w:val="000000"/>
                <w:sz w:val="22"/>
                <w:szCs w:val="22"/>
                <w:lang w:eastAsia="en-GB"/>
              </w:rPr>
            </w:pPr>
            <w:r w:rsidRPr="00105AE8">
              <w:rPr>
                <w:rFonts w:ascii="Arial" w:hAnsi="Arial" w:cs="Arial"/>
                <w:b/>
                <w:color w:val="000000"/>
                <w:sz w:val="22"/>
                <w:szCs w:val="22"/>
                <w:lang w:eastAsia="en-GB"/>
              </w:rPr>
              <w:t>71</w:t>
            </w:r>
          </w:p>
        </w:tc>
      </w:tr>
    </w:tbl>
    <w:p w14:paraId="1DD68D00" w14:textId="7DDE631C" w:rsidR="002B7E29" w:rsidRPr="00E80195" w:rsidRDefault="002B7E29" w:rsidP="002B7E29">
      <w:pPr>
        <w:pStyle w:val="NICCYBodyTest"/>
        <w:rPr>
          <w:sz w:val="20"/>
          <w:szCs w:val="20"/>
        </w:rPr>
      </w:pPr>
      <w:r w:rsidRPr="00E80195">
        <w:rPr>
          <w:sz w:val="20"/>
          <w:szCs w:val="20"/>
        </w:rPr>
        <w:t xml:space="preserve">Nb. </w:t>
      </w:r>
      <w:r>
        <w:rPr>
          <w:sz w:val="20"/>
          <w:szCs w:val="20"/>
        </w:rPr>
        <w:t xml:space="preserve">% is based on referrals to </w:t>
      </w:r>
      <w:r w:rsidRPr="00E80195">
        <w:rPr>
          <w:sz w:val="20"/>
          <w:szCs w:val="20"/>
        </w:rPr>
        <w:t>Step 2, Step 3</w:t>
      </w:r>
      <w:r w:rsidR="00B80D34">
        <w:rPr>
          <w:sz w:val="20"/>
          <w:szCs w:val="20"/>
        </w:rPr>
        <w:t xml:space="preserve"> (core)</w:t>
      </w:r>
      <w:r w:rsidRPr="00E80195">
        <w:rPr>
          <w:sz w:val="20"/>
          <w:szCs w:val="20"/>
        </w:rPr>
        <w:t>, Eating Disorders,</w:t>
      </w:r>
      <w:r>
        <w:rPr>
          <w:sz w:val="20"/>
          <w:szCs w:val="20"/>
        </w:rPr>
        <w:t xml:space="preserve"> Crisis and DAMHS services.</w:t>
      </w:r>
    </w:p>
    <w:p w14:paraId="5DB48C7C" w14:textId="77777777" w:rsidR="00FC00FC" w:rsidRDefault="00FC00FC" w:rsidP="006B7BFD">
      <w:pPr>
        <w:pStyle w:val="NICCYBodyTest"/>
      </w:pPr>
    </w:p>
    <w:p w14:paraId="727E5214" w14:textId="49540FDC" w:rsidR="002A0370" w:rsidRDefault="002A0370" w:rsidP="002A0370">
      <w:pPr>
        <w:pStyle w:val="NICCYBodyTest"/>
      </w:pPr>
      <w:r>
        <w:t>Referrals not being accepted by CAMHS has implications for the demand for other services and support such as those provided in Step 2 and the Voluntary and Community Sector. None of the HSCTs track young people who are not accepted for their CAMHS service so is unable to provide statistics on whether young people access alternative support and what that support is. This was an issue raised in Still Waiting and a specific recommendation was made to track young people moving between services within the Stepped Care Model for CAMHS</w:t>
      </w:r>
      <w:r w:rsidR="00C8144B">
        <w:t>,</w:t>
      </w:r>
      <w:r>
        <w:t xml:space="preserve"> which would allow the system to monitor the length of time and the pathways required for young people to access support, to include young people not accepted for referral to Step 3 CAMHS (Rec 47, p.278). </w:t>
      </w:r>
    </w:p>
    <w:p w14:paraId="731FABB8" w14:textId="77777777" w:rsidR="002A0370" w:rsidRDefault="002A0370" w:rsidP="006B7BFD">
      <w:pPr>
        <w:pStyle w:val="NICCYBodyTest"/>
      </w:pPr>
    </w:p>
    <w:p w14:paraId="210BA5C3" w14:textId="08CA417A" w:rsidR="00A82039" w:rsidRPr="0097195A" w:rsidRDefault="00106254" w:rsidP="0097195A">
      <w:pPr>
        <w:pStyle w:val="NICCYHeading"/>
        <w:rPr>
          <w:sz w:val="24"/>
          <w:szCs w:val="24"/>
        </w:rPr>
      </w:pPr>
      <w:bookmarkStart w:id="5" w:name="Referral_Types"/>
      <w:r>
        <w:rPr>
          <w:sz w:val="24"/>
          <w:szCs w:val="24"/>
        </w:rPr>
        <w:t xml:space="preserve">2.2 </w:t>
      </w:r>
      <w:r w:rsidR="00A82039" w:rsidRPr="0097195A">
        <w:rPr>
          <w:sz w:val="24"/>
          <w:szCs w:val="24"/>
        </w:rPr>
        <w:t xml:space="preserve">Referral Types </w:t>
      </w:r>
    </w:p>
    <w:bookmarkEnd w:id="5"/>
    <w:p w14:paraId="56E2DD51" w14:textId="77777777" w:rsidR="00A82039" w:rsidRPr="0097195A" w:rsidRDefault="00A82039" w:rsidP="0097195A">
      <w:pPr>
        <w:pStyle w:val="NICCYHeading"/>
        <w:rPr>
          <w:sz w:val="24"/>
          <w:szCs w:val="24"/>
        </w:rPr>
      </w:pPr>
    </w:p>
    <w:p w14:paraId="58513E19" w14:textId="3547406D" w:rsidR="00BC7B90" w:rsidRDefault="006117E1" w:rsidP="00A82039">
      <w:pPr>
        <w:pStyle w:val="NICCYBodyTest"/>
      </w:pPr>
      <w:r>
        <w:t xml:space="preserve">Routine referrals which are those which are assessed as requiring an appointment within 9 weeks, </w:t>
      </w:r>
      <w:r w:rsidR="00A82039">
        <w:t xml:space="preserve">continue to make up the largest proportion of referrals to </w:t>
      </w:r>
      <w:r w:rsidR="00A82039" w:rsidRPr="00637B92">
        <w:t>CAMHS</w:t>
      </w:r>
      <w:r w:rsidR="00BC7B90" w:rsidRPr="00637B92">
        <w:t xml:space="preserve"> (</w:t>
      </w:r>
      <w:r w:rsidR="00637B92" w:rsidRPr="00637B92">
        <w:fldChar w:fldCharType="begin"/>
      </w:r>
      <w:r w:rsidR="00637B92" w:rsidRPr="00637B92">
        <w:instrText xml:space="preserve"> REF _Ref58423795 \h </w:instrText>
      </w:r>
      <w:r w:rsidR="00637B92">
        <w:instrText xml:space="preserve"> \* MERGEFORMAT </w:instrText>
      </w:r>
      <w:r w:rsidR="00637B92" w:rsidRPr="00637B92">
        <w:fldChar w:fldCharType="separate"/>
      </w:r>
      <w:r w:rsidR="00637B92" w:rsidRPr="00637B92">
        <w:t xml:space="preserve">Table </w:t>
      </w:r>
      <w:r w:rsidR="00637B92" w:rsidRPr="00637B92">
        <w:rPr>
          <w:noProof/>
        </w:rPr>
        <w:t>3</w:t>
      </w:r>
      <w:r w:rsidR="00637B92" w:rsidRPr="00637B92">
        <w:fldChar w:fldCharType="end"/>
      </w:r>
      <w:r w:rsidR="00BC7B90" w:rsidRPr="00637B92">
        <w:t xml:space="preserve">). </w:t>
      </w:r>
      <w:r w:rsidR="00A82039" w:rsidRPr="00D5502C">
        <w:t>In 2014 /15, routine referrals accounted for 79</w:t>
      </w:r>
      <w:r w:rsidR="00C03FE9" w:rsidRPr="00D5502C">
        <w:t xml:space="preserve">% of all referrals </w:t>
      </w:r>
      <w:r w:rsidR="001018B9" w:rsidRPr="00D5502C">
        <w:t>and this increased to</w:t>
      </w:r>
      <w:r w:rsidR="00C03FE9" w:rsidRPr="00D5502C">
        <w:t xml:space="preserve"> 93% in 2019/20</w:t>
      </w:r>
      <w:r w:rsidR="00A82039" w:rsidRPr="00D5502C">
        <w:t>.</w:t>
      </w:r>
      <w:r w:rsidR="008A7A69" w:rsidRPr="00D5502C">
        <w:t xml:space="preserve"> Figures regarding emergency and urgent referrals are showing a downw</w:t>
      </w:r>
      <w:r w:rsidR="008A7A69">
        <w:t xml:space="preserve">ard trajectory since 2014/15. </w:t>
      </w:r>
      <w:r w:rsidR="008A7A69" w:rsidRPr="00392457">
        <w:t xml:space="preserve">The reason for this is unclear but may have something to do with the introduction of the CAIT </w:t>
      </w:r>
      <w:r w:rsidR="006D2141" w:rsidRPr="00392457">
        <w:t xml:space="preserve">/ CRHT </w:t>
      </w:r>
      <w:r w:rsidR="008A7A69" w:rsidRPr="00392457">
        <w:t>service</w:t>
      </w:r>
      <w:r w:rsidR="008A7A69">
        <w:t xml:space="preserve">. </w:t>
      </w:r>
    </w:p>
    <w:p w14:paraId="3FC81E79" w14:textId="77777777" w:rsidR="00BC7B90" w:rsidRDefault="00BC7B90" w:rsidP="00A82039">
      <w:pPr>
        <w:pStyle w:val="NICCYBodyTest"/>
      </w:pPr>
    </w:p>
    <w:p w14:paraId="7B45D62E" w14:textId="77777777" w:rsidR="00BC7B90" w:rsidRPr="00A16E2C" w:rsidRDefault="00A16E2C" w:rsidP="00A16E2C">
      <w:pPr>
        <w:pStyle w:val="NICCYBodyText"/>
        <w:rPr>
          <w:sz w:val="20"/>
          <w:szCs w:val="20"/>
        </w:rPr>
      </w:pPr>
      <w:bookmarkStart w:id="6" w:name="_Ref58423795"/>
      <w:r w:rsidRPr="00A16E2C">
        <w:rPr>
          <w:sz w:val="20"/>
          <w:szCs w:val="20"/>
        </w:rPr>
        <w:t xml:space="preserve">Table </w:t>
      </w:r>
      <w:r w:rsidRPr="00A16E2C">
        <w:rPr>
          <w:sz w:val="20"/>
          <w:szCs w:val="20"/>
        </w:rPr>
        <w:fldChar w:fldCharType="begin"/>
      </w:r>
      <w:r w:rsidRPr="00A16E2C">
        <w:rPr>
          <w:sz w:val="20"/>
          <w:szCs w:val="20"/>
        </w:rPr>
        <w:instrText xml:space="preserve"> SEQ Table \* ARABIC </w:instrText>
      </w:r>
      <w:r w:rsidRPr="00A16E2C">
        <w:rPr>
          <w:sz w:val="20"/>
          <w:szCs w:val="20"/>
        </w:rPr>
        <w:fldChar w:fldCharType="separate"/>
      </w:r>
      <w:r w:rsidR="00652AC5">
        <w:rPr>
          <w:noProof/>
          <w:sz w:val="20"/>
          <w:szCs w:val="20"/>
        </w:rPr>
        <w:t>3</w:t>
      </w:r>
      <w:r w:rsidRPr="00A16E2C">
        <w:rPr>
          <w:sz w:val="20"/>
          <w:szCs w:val="20"/>
        </w:rPr>
        <w:fldChar w:fldCharType="end"/>
      </w:r>
      <w:bookmarkEnd w:id="6"/>
      <w:r w:rsidRPr="00A16E2C">
        <w:rPr>
          <w:sz w:val="20"/>
          <w:szCs w:val="20"/>
        </w:rPr>
        <w:t>: Referral Types for the period 2014/15-2019/20</w:t>
      </w:r>
    </w:p>
    <w:tbl>
      <w:tblPr>
        <w:tblW w:w="9214" w:type="dxa"/>
        <w:tblLook w:val="04A0" w:firstRow="1" w:lastRow="0" w:firstColumn="1" w:lastColumn="0" w:noHBand="0" w:noVBand="1"/>
      </w:tblPr>
      <w:tblGrid>
        <w:gridCol w:w="3702"/>
        <w:gridCol w:w="1968"/>
        <w:gridCol w:w="1616"/>
        <w:gridCol w:w="1928"/>
      </w:tblGrid>
      <w:tr w:rsidR="00C03FE9" w:rsidRPr="00C03FE9" w14:paraId="40E99C92" w14:textId="77777777" w:rsidTr="00BC7B90">
        <w:trPr>
          <w:trHeight w:val="54"/>
        </w:trPr>
        <w:tc>
          <w:tcPr>
            <w:tcW w:w="3702" w:type="dxa"/>
            <w:tcBorders>
              <w:top w:val="single" w:sz="8" w:space="0" w:color="auto"/>
              <w:left w:val="nil"/>
              <w:bottom w:val="single" w:sz="8" w:space="0" w:color="auto"/>
              <w:right w:val="nil"/>
            </w:tcBorders>
            <w:shd w:val="clear" w:color="auto" w:fill="auto"/>
            <w:noWrap/>
            <w:vAlign w:val="bottom"/>
            <w:hideMark/>
          </w:tcPr>
          <w:p w14:paraId="413694D4" w14:textId="77777777" w:rsidR="00C03FE9" w:rsidRPr="00C03FE9" w:rsidRDefault="00C03FE9" w:rsidP="00C03FE9">
            <w:pPr>
              <w:rPr>
                <w:rFonts w:ascii="Arial" w:hAnsi="Arial" w:cs="Arial"/>
                <w:color w:val="000000"/>
                <w:sz w:val="24"/>
                <w:szCs w:val="24"/>
                <w:lang w:eastAsia="en-GB"/>
              </w:rPr>
            </w:pPr>
            <w:r w:rsidRPr="00C03FE9">
              <w:rPr>
                <w:rFonts w:ascii="Arial" w:hAnsi="Arial" w:cs="Arial"/>
                <w:color w:val="000000"/>
                <w:sz w:val="24"/>
                <w:szCs w:val="24"/>
                <w:lang w:eastAsia="en-GB"/>
              </w:rPr>
              <w:t> </w:t>
            </w:r>
          </w:p>
        </w:tc>
        <w:tc>
          <w:tcPr>
            <w:tcW w:w="1968" w:type="dxa"/>
            <w:tcBorders>
              <w:top w:val="single" w:sz="8" w:space="0" w:color="auto"/>
              <w:left w:val="nil"/>
              <w:bottom w:val="single" w:sz="8" w:space="0" w:color="auto"/>
              <w:right w:val="nil"/>
            </w:tcBorders>
            <w:shd w:val="clear" w:color="auto" w:fill="auto"/>
            <w:vAlign w:val="bottom"/>
            <w:hideMark/>
          </w:tcPr>
          <w:p w14:paraId="65F85511" w14:textId="77777777" w:rsidR="00C03FE9" w:rsidRPr="00C03FE9" w:rsidRDefault="00C03FE9" w:rsidP="00BC7B90">
            <w:pPr>
              <w:jc w:val="center"/>
              <w:rPr>
                <w:rFonts w:ascii="Arial" w:hAnsi="Arial" w:cs="Arial"/>
                <w:b/>
                <w:bCs/>
                <w:color w:val="000000"/>
                <w:sz w:val="24"/>
                <w:szCs w:val="24"/>
                <w:lang w:eastAsia="en-GB"/>
              </w:rPr>
            </w:pPr>
            <w:r w:rsidRPr="00C03FE9">
              <w:rPr>
                <w:rFonts w:ascii="Arial" w:hAnsi="Arial" w:cs="Arial"/>
                <w:b/>
                <w:bCs/>
                <w:color w:val="000000"/>
                <w:sz w:val="24"/>
                <w:szCs w:val="24"/>
                <w:lang w:eastAsia="en-GB"/>
              </w:rPr>
              <w:t>Emergency (%)</w:t>
            </w:r>
          </w:p>
        </w:tc>
        <w:tc>
          <w:tcPr>
            <w:tcW w:w="1616" w:type="dxa"/>
            <w:tcBorders>
              <w:top w:val="single" w:sz="8" w:space="0" w:color="auto"/>
              <w:left w:val="nil"/>
              <w:bottom w:val="single" w:sz="8" w:space="0" w:color="auto"/>
              <w:right w:val="nil"/>
            </w:tcBorders>
            <w:shd w:val="clear" w:color="auto" w:fill="auto"/>
            <w:vAlign w:val="bottom"/>
            <w:hideMark/>
          </w:tcPr>
          <w:p w14:paraId="02E45508" w14:textId="77777777" w:rsidR="00C03FE9" w:rsidRPr="00C03FE9" w:rsidRDefault="00C03FE9" w:rsidP="00BC7B90">
            <w:pPr>
              <w:jc w:val="center"/>
              <w:rPr>
                <w:rFonts w:ascii="Arial" w:hAnsi="Arial" w:cs="Arial"/>
                <w:b/>
                <w:bCs/>
                <w:color w:val="000000"/>
                <w:sz w:val="24"/>
                <w:szCs w:val="24"/>
                <w:lang w:eastAsia="en-GB"/>
              </w:rPr>
            </w:pPr>
            <w:r w:rsidRPr="00C03FE9">
              <w:rPr>
                <w:rFonts w:ascii="Arial" w:hAnsi="Arial" w:cs="Arial"/>
                <w:b/>
                <w:bCs/>
                <w:color w:val="000000"/>
                <w:sz w:val="24"/>
                <w:szCs w:val="24"/>
                <w:lang w:eastAsia="en-GB"/>
              </w:rPr>
              <w:t>Urgent (%)</w:t>
            </w:r>
          </w:p>
        </w:tc>
        <w:tc>
          <w:tcPr>
            <w:tcW w:w="1928" w:type="dxa"/>
            <w:tcBorders>
              <w:top w:val="single" w:sz="8" w:space="0" w:color="auto"/>
              <w:left w:val="nil"/>
              <w:bottom w:val="single" w:sz="8" w:space="0" w:color="auto"/>
              <w:right w:val="nil"/>
            </w:tcBorders>
            <w:shd w:val="clear" w:color="auto" w:fill="auto"/>
            <w:vAlign w:val="bottom"/>
            <w:hideMark/>
          </w:tcPr>
          <w:p w14:paraId="0C9EBDF2" w14:textId="77777777" w:rsidR="00C03FE9" w:rsidRPr="00C03FE9" w:rsidRDefault="00C03FE9" w:rsidP="00BC7B90">
            <w:pPr>
              <w:jc w:val="center"/>
              <w:rPr>
                <w:rFonts w:ascii="Arial" w:hAnsi="Arial" w:cs="Arial"/>
                <w:b/>
                <w:bCs/>
                <w:color w:val="000000"/>
                <w:sz w:val="24"/>
                <w:szCs w:val="24"/>
                <w:lang w:eastAsia="en-GB"/>
              </w:rPr>
            </w:pPr>
            <w:r w:rsidRPr="00C03FE9">
              <w:rPr>
                <w:rFonts w:ascii="Arial" w:hAnsi="Arial" w:cs="Arial"/>
                <w:b/>
                <w:bCs/>
                <w:color w:val="000000"/>
                <w:sz w:val="24"/>
                <w:szCs w:val="24"/>
                <w:lang w:eastAsia="en-GB"/>
              </w:rPr>
              <w:t>routine (%)</w:t>
            </w:r>
          </w:p>
        </w:tc>
      </w:tr>
      <w:tr w:rsidR="00C03FE9" w:rsidRPr="00C03FE9" w14:paraId="23D91AA4" w14:textId="77777777" w:rsidTr="00BC7B90">
        <w:trPr>
          <w:trHeight w:val="42"/>
        </w:trPr>
        <w:tc>
          <w:tcPr>
            <w:tcW w:w="3702" w:type="dxa"/>
            <w:tcBorders>
              <w:top w:val="nil"/>
              <w:left w:val="nil"/>
              <w:bottom w:val="nil"/>
              <w:right w:val="nil"/>
            </w:tcBorders>
            <w:shd w:val="clear" w:color="auto" w:fill="auto"/>
            <w:noWrap/>
            <w:vAlign w:val="bottom"/>
            <w:hideMark/>
          </w:tcPr>
          <w:p w14:paraId="5D286B96" w14:textId="77777777" w:rsidR="00C03FE9" w:rsidRPr="00D5502C" w:rsidRDefault="00C03FE9" w:rsidP="00C03FE9">
            <w:pPr>
              <w:rPr>
                <w:rFonts w:ascii="Arial" w:hAnsi="Arial" w:cs="Arial"/>
                <w:color w:val="000000"/>
                <w:sz w:val="24"/>
                <w:szCs w:val="24"/>
                <w:lang w:eastAsia="en-GB"/>
              </w:rPr>
            </w:pPr>
            <w:r w:rsidRPr="00D5502C">
              <w:rPr>
                <w:rFonts w:ascii="Arial" w:hAnsi="Arial" w:cs="Arial"/>
                <w:color w:val="000000"/>
                <w:sz w:val="24"/>
                <w:szCs w:val="24"/>
                <w:lang w:eastAsia="en-GB"/>
              </w:rPr>
              <w:t>2014 /15</w:t>
            </w:r>
          </w:p>
        </w:tc>
        <w:tc>
          <w:tcPr>
            <w:tcW w:w="1968" w:type="dxa"/>
            <w:tcBorders>
              <w:top w:val="nil"/>
              <w:left w:val="nil"/>
              <w:bottom w:val="nil"/>
              <w:right w:val="nil"/>
            </w:tcBorders>
            <w:shd w:val="clear" w:color="auto" w:fill="auto"/>
            <w:noWrap/>
            <w:vAlign w:val="bottom"/>
            <w:hideMark/>
          </w:tcPr>
          <w:p w14:paraId="72B4533F" w14:textId="77777777" w:rsidR="00C03FE9" w:rsidRPr="00D5502C" w:rsidRDefault="00C03FE9"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9.1</w:t>
            </w:r>
          </w:p>
        </w:tc>
        <w:tc>
          <w:tcPr>
            <w:tcW w:w="1616" w:type="dxa"/>
            <w:tcBorders>
              <w:top w:val="nil"/>
              <w:left w:val="nil"/>
              <w:bottom w:val="nil"/>
              <w:right w:val="nil"/>
            </w:tcBorders>
            <w:shd w:val="clear" w:color="auto" w:fill="auto"/>
            <w:noWrap/>
            <w:vAlign w:val="bottom"/>
            <w:hideMark/>
          </w:tcPr>
          <w:p w14:paraId="0AEA9E76" w14:textId="77777777" w:rsidR="00C03FE9" w:rsidRPr="00D5502C" w:rsidRDefault="00C03FE9"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12.6</w:t>
            </w:r>
          </w:p>
        </w:tc>
        <w:tc>
          <w:tcPr>
            <w:tcW w:w="1928" w:type="dxa"/>
            <w:tcBorders>
              <w:top w:val="nil"/>
              <w:left w:val="nil"/>
              <w:bottom w:val="nil"/>
              <w:right w:val="nil"/>
            </w:tcBorders>
            <w:shd w:val="clear" w:color="auto" w:fill="auto"/>
            <w:noWrap/>
            <w:vAlign w:val="bottom"/>
            <w:hideMark/>
          </w:tcPr>
          <w:p w14:paraId="65CDD108" w14:textId="77777777" w:rsidR="00C03FE9" w:rsidRPr="00D5502C" w:rsidRDefault="00C03FE9"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78.5</w:t>
            </w:r>
          </w:p>
        </w:tc>
      </w:tr>
      <w:tr w:rsidR="00C03FE9" w:rsidRPr="00C03FE9" w14:paraId="4AD22AC2" w14:textId="77777777" w:rsidTr="00BC7B90">
        <w:trPr>
          <w:trHeight w:val="42"/>
        </w:trPr>
        <w:tc>
          <w:tcPr>
            <w:tcW w:w="3702" w:type="dxa"/>
            <w:tcBorders>
              <w:top w:val="nil"/>
              <w:left w:val="nil"/>
              <w:bottom w:val="nil"/>
              <w:right w:val="nil"/>
            </w:tcBorders>
            <w:shd w:val="clear" w:color="auto" w:fill="auto"/>
            <w:noWrap/>
            <w:vAlign w:val="bottom"/>
            <w:hideMark/>
          </w:tcPr>
          <w:p w14:paraId="5ADFCD48" w14:textId="77777777" w:rsidR="00C03FE9" w:rsidRPr="00D5502C" w:rsidRDefault="00C03FE9" w:rsidP="00C03FE9">
            <w:pPr>
              <w:rPr>
                <w:rFonts w:ascii="Arial" w:hAnsi="Arial" w:cs="Arial"/>
                <w:color w:val="000000"/>
                <w:sz w:val="24"/>
                <w:szCs w:val="24"/>
                <w:lang w:eastAsia="en-GB"/>
              </w:rPr>
            </w:pPr>
            <w:r w:rsidRPr="00D5502C">
              <w:rPr>
                <w:rFonts w:ascii="Arial" w:hAnsi="Arial" w:cs="Arial"/>
                <w:color w:val="000000"/>
                <w:sz w:val="24"/>
                <w:szCs w:val="24"/>
                <w:lang w:eastAsia="en-GB"/>
              </w:rPr>
              <w:t>2015/16</w:t>
            </w:r>
          </w:p>
        </w:tc>
        <w:tc>
          <w:tcPr>
            <w:tcW w:w="1968" w:type="dxa"/>
            <w:tcBorders>
              <w:top w:val="nil"/>
              <w:left w:val="nil"/>
              <w:bottom w:val="nil"/>
              <w:right w:val="nil"/>
            </w:tcBorders>
            <w:shd w:val="clear" w:color="auto" w:fill="auto"/>
            <w:noWrap/>
            <w:vAlign w:val="bottom"/>
            <w:hideMark/>
          </w:tcPr>
          <w:p w14:paraId="56D33CD7" w14:textId="77777777" w:rsidR="00C03FE9" w:rsidRPr="00D5502C" w:rsidRDefault="00C03FE9"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9.5</w:t>
            </w:r>
          </w:p>
        </w:tc>
        <w:tc>
          <w:tcPr>
            <w:tcW w:w="1616" w:type="dxa"/>
            <w:tcBorders>
              <w:top w:val="nil"/>
              <w:left w:val="nil"/>
              <w:bottom w:val="nil"/>
              <w:right w:val="nil"/>
            </w:tcBorders>
            <w:shd w:val="clear" w:color="auto" w:fill="auto"/>
            <w:noWrap/>
            <w:vAlign w:val="bottom"/>
            <w:hideMark/>
          </w:tcPr>
          <w:p w14:paraId="00D1DD59" w14:textId="77777777" w:rsidR="00C03FE9" w:rsidRPr="00D5502C" w:rsidRDefault="00C03FE9"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11.6</w:t>
            </w:r>
          </w:p>
        </w:tc>
        <w:tc>
          <w:tcPr>
            <w:tcW w:w="1928" w:type="dxa"/>
            <w:tcBorders>
              <w:top w:val="nil"/>
              <w:left w:val="nil"/>
              <w:bottom w:val="nil"/>
              <w:right w:val="nil"/>
            </w:tcBorders>
            <w:shd w:val="clear" w:color="auto" w:fill="auto"/>
            <w:noWrap/>
            <w:vAlign w:val="bottom"/>
            <w:hideMark/>
          </w:tcPr>
          <w:p w14:paraId="0E255FA0" w14:textId="77777777" w:rsidR="00C03FE9" w:rsidRPr="00D5502C" w:rsidRDefault="00C03FE9"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78.9</w:t>
            </w:r>
          </w:p>
        </w:tc>
      </w:tr>
      <w:tr w:rsidR="00C03FE9" w:rsidRPr="00C03FE9" w14:paraId="25825791" w14:textId="77777777" w:rsidTr="00BC7B90">
        <w:trPr>
          <w:trHeight w:val="42"/>
        </w:trPr>
        <w:tc>
          <w:tcPr>
            <w:tcW w:w="3702" w:type="dxa"/>
            <w:tcBorders>
              <w:top w:val="nil"/>
              <w:left w:val="nil"/>
              <w:right w:val="nil"/>
            </w:tcBorders>
            <w:shd w:val="clear" w:color="auto" w:fill="auto"/>
            <w:noWrap/>
            <w:vAlign w:val="bottom"/>
            <w:hideMark/>
          </w:tcPr>
          <w:p w14:paraId="7BBF2B34" w14:textId="77777777" w:rsidR="00C03FE9" w:rsidRPr="00D5502C" w:rsidRDefault="00C03FE9" w:rsidP="00C03FE9">
            <w:pPr>
              <w:rPr>
                <w:rFonts w:ascii="Arial" w:hAnsi="Arial" w:cs="Arial"/>
                <w:color w:val="000000"/>
                <w:sz w:val="24"/>
                <w:szCs w:val="24"/>
                <w:lang w:eastAsia="en-GB"/>
              </w:rPr>
            </w:pPr>
            <w:r w:rsidRPr="00D5502C">
              <w:rPr>
                <w:rFonts w:ascii="Arial" w:hAnsi="Arial" w:cs="Arial"/>
                <w:color w:val="000000"/>
                <w:sz w:val="24"/>
                <w:szCs w:val="24"/>
                <w:lang w:eastAsia="en-GB"/>
              </w:rPr>
              <w:t>2018/19</w:t>
            </w:r>
          </w:p>
        </w:tc>
        <w:tc>
          <w:tcPr>
            <w:tcW w:w="1968" w:type="dxa"/>
            <w:tcBorders>
              <w:top w:val="nil"/>
              <w:left w:val="nil"/>
              <w:right w:val="nil"/>
            </w:tcBorders>
            <w:shd w:val="clear" w:color="auto" w:fill="auto"/>
            <w:noWrap/>
            <w:vAlign w:val="bottom"/>
            <w:hideMark/>
          </w:tcPr>
          <w:p w14:paraId="6FE9606D" w14:textId="29FE01C6" w:rsidR="00C03FE9" w:rsidRPr="00D5502C" w:rsidRDefault="00B87A3C"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2.6</w:t>
            </w:r>
          </w:p>
        </w:tc>
        <w:tc>
          <w:tcPr>
            <w:tcW w:w="1616" w:type="dxa"/>
            <w:tcBorders>
              <w:top w:val="nil"/>
              <w:left w:val="nil"/>
              <w:right w:val="nil"/>
            </w:tcBorders>
            <w:shd w:val="clear" w:color="auto" w:fill="auto"/>
            <w:noWrap/>
            <w:vAlign w:val="bottom"/>
            <w:hideMark/>
          </w:tcPr>
          <w:p w14:paraId="67251D39" w14:textId="0D1E9FD5" w:rsidR="00C03FE9" w:rsidRPr="00D5502C" w:rsidRDefault="00B87A3C" w:rsidP="00C03FE9">
            <w:pPr>
              <w:jc w:val="center"/>
              <w:rPr>
                <w:rFonts w:ascii="Arial" w:hAnsi="Arial" w:cs="Arial"/>
                <w:color w:val="000000"/>
                <w:sz w:val="24"/>
                <w:szCs w:val="24"/>
                <w:lang w:eastAsia="en-GB"/>
              </w:rPr>
            </w:pPr>
            <w:r w:rsidRPr="00D5502C">
              <w:rPr>
                <w:rFonts w:ascii="Arial" w:hAnsi="Arial" w:cs="Arial"/>
                <w:color w:val="000000"/>
                <w:sz w:val="24"/>
                <w:szCs w:val="24"/>
                <w:lang w:eastAsia="en-GB"/>
              </w:rPr>
              <w:t>7</w:t>
            </w:r>
          </w:p>
        </w:tc>
        <w:tc>
          <w:tcPr>
            <w:tcW w:w="1928" w:type="dxa"/>
            <w:tcBorders>
              <w:top w:val="nil"/>
              <w:left w:val="nil"/>
              <w:right w:val="nil"/>
            </w:tcBorders>
            <w:shd w:val="clear" w:color="auto" w:fill="auto"/>
            <w:noWrap/>
            <w:vAlign w:val="bottom"/>
            <w:hideMark/>
          </w:tcPr>
          <w:p w14:paraId="15DEF5A4" w14:textId="7254567F" w:rsidR="00C03FE9" w:rsidRPr="00D5502C" w:rsidRDefault="00C03FE9" w:rsidP="00D27F60">
            <w:pPr>
              <w:jc w:val="center"/>
              <w:rPr>
                <w:rFonts w:ascii="Arial" w:hAnsi="Arial" w:cs="Arial"/>
                <w:color w:val="000000"/>
                <w:sz w:val="24"/>
                <w:szCs w:val="24"/>
                <w:lang w:eastAsia="en-GB"/>
              </w:rPr>
            </w:pPr>
            <w:r w:rsidRPr="00D5502C">
              <w:rPr>
                <w:rFonts w:ascii="Arial" w:hAnsi="Arial" w:cs="Arial"/>
                <w:color w:val="000000"/>
                <w:sz w:val="24"/>
                <w:szCs w:val="24"/>
                <w:lang w:eastAsia="en-GB"/>
              </w:rPr>
              <w:t>9</w:t>
            </w:r>
            <w:r w:rsidR="00D27F60" w:rsidRPr="00D5502C">
              <w:rPr>
                <w:rFonts w:ascii="Arial" w:hAnsi="Arial" w:cs="Arial"/>
                <w:color w:val="000000"/>
                <w:sz w:val="24"/>
                <w:szCs w:val="24"/>
                <w:lang w:eastAsia="en-GB"/>
              </w:rPr>
              <w:t>0.4</w:t>
            </w:r>
          </w:p>
        </w:tc>
      </w:tr>
      <w:tr w:rsidR="00C03FE9" w:rsidRPr="00C03FE9" w14:paraId="56170B99" w14:textId="77777777" w:rsidTr="00BC7B90">
        <w:trPr>
          <w:trHeight w:val="42"/>
        </w:trPr>
        <w:tc>
          <w:tcPr>
            <w:tcW w:w="3702" w:type="dxa"/>
            <w:tcBorders>
              <w:top w:val="nil"/>
              <w:left w:val="nil"/>
              <w:bottom w:val="single" w:sz="4" w:space="0" w:color="auto"/>
              <w:right w:val="nil"/>
            </w:tcBorders>
            <w:shd w:val="clear" w:color="auto" w:fill="auto"/>
            <w:noWrap/>
            <w:vAlign w:val="bottom"/>
            <w:hideMark/>
          </w:tcPr>
          <w:p w14:paraId="146617FE" w14:textId="77777777" w:rsidR="00C03FE9" w:rsidRPr="00C03FE9" w:rsidRDefault="00C03FE9" w:rsidP="00C03FE9">
            <w:pPr>
              <w:rPr>
                <w:rFonts w:ascii="Arial" w:hAnsi="Arial" w:cs="Arial"/>
                <w:color w:val="000000"/>
                <w:sz w:val="24"/>
                <w:szCs w:val="24"/>
                <w:lang w:eastAsia="en-GB"/>
              </w:rPr>
            </w:pPr>
            <w:r w:rsidRPr="00C03FE9">
              <w:rPr>
                <w:rFonts w:ascii="Arial" w:hAnsi="Arial" w:cs="Arial"/>
                <w:color w:val="000000"/>
                <w:sz w:val="24"/>
                <w:szCs w:val="24"/>
                <w:lang w:eastAsia="en-GB"/>
              </w:rPr>
              <w:lastRenderedPageBreak/>
              <w:t>2019/20</w:t>
            </w:r>
          </w:p>
        </w:tc>
        <w:tc>
          <w:tcPr>
            <w:tcW w:w="1968" w:type="dxa"/>
            <w:tcBorders>
              <w:top w:val="nil"/>
              <w:left w:val="nil"/>
              <w:bottom w:val="single" w:sz="4" w:space="0" w:color="auto"/>
              <w:right w:val="nil"/>
            </w:tcBorders>
            <w:shd w:val="clear" w:color="auto" w:fill="auto"/>
            <w:noWrap/>
            <w:vAlign w:val="bottom"/>
            <w:hideMark/>
          </w:tcPr>
          <w:p w14:paraId="2BB3153C" w14:textId="77777777" w:rsidR="00C03FE9" w:rsidRPr="00C03FE9" w:rsidRDefault="00C03FE9" w:rsidP="00C03FE9">
            <w:pPr>
              <w:jc w:val="center"/>
              <w:rPr>
                <w:rFonts w:ascii="Arial" w:hAnsi="Arial" w:cs="Arial"/>
                <w:color w:val="000000"/>
                <w:sz w:val="24"/>
                <w:szCs w:val="24"/>
                <w:lang w:eastAsia="en-GB"/>
              </w:rPr>
            </w:pPr>
            <w:r w:rsidRPr="00C03FE9">
              <w:rPr>
                <w:rFonts w:ascii="Arial" w:hAnsi="Arial" w:cs="Arial"/>
                <w:color w:val="000000"/>
                <w:sz w:val="24"/>
                <w:szCs w:val="24"/>
                <w:lang w:eastAsia="en-GB"/>
              </w:rPr>
              <w:t>1.9</w:t>
            </w:r>
          </w:p>
        </w:tc>
        <w:tc>
          <w:tcPr>
            <w:tcW w:w="1616" w:type="dxa"/>
            <w:tcBorders>
              <w:top w:val="nil"/>
              <w:left w:val="nil"/>
              <w:bottom w:val="single" w:sz="4" w:space="0" w:color="auto"/>
              <w:right w:val="nil"/>
            </w:tcBorders>
            <w:shd w:val="clear" w:color="auto" w:fill="auto"/>
            <w:noWrap/>
            <w:vAlign w:val="bottom"/>
            <w:hideMark/>
          </w:tcPr>
          <w:p w14:paraId="10426DD9" w14:textId="77777777" w:rsidR="00C03FE9" w:rsidRPr="00C03FE9" w:rsidRDefault="00C03FE9" w:rsidP="00C03FE9">
            <w:pPr>
              <w:jc w:val="center"/>
              <w:rPr>
                <w:rFonts w:ascii="Arial" w:hAnsi="Arial" w:cs="Arial"/>
                <w:color w:val="000000"/>
                <w:sz w:val="24"/>
                <w:szCs w:val="24"/>
                <w:lang w:eastAsia="en-GB"/>
              </w:rPr>
            </w:pPr>
            <w:r w:rsidRPr="00C03FE9">
              <w:rPr>
                <w:rFonts w:ascii="Arial" w:hAnsi="Arial" w:cs="Arial"/>
                <w:color w:val="000000"/>
                <w:sz w:val="24"/>
                <w:szCs w:val="24"/>
                <w:lang w:eastAsia="en-GB"/>
              </w:rPr>
              <w:t>4.9</w:t>
            </w:r>
          </w:p>
        </w:tc>
        <w:tc>
          <w:tcPr>
            <w:tcW w:w="1928" w:type="dxa"/>
            <w:tcBorders>
              <w:top w:val="nil"/>
              <w:left w:val="nil"/>
              <w:bottom w:val="single" w:sz="4" w:space="0" w:color="auto"/>
              <w:right w:val="nil"/>
            </w:tcBorders>
            <w:shd w:val="clear" w:color="auto" w:fill="auto"/>
            <w:noWrap/>
            <w:vAlign w:val="bottom"/>
            <w:hideMark/>
          </w:tcPr>
          <w:p w14:paraId="5F7CE982" w14:textId="77777777" w:rsidR="00C03FE9" w:rsidRPr="00C03FE9" w:rsidRDefault="00C03FE9" w:rsidP="00C03FE9">
            <w:pPr>
              <w:jc w:val="center"/>
              <w:rPr>
                <w:rFonts w:ascii="Arial" w:hAnsi="Arial" w:cs="Arial"/>
                <w:color w:val="000000"/>
                <w:sz w:val="24"/>
                <w:szCs w:val="24"/>
                <w:lang w:eastAsia="en-GB"/>
              </w:rPr>
            </w:pPr>
            <w:r w:rsidRPr="00C03FE9">
              <w:rPr>
                <w:rFonts w:ascii="Arial" w:hAnsi="Arial" w:cs="Arial"/>
                <w:color w:val="000000"/>
                <w:sz w:val="24"/>
                <w:szCs w:val="24"/>
                <w:lang w:eastAsia="en-GB"/>
              </w:rPr>
              <w:t>93.2</w:t>
            </w:r>
          </w:p>
        </w:tc>
      </w:tr>
      <w:tr w:rsidR="00BC7B90" w:rsidRPr="002B7E29" w14:paraId="18893BA4" w14:textId="77777777" w:rsidTr="00BC7B90">
        <w:trPr>
          <w:trHeight w:val="40"/>
        </w:trPr>
        <w:tc>
          <w:tcPr>
            <w:tcW w:w="9214" w:type="dxa"/>
            <w:gridSpan w:val="4"/>
            <w:tcBorders>
              <w:top w:val="single" w:sz="4" w:space="0" w:color="auto"/>
              <w:left w:val="nil"/>
              <w:bottom w:val="nil"/>
              <w:right w:val="nil"/>
            </w:tcBorders>
            <w:shd w:val="clear" w:color="auto" w:fill="auto"/>
            <w:noWrap/>
            <w:vAlign w:val="bottom"/>
            <w:hideMark/>
          </w:tcPr>
          <w:p w14:paraId="4D24D196" w14:textId="3915628C" w:rsidR="00BC7B90" w:rsidRPr="002B7E29" w:rsidRDefault="00BC7B90" w:rsidP="00C26BC9">
            <w:pPr>
              <w:pStyle w:val="NICCYBodyText"/>
              <w:rPr>
                <w:sz w:val="20"/>
                <w:szCs w:val="20"/>
                <w:lang w:eastAsia="en-GB"/>
              </w:rPr>
            </w:pPr>
            <w:r w:rsidRPr="002B7E29">
              <w:rPr>
                <w:sz w:val="20"/>
                <w:szCs w:val="20"/>
                <w:lang w:eastAsia="en-GB"/>
              </w:rPr>
              <w:t xml:space="preserve">* data not </w:t>
            </w:r>
            <w:r w:rsidR="00C26BC9">
              <w:rPr>
                <w:sz w:val="20"/>
                <w:szCs w:val="20"/>
                <w:lang w:eastAsia="en-GB"/>
              </w:rPr>
              <w:t>available</w:t>
            </w:r>
            <w:r w:rsidRPr="002B7E29">
              <w:rPr>
                <w:sz w:val="20"/>
                <w:szCs w:val="20"/>
                <w:lang w:eastAsia="en-GB"/>
              </w:rPr>
              <w:t xml:space="preserve"> for 2016/17 or 2017/18</w:t>
            </w:r>
          </w:p>
        </w:tc>
      </w:tr>
    </w:tbl>
    <w:p w14:paraId="664D1AD9" w14:textId="28873F86" w:rsidR="00637B92" w:rsidRDefault="002B7E29" w:rsidP="00C26BC9">
      <w:pPr>
        <w:pStyle w:val="NICCYBodyText"/>
        <w:rPr>
          <w:sz w:val="20"/>
          <w:szCs w:val="20"/>
        </w:rPr>
      </w:pPr>
      <w:r>
        <w:rPr>
          <w:sz w:val="20"/>
          <w:szCs w:val="20"/>
        </w:rPr>
        <w:t>*</w:t>
      </w:r>
      <w:r w:rsidRPr="002B7E29">
        <w:rPr>
          <w:sz w:val="20"/>
          <w:szCs w:val="20"/>
        </w:rPr>
        <w:t xml:space="preserve"> Includes Step 2, Step 3</w:t>
      </w:r>
      <w:r w:rsidR="00B80D34">
        <w:rPr>
          <w:sz w:val="20"/>
          <w:szCs w:val="20"/>
        </w:rPr>
        <w:t xml:space="preserve"> (core)</w:t>
      </w:r>
      <w:r w:rsidRPr="002B7E29">
        <w:rPr>
          <w:sz w:val="20"/>
          <w:szCs w:val="20"/>
        </w:rPr>
        <w:t xml:space="preserve">, Eating Disorders &amp; </w:t>
      </w:r>
      <w:r w:rsidR="00930B09">
        <w:rPr>
          <w:sz w:val="20"/>
          <w:szCs w:val="20"/>
        </w:rPr>
        <w:t>D</w:t>
      </w:r>
      <w:r>
        <w:rPr>
          <w:sz w:val="20"/>
          <w:szCs w:val="20"/>
        </w:rPr>
        <w:t>AMHS</w:t>
      </w:r>
      <w:r w:rsidRPr="002B7E29">
        <w:rPr>
          <w:sz w:val="20"/>
          <w:szCs w:val="20"/>
        </w:rPr>
        <w:t>. The CAMHS Crisis template does not ask for a breakdown of referrals accepted by priority.</w:t>
      </w:r>
    </w:p>
    <w:p w14:paraId="69D3BC1A" w14:textId="648E5265" w:rsidR="00307134" w:rsidRDefault="00307134" w:rsidP="00C26BC9">
      <w:pPr>
        <w:pStyle w:val="NICCYBodyText"/>
        <w:rPr>
          <w:color w:val="000000" w:themeColor="text1"/>
          <w:sz w:val="20"/>
          <w:szCs w:val="20"/>
        </w:rPr>
      </w:pPr>
      <w:r>
        <w:rPr>
          <w:color w:val="000000" w:themeColor="text1"/>
          <w:sz w:val="20"/>
          <w:szCs w:val="20"/>
        </w:rPr>
        <w:t>*HSCB unable to validate all figures as referrals by priority were not provide</w:t>
      </w:r>
      <w:r w:rsidR="00104BBC">
        <w:rPr>
          <w:color w:val="000000" w:themeColor="text1"/>
          <w:sz w:val="20"/>
          <w:szCs w:val="20"/>
        </w:rPr>
        <w:t>d</w:t>
      </w:r>
      <w:r>
        <w:rPr>
          <w:color w:val="000000" w:themeColor="text1"/>
          <w:sz w:val="20"/>
          <w:szCs w:val="20"/>
        </w:rPr>
        <w:t xml:space="preserve"> in reports for 2014/15 and 2015/16</w:t>
      </w:r>
    </w:p>
    <w:p w14:paraId="42FBCF26" w14:textId="77777777" w:rsidR="00CB077B" w:rsidRPr="00104BBC" w:rsidRDefault="00CB077B" w:rsidP="00C26BC9">
      <w:pPr>
        <w:pStyle w:val="NICCYBodyText"/>
        <w:rPr>
          <w:color w:val="000000" w:themeColor="text1"/>
          <w:sz w:val="20"/>
          <w:szCs w:val="20"/>
        </w:rPr>
      </w:pPr>
    </w:p>
    <w:p w14:paraId="370BE80D" w14:textId="413B8DB8" w:rsidR="009D790A" w:rsidRDefault="00106254" w:rsidP="009D790A">
      <w:pPr>
        <w:pStyle w:val="NICCYSubline"/>
      </w:pPr>
      <w:bookmarkStart w:id="7" w:name="Age_Gender"/>
      <w:r>
        <w:t xml:space="preserve">2.3 </w:t>
      </w:r>
      <w:r w:rsidR="009D790A">
        <w:t>Age and Gender of Accepted Referrals</w:t>
      </w:r>
    </w:p>
    <w:p w14:paraId="5ED1FFCE" w14:textId="77777777" w:rsidR="00637B92" w:rsidRDefault="00637B92" w:rsidP="000303BC">
      <w:pPr>
        <w:pStyle w:val="NICCYBodyTest"/>
      </w:pPr>
    </w:p>
    <w:bookmarkEnd w:id="7"/>
    <w:p w14:paraId="394F6DCF" w14:textId="0542ACC7" w:rsidR="000303BC" w:rsidRDefault="00637B92" w:rsidP="000303BC">
      <w:pPr>
        <w:pStyle w:val="NICCYBodyTest"/>
      </w:pPr>
      <w:r>
        <w:fldChar w:fldCharType="begin"/>
      </w:r>
      <w:r>
        <w:instrText xml:space="preserve"> REF _Ref58423829 \h  \* MERGEFORMAT </w:instrText>
      </w:r>
      <w:r>
        <w:fldChar w:fldCharType="separate"/>
      </w:r>
      <w:r w:rsidRPr="00637B92">
        <w:t>Table 4</w:t>
      </w:r>
      <w:r>
        <w:fldChar w:fldCharType="end"/>
      </w:r>
      <w:r>
        <w:t xml:space="preserve"> provides</w:t>
      </w:r>
      <w:r w:rsidR="00BC7B90">
        <w:t xml:space="preserve"> a detailed age and gender breakdown of ref</w:t>
      </w:r>
      <w:r w:rsidR="00C703B4">
        <w:t>errals for the period April 2019-2020</w:t>
      </w:r>
      <w:r w:rsidR="00BC7B90">
        <w:t xml:space="preserve">. Its </w:t>
      </w:r>
      <w:r w:rsidR="000303BC">
        <w:t>sho</w:t>
      </w:r>
      <w:r w:rsidR="00DC5558">
        <w:t>w that slightly more females (54%) than males (46</w:t>
      </w:r>
      <w:r w:rsidR="000303BC">
        <w:t xml:space="preserve">%) </w:t>
      </w:r>
      <w:r w:rsidR="00BC7B90">
        <w:t>were</w:t>
      </w:r>
      <w:r w:rsidR="000303BC">
        <w:t xml:space="preserve"> seen by CAMHS (accepted referrals). The data also shows gender differences in referrals to specialist services- females </w:t>
      </w:r>
      <w:r w:rsidR="00BC7B90">
        <w:t>are</w:t>
      </w:r>
      <w:r w:rsidR="000303BC">
        <w:t xml:space="preserve"> more likely to be referred to eating disorder services and crisis support than males. Males </w:t>
      </w:r>
      <w:r w:rsidR="00BC7B90">
        <w:t>are</w:t>
      </w:r>
      <w:r w:rsidR="000303BC">
        <w:t xml:space="preserve"> more likely to be referred to </w:t>
      </w:r>
      <w:r w:rsidR="00C703B4">
        <w:t>DAMHS</w:t>
      </w:r>
      <w:r w:rsidR="000303BC">
        <w:t xml:space="preserve"> and to be referred to CAMHS at a younger age.</w:t>
      </w:r>
    </w:p>
    <w:p w14:paraId="37346E39" w14:textId="77777777" w:rsidR="000303BC" w:rsidRDefault="000303BC" w:rsidP="000303BC">
      <w:pPr>
        <w:pStyle w:val="NICCYSubline"/>
      </w:pPr>
    </w:p>
    <w:p w14:paraId="3E13FF0D" w14:textId="453AAF24" w:rsidR="00C4329B" w:rsidRPr="00C703B4" w:rsidRDefault="00A16E2C" w:rsidP="00C703B4">
      <w:pPr>
        <w:pStyle w:val="Caption"/>
        <w:rPr>
          <w:sz w:val="22"/>
          <w:szCs w:val="22"/>
        </w:rPr>
      </w:pPr>
      <w:bookmarkStart w:id="8" w:name="_Ref58423829"/>
      <w:r w:rsidRPr="00A16E2C">
        <w:rPr>
          <w:rStyle w:val="NICCYBodyTextChar"/>
          <w:rFonts w:ascii="Arial" w:hAnsi="Arial" w:cs="Arial"/>
          <w:i w:val="0"/>
          <w:sz w:val="20"/>
          <w:szCs w:val="20"/>
        </w:rPr>
        <w:t xml:space="preserve">Table </w:t>
      </w:r>
      <w:r w:rsidRPr="00A16E2C">
        <w:rPr>
          <w:rStyle w:val="NICCYBodyTextChar"/>
          <w:rFonts w:ascii="Arial" w:hAnsi="Arial" w:cs="Arial"/>
          <w:i w:val="0"/>
          <w:sz w:val="20"/>
          <w:szCs w:val="20"/>
        </w:rPr>
        <w:fldChar w:fldCharType="begin"/>
      </w:r>
      <w:r w:rsidRPr="00A16E2C">
        <w:rPr>
          <w:rStyle w:val="NICCYBodyTextChar"/>
          <w:rFonts w:ascii="Arial" w:hAnsi="Arial" w:cs="Arial"/>
          <w:i w:val="0"/>
          <w:sz w:val="20"/>
          <w:szCs w:val="20"/>
        </w:rPr>
        <w:instrText xml:space="preserve"> SEQ Table \* ARABIC </w:instrText>
      </w:r>
      <w:r w:rsidRPr="00A16E2C">
        <w:rPr>
          <w:rStyle w:val="NICCYBodyTextChar"/>
          <w:rFonts w:ascii="Arial" w:hAnsi="Arial" w:cs="Arial"/>
          <w:i w:val="0"/>
          <w:sz w:val="20"/>
          <w:szCs w:val="20"/>
        </w:rPr>
        <w:fldChar w:fldCharType="separate"/>
      </w:r>
      <w:r w:rsidR="00652AC5">
        <w:rPr>
          <w:rStyle w:val="NICCYBodyTextChar"/>
          <w:rFonts w:ascii="Arial" w:hAnsi="Arial" w:cs="Arial"/>
          <w:i w:val="0"/>
          <w:noProof/>
          <w:sz w:val="20"/>
          <w:szCs w:val="20"/>
        </w:rPr>
        <w:t>4</w:t>
      </w:r>
      <w:r w:rsidRPr="00A16E2C">
        <w:rPr>
          <w:rStyle w:val="NICCYBodyTextChar"/>
          <w:rFonts w:ascii="Arial" w:hAnsi="Arial" w:cs="Arial"/>
          <w:i w:val="0"/>
          <w:sz w:val="20"/>
          <w:szCs w:val="20"/>
        </w:rPr>
        <w:fldChar w:fldCharType="end"/>
      </w:r>
      <w:bookmarkEnd w:id="8"/>
      <w:r w:rsidRPr="00A16E2C">
        <w:rPr>
          <w:rStyle w:val="NICCYBodyTextChar"/>
          <w:rFonts w:ascii="Arial" w:hAnsi="Arial" w:cs="Arial"/>
          <w:i w:val="0"/>
          <w:sz w:val="20"/>
          <w:szCs w:val="20"/>
        </w:rPr>
        <w:t>: Age and Gender brea</w:t>
      </w:r>
      <w:r w:rsidR="00C703B4">
        <w:rPr>
          <w:rStyle w:val="NICCYBodyTextChar"/>
          <w:rFonts w:ascii="Arial" w:hAnsi="Arial" w:cs="Arial"/>
          <w:i w:val="0"/>
          <w:sz w:val="20"/>
          <w:szCs w:val="20"/>
        </w:rPr>
        <w:t>kdown of Accepted Referrals 2019/20</w:t>
      </w:r>
      <w:r w:rsidR="00FA425C" w:rsidRPr="00A16E2C">
        <w:rPr>
          <w:sz w:val="22"/>
          <w:szCs w:val="22"/>
        </w:rPr>
        <w:t xml:space="preserve"> </w:t>
      </w:r>
    </w:p>
    <w:p w14:paraId="202C5963" w14:textId="6AE9195E" w:rsidR="00974C2F" w:rsidRDefault="00767EF6" w:rsidP="00974C2F">
      <w:pPr>
        <w:pStyle w:val="NICCYBodyTest"/>
      </w:pPr>
      <w:r w:rsidRPr="00767EF6">
        <w:rPr>
          <w:noProof/>
          <w:lang w:eastAsia="en-GB"/>
        </w:rPr>
        <w:drawing>
          <wp:inline distT="0" distB="0" distL="0" distR="0" wp14:anchorId="0D1C60E4" wp14:editId="6D8DD16B">
            <wp:extent cx="6116320" cy="20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2002920"/>
                    </a:xfrm>
                    <a:prstGeom prst="rect">
                      <a:avLst/>
                    </a:prstGeom>
                    <a:noFill/>
                    <a:ln>
                      <a:noFill/>
                    </a:ln>
                  </pic:spPr>
                </pic:pic>
              </a:graphicData>
            </a:graphic>
          </wp:inline>
        </w:drawing>
      </w:r>
    </w:p>
    <w:p w14:paraId="43C6749F" w14:textId="57F9BA15" w:rsidR="001B1227" w:rsidRPr="00C26BC9" w:rsidRDefault="00C26BC9" w:rsidP="00C26BC9">
      <w:pPr>
        <w:pStyle w:val="NICCYBodyText"/>
        <w:rPr>
          <w:sz w:val="20"/>
          <w:szCs w:val="20"/>
        </w:rPr>
      </w:pPr>
      <w:r w:rsidRPr="00C26BC9">
        <w:rPr>
          <w:sz w:val="20"/>
          <w:szCs w:val="20"/>
        </w:rPr>
        <w:t>NB: Please note individual values may not sum to column/ row totals due to suppression in line with disclosure protocol.</w:t>
      </w:r>
    </w:p>
    <w:p w14:paraId="1C3BA4C1" w14:textId="0B2BC5B4" w:rsidR="00C26BC9" w:rsidRDefault="00C26BC9" w:rsidP="005710B5">
      <w:pPr>
        <w:pStyle w:val="NICCYHeading"/>
        <w:rPr>
          <w:sz w:val="24"/>
          <w:szCs w:val="24"/>
        </w:rPr>
      </w:pPr>
    </w:p>
    <w:p w14:paraId="294C5060" w14:textId="067F56E6" w:rsidR="00CB077B" w:rsidRDefault="00CB077B" w:rsidP="005710B5">
      <w:pPr>
        <w:pStyle w:val="NICCYHeading"/>
        <w:rPr>
          <w:sz w:val="24"/>
          <w:szCs w:val="24"/>
        </w:rPr>
      </w:pPr>
    </w:p>
    <w:p w14:paraId="5E357864" w14:textId="558A4C42" w:rsidR="00CB077B" w:rsidRDefault="00CB077B" w:rsidP="005710B5">
      <w:pPr>
        <w:pStyle w:val="NICCYHeading"/>
        <w:rPr>
          <w:sz w:val="24"/>
          <w:szCs w:val="24"/>
        </w:rPr>
      </w:pPr>
    </w:p>
    <w:p w14:paraId="359C7384" w14:textId="2582E150" w:rsidR="00CB077B" w:rsidRDefault="00CB077B" w:rsidP="005710B5">
      <w:pPr>
        <w:pStyle w:val="NICCYHeading"/>
        <w:rPr>
          <w:sz w:val="24"/>
          <w:szCs w:val="24"/>
        </w:rPr>
      </w:pPr>
    </w:p>
    <w:p w14:paraId="290A770E" w14:textId="4E58889D" w:rsidR="00CB077B" w:rsidRDefault="00CB077B" w:rsidP="005710B5">
      <w:pPr>
        <w:pStyle w:val="NICCYHeading"/>
        <w:rPr>
          <w:sz w:val="24"/>
          <w:szCs w:val="24"/>
        </w:rPr>
      </w:pPr>
    </w:p>
    <w:p w14:paraId="357DD769" w14:textId="4004B8F3" w:rsidR="00CB077B" w:rsidRDefault="00CB077B" w:rsidP="005710B5">
      <w:pPr>
        <w:pStyle w:val="NICCYHeading"/>
        <w:rPr>
          <w:sz w:val="24"/>
          <w:szCs w:val="24"/>
        </w:rPr>
      </w:pPr>
    </w:p>
    <w:p w14:paraId="10380DBC" w14:textId="2C3C9E4F" w:rsidR="00CB077B" w:rsidRDefault="00CB077B" w:rsidP="005710B5">
      <w:pPr>
        <w:pStyle w:val="NICCYHeading"/>
        <w:rPr>
          <w:sz w:val="24"/>
          <w:szCs w:val="24"/>
        </w:rPr>
      </w:pPr>
    </w:p>
    <w:p w14:paraId="2C9200F6" w14:textId="7DAA5EFD" w:rsidR="00CB077B" w:rsidRDefault="00CB077B" w:rsidP="005710B5">
      <w:pPr>
        <w:pStyle w:val="NICCYHeading"/>
        <w:rPr>
          <w:sz w:val="24"/>
          <w:szCs w:val="24"/>
        </w:rPr>
      </w:pPr>
    </w:p>
    <w:p w14:paraId="0C0B003B" w14:textId="5353C3B4" w:rsidR="00CB077B" w:rsidRDefault="00CB077B" w:rsidP="005710B5">
      <w:pPr>
        <w:pStyle w:val="NICCYHeading"/>
        <w:rPr>
          <w:sz w:val="24"/>
          <w:szCs w:val="24"/>
        </w:rPr>
      </w:pPr>
    </w:p>
    <w:p w14:paraId="4F87C3A1" w14:textId="45ED82B8" w:rsidR="00CB077B" w:rsidRDefault="00CB077B" w:rsidP="005710B5">
      <w:pPr>
        <w:pStyle w:val="NICCYHeading"/>
        <w:rPr>
          <w:sz w:val="24"/>
          <w:szCs w:val="24"/>
        </w:rPr>
      </w:pPr>
    </w:p>
    <w:p w14:paraId="43BCA39C" w14:textId="4EDBDE68" w:rsidR="00CB077B" w:rsidRDefault="00CB077B" w:rsidP="005710B5">
      <w:pPr>
        <w:pStyle w:val="NICCYHeading"/>
        <w:rPr>
          <w:sz w:val="24"/>
          <w:szCs w:val="24"/>
        </w:rPr>
      </w:pPr>
    </w:p>
    <w:p w14:paraId="63F02C79" w14:textId="77777777" w:rsidR="00CB077B" w:rsidRDefault="00CB077B" w:rsidP="005710B5">
      <w:pPr>
        <w:pStyle w:val="NICCYHeading"/>
        <w:rPr>
          <w:sz w:val="24"/>
          <w:szCs w:val="24"/>
        </w:rPr>
      </w:pPr>
    </w:p>
    <w:p w14:paraId="2F74CE15" w14:textId="1434253E" w:rsidR="005710B5" w:rsidRPr="00244A57" w:rsidRDefault="00106254" w:rsidP="005710B5">
      <w:pPr>
        <w:pStyle w:val="NICCYHeading"/>
        <w:rPr>
          <w:sz w:val="24"/>
          <w:szCs w:val="24"/>
        </w:rPr>
      </w:pPr>
      <w:bookmarkStart w:id="9" w:name="Active_Clients"/>
      <w:r>
        <w:rPr>
          <w:sz w:val="24"/>
          <w:szCs w:val="24"/>
        </w:rPr>
        <w:t xml:space="preserve">3.0 </w:t>
      </w:r>
      <w:r w:rsidR="005710B5" w:rsidRPr="00244A57">
        <w:rPr>
          <w:sz w:val="24"/>
          <w:szCs w:val="24"/>
        </w:rPr>
        <w:t xml:space="preserve">Active Clients </w:t>
      </w:r>
      <w:bookmarkEnd w:id="9"/>
      <w:r w:rsidR="005710B5" w:rsidRPr="00244A57">
        <w:rPr>
          <w:sz w:val="24"/>
          <w:szCs w:val="24"/>
        </w:rPr>
        <w:t>in CAMHS Services</w:t>
      </w:r>
    </w:p>
    <w:p w14:paraId="2F12B8B2" w14:textId="77777777" w:rsidR="005710B5" w:rsidRPr="00637B92" w:rsidRDefault="005710B5" w:rsidP="005710B5">
      <w:pPr>
        <w:pStyle w:val="NICCYBodyTest"/>
      </w:pPr>
    </w:p>
    <w:p w14:paraId="488BE188" w14:textId="296E29DB" w:rsidR="00962902" w:rsidRDefault="00637B92" w:rsidP="005710B5">
      <w:pPr>
        <w:pStyle w:val="NICCYBodyTest"/>
      </w:pPr>
      <w:r w:rsidRPr="00637B92">
        <w:fldChar w:fldCharType="begin"/>
      </w:r>
      <w:r w:rsidRPr="00637B92">
        <w:instrText xml:space="preserve"> REF _Ref58423869 \h </w:instrText>
      </w:r>
      <w:r>
        <w:instrText xml:space="preserve"> \* MERGEFORMAT </w:instrText>
      </w:r>
      <w:r w:rsidRPr="00637B92">
        <w:fldChar w:fldCharType="separate"/>
      </w:r>
      <w:r w:rsidRPr="00637B92">
        <w:t xml:space="preserve">Table </w:t>
      </w:r>
      <w:r w:rsidRPr="00637B92">
        <w:rPr>
          <w:noProof/>
        </w:rPr>
        <w:t>5</w:t>
      </w:r>
      <w:r w:rsidRPr="00637B92">
        <w:fldChar w:fldCharType="end"/>
      </w:r>
      <w:r w:rsidR="005710B5">
        <w:t xml:space="preserve"> below provides the number of active clients across any CAMHS services </w:t>
      </w:r>
      <w:r w:rsidR="001B1227">
        <w:t>at</w:t>
      </w:r>
      <w:r w:rsidR="005710B5">
        <w:t xml:space="preserve"> 31 March for the </w:t>
      </w:r>
      <w:r w:rsidR="00767EF6">
        <w:t xml:space="preserve">years </w:t>
      </w:r>
      <w:r w:rsidR="005710B5">
        <w:t>2017-2020. The figures show that approximately 6000-</w:t>
      </w:r>
      <w:r w:rsidR="00767EF6">
        <w:t>6700</w:t>
      </w:r>
      <w:r w:rsidR="005710B5">
        <w:t xml:space="preserve"> young people were being seen by a CA</w:t>
      </w:r>
      <w:r w:rsidR="00B80D34">
        <w:t xml:space="preserve">MHS Service at any given time. </w:t>
      </w:r>
    </w:p>
    <w:p w14:paraId="695209ED" w14:textId="77777777" w:rsidR="00B80D34" w:rsidRDefault="00B80D34" w:rsidP="005710B5">
      <w:pPr>
        <w:pStyle w:val="NICCYBodyTest"/>
      </w:pPr>
    </w:p>
    <w:p w14:paraId="1DA4F930" w14:textId="77777777" w:rsidR="00FB169C" w:rsidRPr="00A16E2C" w:rsidRDefault="00FB169C" w:rsidP="00FB169C">
      <w:pPr>
        <w:pStyle w:val="NICCYBodyText"/>
        <w:rPr>
          <w:sz w:val="20"/>
          <w:szCs w:val="20"/>
        </w:rPr>
      </w:pPr>
      <w:bookmarkStart w:id="10" w:name="_Ref58423869"/>
      <w:r w:rsidRPr="00A16E2C">
        <w:rPr>
          <w:sz w:val="20"/>
          <w:szCs w:val="20"/>
        </w:rPr>
        <w:t xml:space="preserve">Table </w:t>
      </w:r>
      <w:r w:rsidRPr="00A16E2C">
        <w:rPr>
          <w:sz w:val="20"/>
          <w:szCs w:val="20"/>
        </w:rPr>
        <w:fldChar w:fldCharType="begin"/>
      </w:r>
      <w:r w:rsidRPr="00A16E2C">
        <w:rPr>
          <w:sz w:val="20"/>
          <w:szCs w:val="20"/>
        </w:rPr>
        <w:instrText xml:space="preserve"> SEQ Table \* ARABIC </w:instrText>
      </w:r>
      <w:r w:rsidRPr="00A16E2C">
        <w:rPr>
          <w:sz w:val="20"/>
          <w:szCs w:val="20"/>
        </w:rPr>
        <w:fldChar w:fldCharType="separate"/>
      </w:r>
      <w:r>
        <w:rPr>
          <w:noProof/>
          <w:sz w:val="20"/>
          <w:szCs w:val="20"/>
        </w:rPr>
        <w:t>5</w:t>
      </w:r>
      <w:r w:rsidRPr="00A16E2C">
        <w:rPr>
          <w:sz w:val="20"/>
          <w:szCs w:val="20"/>
        </w:rPr>
        <w:fldChar w:fldCharType="end"/>
      </w:r>
      <w:bookmarkEnd w:id="10"/>
      <w:r w:rsidRPr="00A16E2C">
        <w:rPr>
          <w:sz w:val="20"/>
          <w:szCs w:val="20"/>
        </w:rPr>
        <w:t xml:space="preserve">: Active Clients in CAMHS Service at 31 March </w:t>
      </w:r>
    </w:p>
    <w:tbl>
      <w:tblPr>
        <w:tblW w:w="4520" w:type="dxa"/>
        <w:tblLook w:val="04A0" w:firstRow="1" w:lastRow="0" w:firstColumn="1" w:lastColumn="0" w:noHBand="0" w:noVBand="1"/>
      </w:tblPr>
      <w:tblGrid>
        <w:gridCol w:w="960"/>
        <w:gridCol w:w="3560"/>
      </w:tblGrid>
      <w:tr w:rsidR="00FB169C" w:rsidRPr="00FD1FE5" w14:paraId="77DABB53" w14:textId="77777777" w:rsidTr="00255C32">
        <w:trPr>
          <w:trHeight w:val="315"/>
        </w:trPr>
        <w:tc>
          <w:tcPr>
            <w:tcW w:w="960" w:type="dxa"/>
            <w:tcBorders>
              <w:top w:val="single" w:sz="8" w:space="0" w:color="auto"/>
              <w:left w:val="nil"/>
              <w:bottom w:val="single" w:sz="8" w:space="0" w:color="auto"/>
              <w:right w:val="nil"/>
            </w:tcBorders>
            <w:shd w:val="clear" w:color="auto" w:fill="auto"/>
            <w:noWrap/>
            <w:vAlign w:val="bottom"/>
            <w:hideMark/>
          </w:tcPr>
          <w:p w14:paraId="5CF86A8C" w14:textId="77777777" w:rsidR="00FB169C" w:rsidRPr="00FD1FE5" w:rsidRDefault="00FB169C" w:rsidP="00255C32">
            <w:pPr>
              <w:rPr>
                <w:rFonts w:ascii="Arial" w:hAnsi="Arial" w:cs="Arial"/>
                <w:color w:val="000000"/>
                <w:sz w:val="24"/>
                <w:szCs w:val="24"/>
                <w:lang w:eastAsia="en-GB"/>
              </w:rPr>
            </w:pPr>
            <w:r w:rsidRPr="00FD1FE5">
              <w:rPr>
                <w:rFonts w:ascii="Arial" w:hAnsi="Arial" w:cs="Arial"/>
                <w:color w:val="000000"/>
                <w:sz w:val="24"/>
                <w:szCs w:val="24"/>
                <w:lang w:eastAsia="en-GB"/>
              </w:rPr>
              <w:t> </w:t>
            </w:r>
          </w:p>
        </w:tc>
        <w:tc>
          <w:tcPr>
            <w:tcW w:w="3560" w:type="dxa"/>
            <w:tcBorders>
              <w:top w:val="single" w:sz="8" w:space="0" w:color="auto"/>
              <w:left w:val="nil"/>
              <w:bottom w:val="single" w:sz="8" w:space="0" w:color="auto"/>
              <w:right w:val="nil"/>
            </w:tcBorders>
            <w:shd w:val="clear" w:color="auto" w:fill="auto"/>
            <w:noWrap/>
            <w:vAlign w:val="bottom"/>
            <w:hideMark/>
          </w:tcPr>
          <w:p w14:paraId="411C5AF8" w14:textId="77777777" w:rsidR="00FB169C" w:rsidRPr="00FD1FE5" w:rsidRDefault="00FB169C" w:rsidP="00255C32">
            <w:pPr>
              <w:rPr>
                <w:rFonts w:ascii="Arial" w:hAnsi="Arial" w:cs="Arial"/>
                <w:color w:val="000000"/>
                <w:sz w:val="24"/>
                <w:szCs w:val="24"/>
                <w:lang w:eastAsia="en-GB"/>
              </w:rPr>
            </w:pPr>
            <w:r w:rsidRPr="00FD1FE5">
              <w:rPr>
                <w:rFonts w:ascii="Arial" w:hAnsi="Arial" w:cs="Arial"/>
                <w:color w:val="000000"/>
                <w:sz w:val="24"/>
                <w:szCs w:val="24"/>
                <w:lang w:eastAsia="en-GB"/>
              </w:rPr>
              <w:t>Number of active clients</w:t>
            </w:r>
          </w:p>
        </w:tc>
      </w:tr>
      <w:tr w:rsidR="00FB169C" w:rsidRPr="00FD1FE5" w14:paraId="210ECF9C" w14:textId="77777777" w:rsidTr="00255C32">
        <w:trPr>
          <w:trHeight w:val="300"/>
        </w:trPr>
        <w:tc>
          <w:tcPr>
            <w:tcW w:w="960" w:type="dxa"/>
            <w:tcBorders>
              <w:top w:val="nil"/>
              <w:left w:val="nil"/>
              <w:bottom w:val="nil"/>
              <w:right w:val="nil"/>
            </w:tcBorders>
            <w:shd w:val="clear" w:color="auto" w:fill="auto"/>
            <w:noWrap/>
            <w:vAlign w:val="bottom"/>
            <w:hideMark/>
          </w:tcPr>
          <w:p w14:paraId="1D515A30"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2017</w:t>
            </w:r>
          </w:p>
        </w:tc>
        <w:tc>
          <w:tcPr>
            <w:tcW w:w="3560" w:type="dxa"/>
            <w:tcBorders>
              <w:top w:val="nil"/>
              <w:left w:val="nil"/>
              <w:bottom w:val="nil"/>
              <w:right w:val="nil"/>
            </w:tcBorders>
            <w:shd w:val="clear" w:color="auto" w:fill="auto"/>
            <w:noWrap/>
            <w:vAlign w:val="bottom"/>
            <w:hideMark/>
          </w:tcPr>
          <w:p w14:paraId="54FDA0CE"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6692</w:t>
            </w:r>
          </w:p>
        </w:tc>
      </w:tr>
      <w:tr w:rsidR="00FB169C" w:rsidRPr="00FD1FE5" w14:paraId="3843B672" w14:textId="77777777" w:rsidTr="00255C32">
        <w:trPr>
          <w:trHeight w:val="300"/>
        </w:trPr>
        <w:tc>
          <w:tcPr>
            <w:tcW w:w="960" w:type="dxa"/>
            <w:tcBorders>
              <w:top w:val="nil"/>
              <w:left w:val="nil"/>
              <w:bottom w:val="nil"/>
              <w:right w:val="nil"/>
            </w:tcBorders>
            <w:shd w:val="clear" w:color="auto" w:fill="auto"/>
            <w:noWrap/>
            <w:vAlign w:val="bottom"/>
            <w:hideMark/>
          </w:tcPr>
          <w:p w14:paraId="503F662B"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2018</w:t>
            </w:r>
          </w:p>
        </w:tc>
        <w:tc>
          <w:tcPr>
            <w:tcW w:w="3560" w:type="dxa"/>
            <w:tcBorders>
              <w:top w:val="nil"/>
              <w:left w:val="nil"/>
              <w:bottom w:val="nil"/>
              <w:right w:val="nil"/>
            </w:tcBorders>
            <w:shd w:val="clear" w:color="auto" w:fill="auto"/>
            <w:noWrap/>
            <w:vAlign w:val="bottom"/>
            <w:hideMark/>
          </w:tcPr>
          <w:p w14:paraId="2B3F58F0"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6218</w:t>
            </w:r>
          </w:p>
        </w:tc>
      </w:tr>
      <w:tr w:rsidR="00FB169C" w:rsidRPr="00FD1FE5" w14:paraId="3764EE74" w14:textId="77777777" w:rsidTr="00255C32">
        <w:trPr>
          <w:trHeight w:val="300"/>
        </w:trPr>
        <w:tc>
          <w:tcPr>
            <w:tcW w:w="960" w:type="dxa"/>
            <w:tcBorders>
              <w:top w:val="nil"/>
              <w:left w:val="nil"/>
              <w:bottom w:val="nil"/>
              <w:right w:val="nil"/>
            </w:tcBorders>
            <w:shd w:val="clear" w:color="auto" w:fill="auto"/>
            <w:noWrap/>
            <w:vAlign w:val="bottom"/>
            <w:hideMark/>
          </w:tcPr>
          <w:p w14:paraId="18BB034A"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2019</w:t>
            </w:r>
          </w:p>
        </w:tc>
        <w:tc>
          <w:tcPr>
            <w:tcW w:w="3560" w:type="dxa"/>
            <w:tcBorders>
              <w:top w:val="nil"/>
              <w:left w:val="nil"/>
              <w:bottom w:val="nil"/>
              <w:right w:val="nil"/>
            </w:tcBorders>
            <w:shd w:val="clear" w:color="auto" w:fill="auto"/>
            <w:noWrap/>
            <w:vAlign w:val="bottom"/>
            <w:hideMark/>
          </w:tcPr>
          <w:p w14:paraId="5979F97C"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6645</w:t>
            </w:r>
          </w:p>
        </w:tc>
      </w:tr>
      <w:tr w:rsidR="00FB169C" w:rsidRPr="00FD1FE5" w14:paraId="065033A1" w14:textId="77777777" w:rsidTr="00255C32">
        <w:trPr>
          <w:trHeight w:val="315"/>
        </w:trPr>
        <w:tc>
          <w:tcPr>
            <w:tcW w:w="960" w:type="dxa"/>
            <w:tcBorders>
              <w:top w:val="nil"/>
              <w:left w:val="nil"/>
              <w:bottom w:val="single" w:sz="8" w:space="0" w:color="auto"/>
              <w:right w:val="nil"/>
            </w:tcBorders>
            <w:shd w:val="clear" w:color="auto" w:fill="auto"/>
            <w:noWrap/>
            <w:vAlign w:val="bottom"/>
            <w:hideMark/>
          </w:tcPr>
          <w:p w14:paraId="361C9AE7"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2020</w:t>
            </w:r>
          </w:p>
        </w:tc>
        <w:tc>
          <w:tcPr>
            <w:tcW w:w="3560" w:type="dxa"/>
            <w:tcBorders>
              <w:top w:val="nil"/>
              <w:left w:val="nil"/>
              <w:bottom w:val="single" w:sz="8" w:space="0" w:color="auto"/>
              <w:right w:val="nil"/>
            </w:tcBorders>
            <w:shd w:val="clear" w:color="auto" w:fill="auto"/>
            <w:noWrap/>
            <w:vAlign w:val="bottom"/>
            <w:hideMark/>
          </w:tcPr>
          <w:p w14:paraId="026F63B1" w14:textId="77777777" w:rsidR="00FB169C" w:rsidRPr="00FD1FE5" w:rsidRDefault="00FB169C" w:rsidP="00255C32">
            <w:pPr>
              <w:jc w:val="right"/>
              <w:rPr>
                <w:rFonts w:ascii="Arial" w:hAnsi="Arial" w:cs="Arial"/>
                <w:color w:val="000000"/>
                <w:sz w:val="24"/>
                <w:szCs w:val="24"/>
                <w:lang w:eastAsia="en-GB"/>
              </w:rPr>
            </w:pPr>
            <w:r w:rsidRPr="00FD1FE5">
              <w:rPr>
                <w:rFonts w:ascii="Arial" w:hAnsi="Arial" w:cs="Arial"/>
                <w:color w:val="000000"/>
                <w:sz w:val="24"/>
                <w:szCs w:val="24"/>
                <w:lang w:eastAsia="en-GB"/>
              </w:rPr>
              <w:t>5979</w:t>
            </w:r>
          </w:p>
        </w:tc>
      </w:tr>
    </w:tbl>
    <w:p w14:paraId="77EC9D2F" w14:textId="13AC0363" w:rsidR="00FB169C" w:rsidRDefault="00FB169C" w:rsidP="005710B5">
      <w:pPr>
        <w:pStyle w:val="NICCYBodyTest"/>
      </w:pPr>
    </w:p>
    <w:p w14:paraId="6D1AF8FC" w14:textId="77777777" w:rsidR="00FB169C" w:rsidRDefault="00FB169C" w:rsidP="005710B5">
      <w:pPr>
        <w:pStyle w:val="NICCYBodyTest"/>
      </w:pPr>
    </w:p>
    <w:p w14:paraId="17C0D929" w14:textId="0FDB0225" w:rsidR="005710B5" w:rsidRDefault="008651A2" w:rsidP="005710B5">
      <w:pPr>
        <w:pStyle w:val="NICCYBodyTest"/>
      </w:pPr>
      <w:r w:rsidRPr="008651A2">
        <w:fldChar w:fldCharType="begin"/>
      </w:r>
      <w:r w:rsidRPr="008651A2">
        <w:instrText xml:space="preserve"> REF _Ref58423901 \h </w:instrText>
      </w:r>
      <w:r>
        <w:instrText xml:space="preserve"> \* MERGEFORMAT </w:instrText>
      </w:r>
      <w:r w:rsidRPr="008651A2">
        <w:fldChar w:fldCharType="separate"/>
      </w:r>
      <w:r w:rsidRPr="008651A2">
        <w:t xml:space="preserve">Table </w:t>
      </w:r>
      <w:r w:rsidRPr="008651A2">
        <w:rPr>
          <w:noProof/>
        </w:rPr>
        <w:t>6</w:t>
      </w:r>
      <w:r w:rsidRPr="008651A2">
        <w:fldChar w:fldCharType="end"/>
      </w:r>
      <w:r w:rsidRPr="008651A2">
        <w:t xml:space="preserve"> </w:t>
      </w:r>
      <w:r w:rsidR="005710B5" w:rsidRPr="008651A2">
        <w:t>provides</w:t>
      </w:r>
      <w:r w:rsidR="005710B5">
        <w:t xml:space="preserve"> a breakdown of the number of young </w:t>
      </w:r>
      <w:r w:rsidR="001B1227">
        <w:t xml:space="preserve">people accessing different CAMHS </w:t>
      </w:r>
      <w:r w:rsidR="005710B5">
        <w:t>Services at March 2020 and shows that the vast majority of clients (92%) were being seen by Step 2 or 3 Services</w:t>
      </w:r>
      <w:r w:rsidR="001B1227">
        <w:t>, with a much smaller number being supported by</w:t>
      </w:r>
      <w:r w:rsidR="005710B5">
        <w:t xml:space="preserve"> eating disorder, </w:t>
      </w:r>
      <w:r w:rsidR="009D22B0">
        <w:t>DAMHS</w:t>
      </w:r>
      <w:r w:rsidR="005710B5">
        <w:t xml:space="preserve"> or crisis support</w:t>
      </w:r>
      <w:r w:rsidR="001B1227">
        <w:t xml:space="preserve"> services</w:t>
      </w:r>
      <w:r w:rsidR="005710B5">
        <w:t xml:space="preserve">. </w:t>
      </w:r>
      <w:r w:rsidR="00402028">
        <w:t xml:space="preserve"> </w:t>
      </w:r>
    </w:p>
    <w:p w14:paraId="525CC0E7" w14:textId="7D823F87" w:rsidR="00A16E2C" w:rsidRPr="00A16E2C" w:rsidRDefault="00A16E2C" w:rsidP="00A16E2C">
      <w:pPr>
        <w:pStyle w:val="NICCYBodyText"/>
        <w:rPr>
          <w:sz w:val="20"/>
          <w:szCs w:val="20"/>
        </w:rPr>
      </w:pPr>
    </w:p>
    <w:p w14:paraId="4B614385" w14:textId="77777777" w:rsidR="005710B5" w:rsidRPr="00A16E2C" w:rsidRDefault="00A16E2C" w:rsidP="00A16E2C">
      <w:pPr>
        <w:pStyle w:val="NICCYBodyText"/>
        <w:rPr>
          <w:b/>
          <w:sz w:val="20"/>
          <w:szCs w:val="20"/>
        </w:rPr>
      </w:pPr>
      <w:bookmarkStart w:id="11" w:name="_Ref58423901"/>
      <w:r w:rsidRPr="00A16E2C">
        <w:rPr>
          <w:sz w:val="20"/>
          <w:szCs w:val="20"/>
        </w:rPr>
        <w:t xml:space="preserve">Table </w:t>
      </w:r>
      <w:r w:rsidRPr="00A16E2C">
        <w:rPr>
          <w:sz w:val="20"/>
          <w:szCs w:val="20"/>
        </w:rPr>
        <w:fldChar w:fldCharType="begin"/>
      </w:r>
      <w:r w:rsidRPr="00A16E2C">
        <w:rPr>
          <w:sz w:val="20"/>
          <w:szCs w:val="20"/>
        </w:rPr>
        <w:instrText xml:space="preserve"> SEQ Table \* ARABIC </w:instrText>
      </w:r>
      <w:r w:rsidRPr="00A16E2C">
        <w:rPr>
          <w:sz w:val="20"/>
          <w:szCs w:val="20"/>
        </w:rPr>
        <w:fldChar w:fldCharType="separate"/>
      </w:r>
      <w:r w:rsidR="00652AC5">
        <w:rPr>
          <w:noProof/>
          <w:sz w:val="20"/>
          <w:szCs w:val="20"/>
        </w:rPr>
        <w:t>6</w:t>
      </w:r>
      <w:r w:rsidRPr="00A16E2C">
        <w:rPr>
          <w:sz w:val="20"/>
          <w:szCs w:val="20"/>
        </w:rPr>
        <w:fldChar w:fldCharType="end"/>
      </w:r>
      <w:bookmarkEnd w:id="11"/>
      <w:r w:rsidRPr="00A16E2C">
        <w:rPr>
          <w:sz w:val="20"/>
          <w:szCs w:val="20"/>
        </w:rPr>
        <w:t>: Active Clients in CAMHS Services by Trust and Service as at 31 March 2020</w:t>
      </w:r>
    </w:p>
    <w:tbl>
      <w:tblPr>
        <w:tblW w:w="9710" w:type="dxa"/>
        <w:tblLook w:val="04A0" w:firstRow="1" w:lastRow="0" w:firstColumn="1" w:lastColumn="0" w:noHBand="0" w:noVBand="1"/>
      </w:tblPr>
      <w:tblGrid>
        <w:gridCol w:w="1437"/>
        <w:gridCol w:w="117"/>
        <w:gridCol w:w="1052"/>
        <w:gridCol w:w="1169"/>
        <w:gridCol w:w="1949"/>
        <w:gridCol w:w="1648"/>
        <w:gridCol w:w="1169"/>
        <w:gridCol w:w="1169"/>
      </w:tblGrid>
      <w:tr w:rsidR="00407A68" w:rsidRPr="00407A68" w14:paraId="059BEB85" w14:textId="77777777" w:rsidTr="00407A68">
        <w:trPr>
          <w:trHeight w:val="384"/>
        </w:trPr>
        <w:tc>
          <w:tcPr>
            <w:tcW w:w="1554" w:type="dxa"/>
            <w:gridSpan w:val="2"/>
            <w:tcBorders>
              <w:top w:val="single" w:sz="8" w:space="0" w:color="auto"/>
              <w:left w:val="nil"/>
              <w:bottom w:val="single" w:sz="8" w:space="0" w:color="auto"/>
              <w:right w:val="nil"/>
            </w:tcBorders>
            <w:shd w:val="clear" w:color="auto" w:fill="auto"/>
            <w:noWrap/>
            <w:vAlign w:val="bottom"/>
            <w:hideMark/>
          </w:tcPr>
          <w:p w14:paraId="0B94C0D6" w14:textId="77777777" w:rsidR="00407A68" w:rsidRPr="00407A68" w:rsidRDefault="00407A68" w:rsidP="00407A68">
            <w:pPr>
              <w:rPr>
                <w:rFonts w:ascii="Arial" w:hAnsi="Arial" w:cs="Arial"/>
                <w:b/>
                <w:bCs/>
                <w:color w:val="000000"/>
                <w:sz w:val="22"/>
                <w:szCs w:val="22"/>
                <w:lang w:eastAsia="en-GB"/>
              </w:rPr>
            </w:pPr>
            <w:r w:rsidRPr="00407A68">
              <w:rPr>
                <w:rFonts w:ascii="Arial" w:hAnsi="Arial" w:cs="Arial"/>
                <w:b/>
                <w:bCs/>
                <w:color w:val="000000"/>
                <w:sz w:val="22"/>
                <w:szCs w:val="22"/>
                <w:lang w:eastAsia="en-GB"/>
              </w:rPr>
              <w:t> </w:t>
            </w:r>
          </w:p>
        </w:tc>
        <w:tc>
          <w:tcPr>
            <w:tcW w:w="1052" w:type="dxa"/>
            <w:tcBorders>
              <w:top w:val="single" w:sz="8" w:space="0" w:color="auto"/>
              <w:left w:val="nil"/>
              <w:bottom w:val="single" w:sz="8" w:space="0" w:color="auto"/>
              <w:right w:val="nil"/>
            </w:tcBorders>
            <w:shd w:val="clear" w:color="auto" w:fill="auto"/>
            <w:noWrap/>
            <w:vAlign w:val="bottom"/>
            <w:hideMark/>
          </w:tcPr>
          <w:p w14:paraId="64B67615"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Step 2</w:t>
            </w:r>
          </w:p>
        </w:tc>
        <w:tc>
          <w:tcPr>
            <w:tcW w:w="1169" w:type="dxa"/>
            <w:tcBorders>
              <w:top w:val="single" w:sz="8" w:space="0" w:color="auto"/>
              <w:left w:val="nil"/>
              <w:bottom w:val="single" w:sz="8" w:space="0" w:color="auto"/>
              <w:right w:val="nil"/>
            </w:tcBorders>
            <w:shd w:val="clear" w:color="auto" w:fill="auto"/>
            <w:noWrap/>
            <w:vAlign w:val="bottom"/>
            <w:hideMark/>
          </w:tcPr>
          <w:p w14:paraId="46DCE124" w14:textId="3A2D8F1A"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Step 3</w:t>
            </w:r>
            <w:r w:rsidR="00767EF6">
              <w:rPr>
                <w:rFonts w:ascii="Arial" w:hAnsi="Arial" w:cs="Arial"/>
                <w:b/>
                <w:bCs/>
                <w:color w:val="000000"/>
                <w:sz w:val="22"/>
                <w:szCs w:val="22"/>
                <w:lang w:eastAsia="en-GB"/>
              </w:rPr>
              <w:t xml:space="preserve"> (core)</w:t>
            </w:r>
          </w:p>
        </w:tc>
        <w:tc>
          <w:tcPr>
            <w:tcW w:w="1949" w:type="dxa"/>
            <w:tcBorders>
              <w:top w:val="single" w:sz="8" w:space="0" w:color="auto"/>
              <w:left w:val="nil"/>
              <w:bottom w:val="single" w:sz="8" w:space="0" w:color="auto"/>
              <w:right w:val="nil"/>
            </w:tcBorders>
            <w:shd w:val="clear" w:color="auto" w:fill="auto"/>
            <w:noWrap/>
            <w:vAlign w:val="bottom"/>
            <w:hideMark/>
          </w:tcPr>
          <w:p w14:paraId="22B5EFEE"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Eating Disorder</w:t>
            </w:r>
          </w:p>
        </w:tc>
        <w:tc>
          <w:tcPr>
            <w:tcW w:w="1648" w:type="dxa"/>
            <w:tcBorders>
              <w:top w:val="single" w:sz="8" w:space="0" w:color="auto"/>
              <w:left w:val="nil"/>
              <w:bottom w:val="single" w:sz="8" w:space="0" w:color="auto"/>
              <w:right w:val="nil"/>
            </w:tcBorders>
            <w:shd w:val="clear" w:color="auto" w:fill="auto"/>
            <w:noWrap/>
            <w:vAlign w:val="bottom"/>
            <w:hideMark/>
          </w:tcPr>
          <w:p w14:paraId="38C24CBC" w14:textId="1A847590" w:rsidR="00407A68" w:rsidRPr="00407A68" w:rsidRDefault="009D22B0" w:rsidP="00407A68">
            <w:pPr>
              <w:jc w:val="center"/>
              <w:rPr>
                <w:rFonts w:ascii="Arial" w:hAnsi="Arial" w:cs="Arial"/>
                <w:b/>
                <w:bCs/>
                <w:color w:val="000000"/>
                <w:sz w:val="22"/>
                <w:szCs w:val="22"/>
                <w:lang w:eastAsia="en-GB"/>
              </w:rPr>
            </w:pPr>
            <w:r>
              <w:rPr>
                <w:rFonts w:ascii="Arial" w:hAnsi="Arial" w:cs="Arial"/>
                <w:b/>
                <w:bCs/>
                <w:color w:val="000000"/>
                <w:sz w:val="22"/>
                <w:szCs w:val="22"/>
                <w:lang w:eastAsia="en-GB"/>
              </w:rPr>
              <w:t>DAMHS</w:t>
            </w:r>
          </w:p>
        </w:tc>
        <w:tc>
          <w:tcPr>
            <w:tcW w:w="1169" w:type="dxa"/>
            <w:tcBorders>
              <w:top w:val="single" w:sz="8" w:space="0" w:color="auto"/>
              <w:left w:val="nil"/>
              <w:bottom w:val="single" w:sz="8" w:space="0" w:color="auto"/>
              <w:right w:val="nil"/>
            </w:tcBorders>
            <w:shd w:val="clear" w:color="auto" w:fill="auto"/>
            <w:noWrap/>
            <w:vAlign w:val="bottom"/>
            <w:hideMark/>
          </w:tcPr>
          <w:p w14:paraId="1106A8E2"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Crisis</w:t>
            </w:r>
          </w:p>
        </w:tc>
        <w:tc>
          <w:tcPr>
            <w:tcW w:w="1169" w:type="dxa"/>
            <w:tcBorders>
              <w:top w:val="single" w:sz="8" w:space="0" w:color="auto"/>
              <w:left w:val="nil"/>
              <w:bottom w:val="single" w:sz="8" w:space="0" w:color="auto"/>
              <w:right w:val="nil"/>
            </w:tcBorders>
            <w:shd w:val="clear" w:color="auto" w:fill="auto"/>
            <w:noWrap/>
            <w:vAlign w:val="bottom"/>
            <w:hideMark/>
          </w:tcPr>
          <w:p w14:paraId="47899EBF" w14:textId="2CF5722C"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Total</w:t>
            </w:r>
          </w:p>
        </w:tc>
      </w:tr>
      <w:tr w:rsidR="00407A68" w:rsidRPr="00407A68" w14:paraId="36184EBF" w14:textId="77777777" w:rsidTr="00407A68">
        <w:trPr>
          <w:trHeight w:val="366"/>
        </w:trPr>
        <w:tc>
          <w:tcPr>
            <w:tcW w:w="1437" w:type="dxa"/>
            <w:tcBorders>
              <w:top w:val="nil"/>
              <w:left w:val="nil"/>
              <w:bottom w:val="nil"/>
              <w:right w:val="nil"/>
            </w:tcBorders>
            <w:shd w:val="clear" w:color="auto" w:fill="auto"/>
            <w:noWrap/>
            <w:vAlign w:val="bottom"/>
            <w:hideMark/>
          </w:tcPr>
          <w:p w14:paraId="49A6F088" w14:textId="4AD30A93" w:rsidR="00407A68" w:rsidRPr="00407A68" w:rsidRDefault="00407A68" w:rsidP="00407A68">
            <w:pPr>
              <w:rPr>
                <w:rFonts w:ascii="Arial" w:hAnsi="Arial" w:cs="Arial"/>
                <w:color w:val="000000"/>
                <w:sz w:val="22"/>
                <w:szCs w:val="22"/>
                <w:lang w:eastAsia="en-GB"/>
              </w:rPr>
            </w:pPr>
            <w:r w:rsidRPr="00407A68">
              <w:rPr>
                <w:rFonts w:ascii="Arial" w:hAnsi="Arial" w:cs="Arial"/>
                <w:color w:val="000000"/>
                <w:sz w:val="22"/>
                <w:szCs w:val="22"/>
                <w:lang w:eastAsia="en-GB"/>
              </w:rPr>
              <w:t>BHSCT &amp; SE</w:t>
            </w:r>
            <w:r w:rsidR="00767EF6">
              <w:rPr>
                <w:rFonts w:ascii="Arial" w:hAnsi="Arial" w:cs="Arial"/>
                <w:color w:val="000000"/>
                <w:sz w:val="22"/>
                <w:szCs w:val="22"/>
                <w:lang w:eastAsia="en-GB"/>
              </w:rPr>
              <w:t>T</w:t>
            </w:r>
            <w:r w:rsidRPr="00407A68">
              <w:rPr>
                <w:rFonts w:ascii="Arial" w:hAnsi="Arial" w:cs="Arial"/>
                <w:color w:val="000000"/>
                <w:sz w:val="22"/>
                <w:szCs w:val="22"/>
                <w:lang w:eastAsia="en-GB"/>
              </w:rPr>
              <w:t xml:space="preserve"> </w:t>
            </w:r>
          </w:p>
        </w:tc>
        <w:tc>
          <w:tcPr>
            <w:tcW w:w="1169" w:type="dxa"/>
            <w:gridSpan w:val="2"/>
            <w:tcBorders>
              <w:top w:val="nil"/>
              <w:left w:val="nil"/>
              <w:bottom w:val="nil"/>
              <w:right w:val="nil"/>
            </w:tcBorders>
            <w:shd w:val="clear" w:color="auto" w:fill="auto"/>
            <w:noWrap/>
            <w:vAlign w:val="bottom"/>
            <w:hideMark/>
          </w:tcPr>
          <w:p w14:paraId="2466797C"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667</w:t>
            </w:r>
          </w:p>
        </w:tc>
        <w:tc>
          <w:tcPr>
            <w:tcW w:w="1169" w:type="dxa"/>
            <w:tcBorders>
              <w:top w:val="nil"/>
              <w:left w:val="nil"/>
              <w:bottom w:val="nil"/>
              <w:right w:val="nil"/>
            </w:tcBorders>
            <w:shd w:val="clear" w:color="auto" w:fill="auto"/>
            <w:noWrap/>
            <w:vAlign w:val="bottom"/>
            <w:hideMark/>
          </w:tcPr>
          <w:p w14:paraId="0A4F48FE"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1334</w:t>
            </w:r>
          </w:p>
        </w:tc>
        <w:tc>
          <w:tcPr>
            <w:tcW w:w="1949" w:type="dxa"/>
            <w:tcBorders>
              <w:top w:val="nil"/>
              <w:left w:val="nil"/>
              <w:bottom w:val="nil"/>
              <w:right w:val="nil"/>
            </w:tcBorders>
            <w:shd w:val="clear" w:color="auto" w:fill="auto"/>
            <w:noWrap/>
            <w:vAlign w:val="bottom"/>
            <w:hideMark/>
          </w:tcPr>
          <w:p w14:paraId="1EAFDB91"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57</w:t>
            </w:r>
          </w:p>
        </w:tc>
        <w:tc>
          <w:tcPr>
            <w:tcW w:w="1648" w:type="dxa"/>
            <w:tcBorders>
              <w:top w:val="nil"/>
              <w:left w:val="nil"/>
              <w:bottom w:val="nil"/>
              <w:right w:val="nil"/>
            </w:tcBorders>
            <w:shd w:val="clear" w:color="auto" w:fill="auto"/>
            <w:noWrap/>
            <w:vAlign w:val="bottom"/>
            <w:hideMark/>
          </w:tcPr>
          <w:p w14:paraId="5B87125B"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66</w:t>
            </w:r>
          </w:p>
        </w:tc>
        <w:tc>
          <w:tcPr>
            <w:tcW w:w="1169" w:type="dxa"/>
            <w:tcBorders>
              <w:top w:val="nil"/>
              <w:left w:val="nil"/>
              <w:bottom w:val="nil"/>
              <w:right w:val="nil"/>
            </w:tcBorders>
            <w:shd w:val="clear" w:color="auto" w:fill="auto"/>
            <w:noWrap/>
            <w:vAlign w:val="bottom"/>
            <w:hideMark/>
          </w:tcPr>
          <w:p w14:paraId="67D80E3D"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37</w:t>
            </w:r>
          </w:p>
        </w:tc>
        <w:tc>
          <w:tcPr>
            <w:tcW w:w="1169" w:type="dxa"/>
            <w:tcBorders>
              <w:top w:val="nil"/>
              <w:left w:val="nil"/>
              <w:bottom w:val="nil"/>
              <w:right w:val="nil"/>
            </w:tcBorders>
            <w:shd w:val="clear" w:color="auto" w:fill="auto"/>
            <w:noWrap/>
            <w:vAlign w:val="bottom"/>
            <w:hideMark/>
          </w:tcPr>
          <w:p w14:paraId="66A72A8D"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2161</w:t>
            </w:r>
          </w:p>
        </w:tc>
      </w:tr>
      <w:tr w:rsidR="00407A68" w:rsidRPr="00407A68" w14:paraId="0A4ED3FB" w14:textId="77777777" w:rsidTr="00407A68">
        <w:trPr>
          <w:trHeight w:val="366"/>
        </w:trPr>
        <w:tc>
          <w:tcPr>
            <w:tcW w:w="1437" w:type="dxa"/>
            <w:tcBorders>
              <w:top w:val="nil"/>
              <w:left w:val="nil"/>
              <w:bottom w:val="nil"/>
              <w:right w:val="nil"/>
            </w:tcBorders>
            <w:shd w:val="clear" w:color="auto" w:fill="auto"/>
            <w:noWrap/>
            <w:vAlign w:val="bottom"/>
            <w:hideMark/>
          </w:tcPr>
          <w:p w14:paraId="5D91C1F6" w14:textId="77777777" w:rsidR="00407A68" w:rsidRPr="00407A68" w:rsidRDefault="00407A68" w:rsidP="00407A68">
            <w:pPr>
              <w:rPr>
                <w:rFonts w:ascii="Arial" w:hAnsi="Arial" w:cs="Arial"/>
                <w:color w:val="000000"/>
                <w:sz w:val="22"/>
                <w:szCs w:val="22"/>
                <w:lang w:eastAsia="en-GB"/>
              </w:rPr>
            </w:pPr>
            <w:r w:rsidRPr="00407A68">
              <w:rPr>
                <w:rFonts w:ascii="Arial" w:hAnsi="Arial" w:cs="Arial"/>
                <w:color w:val="000000"/>
                <w:sz w:val="22"/>
                <w:szCs w:val="22"/>
                <w:lang w:eastAsia="en-GB"/>
              </w:rPr>
              <w:t xml:space="preserve">Northern </w:t>
            </w:r>
          </w:p>
        </w:tc>
        <w:tc>
          <w:tcPr>
            <w:tcW w:w="1169" w:type="dxa"/>
            <w:gridSpan w:val="2"/>
            <w:tcBorders>
              <w:top w:val="nil"/>
              <w:left w:val="nil"/>
              <w:bottom w:val="nil"/>
              <w:right w:val="nil"/>
            </w:tcBorders>
            <w:shd w:val="clear" w:color="auto" w:fill="auto"/>
            <w:noWrap/>
            <w:vAlign w:val="bottom"/>
            <w:hideMark/>
          </w:tcPr>
          <w:p w14:paraId="3BCAECA2"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349</w:t>
            </w:r>
          </w:p>
        </w:tc>
        <w:tc>
          <w:tcPr>
            <w:tcW w:w="1169" w:type="dxa"/>
            <w:tcBorders>
              <w:top w:val="nil"/>
              <w:left w:val="nil"/>
              <w:bottom w:val="nil"/>
              <w:right w:val="nil"/>
            </w:tcBorders>
            <w:shd w:val="clear" w:color="auto" w:fill="auto"/>
            <w:noWrap/>
            <w:vAlign w:val="bottom"/>
            <w:hideMark/>
          </w:tcPr>
          <w:p w14:paraId="72E4DCC3"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853</w:t>
            </w:r>
          </w:p>
        </w:tc>
        <w:tc>
          <w:tcPr>
            <w:tcW w:w="1949" w:type="dxa"/>
            <w:tcBorders>
              <w:top w:val="nil"/>
              <w:left w:val="nil"/>
              <w:bottom w:val="nil"/>
              <w:right w:val="nil"/>
            </w:tcBorders>
            <w:shd w:val="clear" w:color="auto" w:fill="auto"/>
            <w:noWrap/>
            <w:vAlign w:val="bottom"/>
            <w:hideMark/>
          </w:tcPr>
          <w:p w14:paraId="50F623D8"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64</w:t>
            </w:r>
          </w:p>
        </w:tc>
        <w:tc>
          <w:tcPr>
            <w:tcW w:w="1648" w:type="dxa"/>
            <w:tcBorders>
              <w:top w:val="nil"/>
              <w:left w:val="nil"/>
              <w:bottom w:val="nil"/>
              <w:right w:val="nil"/>
            </w:tcBorders>
            <w:shd w:val="clear" w:color="auto" w:fill="auto"/>
            <w:noWrap/>
            <w:vAlign w:val="bottom"/>
            <w:hideMark/>
          </w:tcPr>
          <w:p w14:paraId="0DC9EAD1"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16</w:t>
            </w:r>
          </w:p>
        </w:tc>
        <w:tc>
          <w:tcPr>
            <w:tcW w:w="1169" w:type="dxa"/>
            <w:tcBorders>
              <w:top w:val="nil"/>
              <w:left w:val="nil"/>
              <w:bottom w:val="nil"/>
              <w:right w:val="nil"/>
            </w:tcBorders>
            <w:shd w:val="clear" w:color="auto" w:fill="auto"/>
            <w:noWrap/>
            <w:vAlign w:val="bottom"/>
            <w:hideMark/>
          </w:tcPr>
          <w:p w14:paraId="16420322"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30</w:t>
            </w:r>
          </w:p>
        </w:tc>
        <w:tc>
          <w:tcPr>
            <w:tcW w:w="1169" w:type="dxa"/>
            <w:tcBorders>
              <w:top w:val="nil"/>
              <w:left w:val="nil"/>
              <w:bottom w:val="nil"/>
              <w:right w:val="nil"/>
            </w:tcBorders>
            <w:shd w:val="clear" w:color="auto" w:fill="auto"/>
            <w:noWrap/>
            <w:vAlign w:val="bottom"/>
            <w:hideMark/>
          </w:tcPr>
          <w:p w14:paraId="7D7EF375"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1312</w:t>
            </w:r>
          </w:p>
        </w:tc>
      </w:tr>
      <w:tr w:rsidR="00407A68" w:rsidRPr="00407A68" w14:paraId="79EA6404" w14:textId="77777777" w:rsidTr="00407A68">
        <w:trPr>
          <w:trHeight w:val="366"/>
        </w:trPr>
        <w:tc>
          <w:tcPr>
            <w:tcW w:w="1437" w:type="dxa"/>
            <w:tcBorders>
              <w:top w:val="nil"/>
              <w:left w:val="nil"/>
              <w:bottom w:val="nil"/>
              <w:right w:val="nil"/>
            </w:tcBorders>
            <w:shd w:val="clear" w:color="auto" w:fill="auto"/>
            <w:noWrap/>
            <w:vAlign w:val="bottom"/>
            <w:hideMark/>
          </w:tcPr>
          <w:p w14:paraId="0D26FD0F" w14:textId="77777777" w:rsidR="00407A68" w:rsidRPr="00407A68" w:rsidRDefault="00407A68" w:rsidP="00407A68">
            <w:pPr>
              <w:rPr>
                <w:rFonts w:ascii="Arial" w:hAnsi="Arial" w:cs="Arial"/>
                <w:color w:val="000000"/>
                <w:sz w:val="22"/>
                <w:szCs w:val="22"/>
                <w:lang w:eastAsia="en-GB"/>
              </w:rPr>
            </w:pPr>
            <w:r w:rsidRPr="00407A68">
              <w:rPr>
                <w:rFonts w:ascii="Arial" w:hAnsi="Arial" w:cs="Arial"/>
                <w:color w:val="000000"/>
                <w:sz w:val="22"/>
                <w:szCs w:val="22"/>
                <w:lang w:eastAsia="en-GB"/>
              </w:rPr>
              <w:t>Southern</w:t>
            </w:r>
          </w:p>
        </w:tc>
        <w:tc>
          <w:tcPr>
            <w:tcW w:w="1169" w:type="dxa"/>
            <w:gridSpan w:val="2"/>
            <w:tcBorders>
              <w:top w:val="nil"/>
              <w:left w:val="nil"/>
              <w:bottom w:val="nil"/>
              <w:right w:val="nil"/>
            </w:tcBorders>
            <w:shd w:val="clear" w:color="auto" w:fill="auto"/>
            <w:noWrap/>
            <w:vAlign w:val="bottom"/>
            <w:hideMark/>
          </w:tcPr>
          <w:p w14:paraId="2BC6D6C2"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369</w:t>
            </w:r>
          </w:p>
        </w:tc>
        <w:tc>
          <w:tcPr>
            <w:tcW w:w="1169" w:type="dxa"/>
            <w:tcBorders>
              <w:top w:val="nil"/>
              <w:left w:val="nil"/>
              <w:bottom w:val="nil"/>
              <w:right w:val="nil"/>
            </w:tcBorders>
            <w:shd w:val="clear" w:color="auto" w:fill="auto"/>
            <w:noWrap/>
            <w:vAlign w:val="bottom"/>
            <w:hideMark/>
          </w:tcPr>
          <w:p w14:paraId="06298DB2"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807</w:t>
            </w:r>
          </w:p>
        </w:tc>
        <w:tc>
          <w:tcPr>
            <w:tcW w:w="1949" w:type="dxa"/>
            <w:tcBorders>
              <w:top w:val="nil"/>
              <w:left w:val="nil"/>
              <w:bottom w:val="nil"/>
              <w:right w:val="nil"/>
            </w:tcBorders>
            <w:shd w:val="clear" w:color="auto" w:fill="auto"/>
            <w:noWrap/>
            <w:vAlign w:val="bottom"/>
            <w:hideMark/>
          </w:tcPr>
          <w:p w14:paraId="032DA881"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54</w:t>
            </w:r>
          </w:p>
        </w:tc>
        <w:tc>
          <w:tcPr>
            <w:tcW w:w="1648" w:type="dxa"/>
            <w:tcBorders>
              <w:top w:val="nil"/>
              <w:left w:val="nil"/>
              <w:bottom w:val="nil"/>
              <w:right w:val="nil"/>
            </w:tcBorders>
            <w:shd w:val="clear" w:color="auto" w:fill="auto"/>
            <w:noWrap/>
            <w:vAlign w:val="bottom"/>
            <w:hideMark/>
          </w:tcPr>
          <w:p w14:paraId="09A6113E" w14:textId="418D8E1E" w:rsidR="00407A68" w:rsidRPr="00407A68" w:rsidRDefault="00767EF6" w:rsidP="00407A68">
            <w:pPr>
              <w:jc w:val="center"/>
              <w:rPr>
                <w:rFonts w:ascii="Arial" w:hAnsi="Arial" w:cs="Arial"/>
                <w:color w:val="000000"/>
                <w:sz w:val="22"/>
                <w:szCs w:val="22"/>
                <w:lang w:eastAsia="en-GB"/>
              </w:rPr>
            </w:pPr>
            <w:r>
              <w:rPr>
                <w:rFonts w:ascii="Arial" w:hAnsi="Arial" w:cs="Arial"/>
                <w:color w:val="000000"/>
                <w:sz w:val="22"/>
                <w:szCs w:val="22"/>
                <w:lang w:eastAsia="en-GB"/>
              </w:rPr>
              <w:t>-</w:t>
            </w:r>
          </w:p>
        </w:tc>
        <w:tc>
          <w:tcPr>
            <w:tcW w:w="1169" w:type="dxa"/>
            <w:tcBorders>
              <w:top w:val="nil"/>
              <w:left w:val="nil"/>
              <w:bottom w:val="nil"/>
              <w:right w:val="nil"/>
            </w:tcBorders>
            <w:shd w:val="clear" w:color="auto" w:fill="auto"/>
            <w:noWrap/>
            <w:vAlign w:val="bottom"/>
            <w:hideMark/>
          </w:tcPr>
          <w:p w14:paraId="42F029BA" w14:textId="357B52C6" w:rsidR="00407A68" w:rsidRPr="00407A68" w:rsidRDefault="00767EF6" w:rsidP="00407A68">
            <w:pPr>
              <w:jc w:val="center"/>
              <w:rPr>
                <w:rFonts w:ascii="Arial" w:hAnsi="Arial" w:cs="Arial"/>
                <w:sz w:val="22"/>
                <w:szCs w:val="22"/>
                <w:lang w:eastAsia="en-GB"/>
              </w:rPr>
            </w:pPr>
            <w:r>
              <w:rPr>
                <w:rFonts w:ascii="Arial" w:hAnsi="Arial" w:cs="Arial"/>
                <w:sz w:val="22"/>
                <w:szCs w:val="22"/>
                <w:lang w:eastAsia="en-GB"/>
              </w:rPr>
              <w:t>-</w:t>
            </w:r>
          </w:p>
        </w:tc>
        <w:tc>
          <w:tcPr>
            <w:tcW w:w="1169" w:type="dxa"/>
            <w:tcBorders>
              <w:top w:val="nil"/>
              <w:left w:val="nil"/>
              <w:bottom w:val="nil"/>
              <w:right w:val="nil"/>
            </w:tcBorders>
            <w:shd w:val="clear" w:color="auto" w:fill="auto"/>
            <w:noWrap/>
            <w:vAlign w:val="bottom"/>
            <w:hideMark/>
          </w:tcPr>
          <w:p w14:paraId="127DA9DE"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1230</w:t>
            </w:r>
          </w:p>
        </w:tc>
      </w:tr>
      <w:tr w:rsidR="00407A68" w:rsidRPr="00407A68" w14:paraId="50AE6B42" w14:textId="77777777" w:rsidTr="00407A68">
        <w:trPr>
          <w:trHeight w:val="384"/>
        </w:trPr>
        <w:tc>
          <w:tcPr>
            <w:tcW w:w="1437" w:type="dxa"/>
            <w:tcBorders>
              <w:top w:val="nil"/>
              <w:left w:val="nil"/>
              <w:bottom w:val="nil"/>
              <w:right w:val="nil"/>
            </w:tcBorders>
            <w:shd w:val="clear" w:color="auto" w:fill="auto"/>
            <w:noWrap/>
            <w:vAlign w:val="bottom"/>
            <w:hideMark/>
          </w:tcPr>
          <w:p w14:paraId="300BDA66" w14:textId="77777777" w:rsidR="00407A68" w:rsidRPr="00407A68" w:rsidRDefault="00407A68" w:rsidP="00407A68">
            <w:pPr>
              <w:rPr>
                <w:rFonts w:ascii="Arial" w:hAnsi="Arial" w:cs="Arial"/>
                <w:color w:val="000000"/>
                <w:sz w:val="22"/>
                <w:szCs w:val="22"/>
                <w:lang w:eastAsia="en-GB"/>
              </w:rPr>
            </w:pPr>
            <w:r w:rsidRPr="00407A68">
              <w:rPr>
                <w:rFonts w:ascii="Arial" w:hAnsi="Arial" w:cs="Arial"/>
                <w:color w:val="000000"/>
                <w:sz w:val="22"/>
                <w:szCs w:val="22"/>
                <w:lang w:eastAsia="en-GB"/>
              </w:rPr>
              <w:t>Western</w:t>
            </w:r>
          </w:p>
        </w:tc>
        <w:tc>
          <w:tcPr>
            <w:tcW w:w="1169" w:type="dxa"/>
            <w:gridSpan w:val="2"/>
            <w:tcBorders>
              <w:top w:val="nil"/>
              <w:left w:val="nil"/>
              <w:bottom w:val="nil"/>
              <w:right w:val="nil"/>
            </w:tcBorders>
            <w:shd w:val="clear" w:color="auto" w:fill="auto"/>
            <w:noWrap/>
            <w:vAlign w:val="bottom"/>
            <w:hideMark/>
          </w:tcPr>
          <w:p w14:paraId="51C65917"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116</w:t>
            </w:r>
          </w:p>
        </w:tc>
        <w:tc>
          <w:tcPr>
            <w:tcW w:w="1169" w:type="dxa"/>
            <w:tcBorders>
              <w:top w:val="nil"/>
              <w:left w:val="nil"/>
              <w:bottom w:val="nil"/>
              <w:right w:val="nil"/>
            </w:tcBorders>
            <w:shd w:val="clear" w:color="auto" w:fill="auto"/>
            <w:noWrap/>
            <w:vAlign w:val="bottom"/>
            <w:hideMark/>
          </w:tcPr>
          <w:p w14:paraId="41549F9F"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991</w:t>
            </w:r>
          </w:p>
        </w:tc>
        <w:tc>
          <w:tcPr>
            <w:tcW w:w="1949" w:type="dxa"/>
            <w:tcBorders>
              <w:top w:val="nil"/>
              <w:left w:val="nil"/>
              <w:bottom w:val="nil"/>
              <w:right w:val="nil"/>
            </w:tcBorders>
            <w:shd w:val="clear" w:color="auto" w:fill="auto"/>
            <w:noWrap/>
            <w:vAlign w:val="bottom"/>
            <w:hideMark/>
          </w:tcPr>
          <w:p w14:paraId="667C6F8D"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64</w:t>
            </w:r>
          </w:p>
        </w:tc>
        <w:tc>
          <w:tcPr>
            <w:tcW w:w="1648" w:type="dxa"/>
            <w:tcBorders>
              <w:top w:val="nil"/>
              <w:left w:val="nil"/>
              <w:bottom w:val="nil"/>
              <w:right w:val="nil"/>
            </w:tcBorders>
            <w:shd w:val="clear" w:color="auto" w:fill="auto"/>
            <w:noWrap/>
            <w:vAlign w:val="bottom"/>
            <w:hideMark/>
          </w:tcPr>
          <w:p w14:paraId="4ED0576D"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28</w:t>
            </w:r>
          </w:p>
        </w:tc>
        <w:tc>
          <w:tcPr>
            <w:tcW w:w="1169" w:type="dxa"/>
            <w:tcBorders>
              <w:top w:val="nil"/>
              <w:left w:val="nil"/>
              <w:bottom w:val="nil"/>
              <w:right w:val="nil"/>
            </w:tcBorders>
            <w:shd w:val="clear" w:color="auto" w:fill="auto"/>
            <w:noWrap/>
            <w:vAlign w:val="bottom"/>
            <w:hideMark/>
          </w:tcPr>
          <w:p w14:paraId="29B6DD52"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77</w:t>
            </w:r>
          </w:p>
        </w:tc>
        <w:tc>
          <w:tcPr>
            <w:tcW w:w="1169" w:type="dxa"/>
            <w:tcBorders>
              <w:top w:val="nil"/>
              <w:left w:val="nil"/>
              <w:bottom w:val="nil"/>
              <w:right w:val="nil"/>
            </w:tcBorders>
            <w:shd w:val="clear" w:color="auto" w:fill="auto"/>
            <w:noWrap/>
            <w:vAlign w:val="bottom"/>
            <w:hideMark/>
          </w:tcPr>
          <w:p w14:paraId="67555BC4" w14:textId="77777777" w:rsidR="00407A68" w:rsidRPr="00407A68" w:rsidRDefault="00407A68" w:rsidP="00407A68">
            <w:pPr>
              <w:jc w:val="center"/>
              <w:rPr>
                <w:rFonts w:ascii="Arial" w:hAnsi="Arial" w:cs="Arial"/>
                <w:color w:val="000000"/>
                <w:sz w:val="22"/>
                <w:szCs w:val="22"/>
                <w:lang w:eastAsia="en-GB"/>
              </w:rPr>
            </w:pPr>
            <w:r w:rsidRPr="00407A68">
              <w:rPr>
                <w:rFonts w:ascii="Arial" w:hAnsi="Arial" w:cs="Arial"/>
                <w:color w:val="000000"/>
                <w:sz w:val="22"/>
                <w:szCs w:val="22"/>
                <w:lang w:eastAsia="en-GB"/>
              </w:rPr>
              <w:t>1276</w:t>
            </w:r>
          </w:p>
        </w:tc>
      </w:tr>
      <w:tr w:rsidR="00407A68" w:rsidRPr="00407A68" w14:paraId="53D04052" w14:textId="77777777" w:rsidTr="00407A68">
        <w:trPr>
          <w:trHeight w:val="384"/>
        </w:trPr>
        <w:tc>
          <w:tcPr>
            <w:tcW w:w="1437" w:type="dxa"/>
            <w:tcBorders>
              <w:top w:val="single" w:sz="8" w:space="0" w:color="auto"/>
              <w:left w:val="nil"/>
              <w:bottom w:val="single" w:sz="8" w:space="0" w:color="auto"/>
              <w:right w:val="nil"/>
            </w:tcBorders>
            <w:shd w:val="clear" w:color="auto" w:fill="auto"/>
            <w:noWrap/>
            <w:vAlign w:val="bottom"/>
            <w:hideMark/>
          </w:tcPr>
          <w:p w14:paraId="4E55A2E2" w14:textId="77777777" w:rsidR="00407A68" w:rsidRPr="00407A68" w:rsidRDefault="00407A68" w:rsidP="00407A68">
            <w:pPr>
              <w:rPr>
                <w:rFonts w:ascii="Arial" w:hAnsi="Arial" w:cs="Arial"/>
                <w:b/>
                <w:bCs/>
                <w:color w:val="000000"/>
                <w:sz w:val="22"/>
                <w:szCs w:val="22"/>
                <w:lang w:eastAsia="en-GB"/>
              </w:rPr>
            </w:pPr>
            <w:r w:rsidRPr="00407A68">
              <w:rPr>
                <w:rFonts w:ascii="Arial" w:hAnsi="Arial" w:cs="Arial"/>
                <w:b/>
                <w:bCs/>
                <w:color w:val="000000"/>
                <w:sz w:val="22"/>
                <w:szCs w:val="22"/>
                <w:lang w:eastAsia="en-GB"/>
              </w:rPr>
              <w:t>Region (n)</w:t>
            </w:r>
          </w:p>
        </w:tc>
        <w:tc>
          <w:tcPr>
            <w:tcW w:w="1169" w:type="dxa"/>
            <w:gridSpan w:val="2"/>
            <w:tcBorders>
              <w:top w:val="single" w:sz="8" w:space="0" w:color="auto"/>
              <w:left w:val="nil"/>
              <w:bottom w:val="single" w:sz="8" w:space="0" w:color="auto"/>
              <w:right w:val="nil"/>
            </w:tcBorders>
            <w:shd w:val="clear" w:color="auto" w:fill="auto"/>
            <w:noWrap/>
            <w:vAlign w:val="bottom"/>
            <w:hideMark/>
          </w:tcPr>
          <w:p w14:paraId="4656A51F"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1501</w:t>
            </w:r>
          </w:p>
        </w:tc>
        <w:tc>
          <w:tcPr>
            <w:tcW w:w="1169" w:type="dxa"/>
            <w:tcBorders>
              <w:top w:val="single" w:sz="8" w:space="0" w:color="auto"/>
              <w:left w:val="nil"/>
              <w:bottom w:val="single" w:sz="8" w:space="0" w:color="auto"/>
              <w:right w:val="nil"/>
            </w:tcBorders>
            <w:shd w:val="clear" w:color="auto" w:fill="auto"/>
            <w:noWrap/>
            <w:vAlign w:val="bottom"/>
            <w:hideMark/>
          </w:tcPr>
          <w:p w14:paraId="05097B1E"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3985</w:t>
            </w:r>
          </w:p>
        </w:tc>
        <w:tc>
          <w:tcPr>
            <w:tcW w:w="1949" w:type="dxa"/>
            <w:tcBorders>
              <w:top w:val="single" w:sz="8" w:space="0" w:color="auto"/>
              <w:left w:val="nil"/>
              <w:bottom w:val="single" w:sz="8" w:space="0" w:color="auto"/>
              <w:right w:val="nil"/>
            </w:tcBorders>
            <w:shd w:val="clear" w:color="auto" w:fill="auto"/>
            <w:noWrap/>
            <w:vAlign w:val="bottom"/>
            <w:hideMark/>
          </w:tcPr>
          <w:p w14:paraId="57C4F41B"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239</w:t>
            </w:r>
          </w:p>
        </w:tc>
        <w:tc>
          <w:tcPr>
            <w:tcW w:w="1648" w:type="dxa"/>
            <w:tcBorders>
              <w:top w:val="single" w:sz="8" w:space="0" w:color="auto"/>
              <w:left w:val="nil"/>
              <w:bottom w:val="single" w:sz="8" w:space="0" w:color="auto"/>
              <w:right w:val="nil"/>
            </w:tcBorders>
            <w:shd w:val="clear" w:color="auto" w:fill="auto"/>
            <w:noWrap/>
            <w:vAlign w:val="bottom"/>
            <w:hideMark/>
          </w:tcPr>
          <w:p w14:paraId="39D59137"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110</w:t>
            </w:r>
          </w:p>
        </w:tc>
        <w:tc>
          <w:tcPr>
            <w:tcW w:w="1169" w:type="dxa"/>
            <w:tcBorders>
              <w:top w:val="single" w:sz="8" w:space="0" w:color="auto"/>
              <w:left w:val="nil"/>
              <w:bottom w:val="single" w:sz="8" w:space="0" w:color="auto"/>
              <w:right w:val="nil"/>
            </w:tcBorders>
            <w:shd w:val="clear" w:color="auto" w:fill="auto"/>
            <w:noWrap/>
            <w:vAlign w:val="bottom"/>
            <w:hideMark/>
          </w:tcPr>
          <w:p w14:paraId="5130C9EA"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144</w:t>
            </w:r>
          </w:p>
        </w:tc>
        <w:tc>
          <w:tcPr>
            <w:tcW w:w="1169" w:type="dxa"/>
            <w:tcBorders>
              <w:top w:val="single" w:sz="8" w:space="0" w:color="auto"/>
              <w:left w:val="nil"/>
              <w:bottom w:val="single" w:sz="8" w:space="0" w:color="auto"/>
              <w:right w:val="nil"/>
            </w:tcBorders>
            <w:shd w:val="clear" w:color="auto" w:fill="auto"/>
            <w:noWrap/>
            <w:vAlign w:val="bottom"/>
            <w:hideMark/>
          </w:tcPr>
          <w:p w14:paraId="57BEF52A"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5979</w:t>
            </w:r>
          </w:p>
        </w:tc>
      </w:tr>
      <w:tr w:rsidR="00407A68" w:rsidRPr="00407A68" w14:paraId="27D4F989" w14:textId="77777777" w:rsidTr="00407A68">
        <w:trPr>
          <w:trHeight w:val="384"/>
        </w:trPr>
        <w:tc>
          <w:tcPr>
            <w:tcW w:w="1437" w:type="dxa"/>
            <w:tcBorders>
              <w:top w:val="nil"/>
              <w:left w:val="nil"/>
              <w:bottom w:val="single" w:sz="8" w:space="0" w:color="auto"/>
              <w:right w:val="nil"/>
            </w:tcBorders>
            <w:shd w:val="clear" w:color="auto" w:fill="auto"/>
            <w:noWrap/>
            <w:vAlign w:val="bottom"/>
            <w:hideMark/>
          </w:tcPr>
          <w:p w14:paraId="7740717D" w14:textId="77777777" w:rsidR="00407A68" w:rsidRPr="00407A68" w:rsidRDefault="00407A68" w:rsidP="00407A68">
            <w:pPr>
              <w:rPr>
                <w:rFonts w:ascii="Arial" w:hAnsi="Arial" w:cs="Arial"/>
                <w:b/>
                <w:bCs/>
                <w:color w:val="000000"/>
                <w:sz w:val="22"/>
                <w:szCs w:val="22"/>
                <w:lang w:eastAsia="en-GB"/>
              </w:rPr>
            </w:pPr>
            <w:r w:rsidRPr="00407A68">
              <w:rPr>
                <w:rFonts w:ascii="Arial" w:hAnsi="Arial" w:cs="Arial"/>
                <w:b/>
                <w:bCs/>
                <w:color w:val="000000"/>
                <w:sz w:val="22"/>
                <w:szCs w:val="22"/>
                <w:lang w:eastAsia="en-GB"/>
              </w:rPr>
              <w:t>Region (%)</w:t>
            </w:r>
          </w:p>
        </w:tc>
        <w:tc>
          <w:tcPr>
            <w:tcW w:w="1169" w:type="dxa"/>
            <w:gridSpan w:val="2"/>
            <w:tcBorders>
              <w:top w:val="nil"/>
              <w:left w:val="nil"/>
              <w:bottom w:val="single" w:sz="8" w:space="0" w:color="auto"/>
              <w:right w:val="nil"/>
            </w:tcBorders>
            <w:shd w:val="clear" w:color="auto" w:fill="auto"/>
            <w:noWrap/>
            <w:vAlign w:val="bottom"/>
            <w:hideMark/>
          </w:tcPr>
          <w:p w14:paraId="7E4EB13B"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25.1</w:t>
            </w:r>
          </w:p>
        </w:tc>
        <w:tc>
          <w:tcPr>
            <w:tcW w:w="1169" w:type="dxa"/>
            <w:tcBorders>
              <w:top w:val="nil"/>
              <w:left w:val="nil"/>
              <w:bottom w:val="single" w:sz="8" w:space="0" w:color="auto"/>
              <w:right w:val="nil"/>
            </w:tcBorders>
            <w:shd w:val="clear" w:color="auto" w:fill="auto"/>
            <w:noWrap/>
            <w:vAlign w:val="bottom"/>
            <w:hideMark/>
          </w:tcPr>
          <w:p w14:paraId="2BF22922"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66.6</w:t>
            </w:r>
          </w:p>
        </w:tc>
        <w:tc>
          <w:tcPr>
            <w:tcW w:w="1949" w:type="dxa"/>
            <w:tcBorders>
              <w:top w:val="nil"/>
              <w:left w:val="nil"/>
              <w:bottom w:val="single" w:sz="8" w:space="0" w:color="auto"/>
              <w:right w:val="nil"/>
            </w:tcBorders>
            <w:shd w:val="clear" w:color="auto" w:fill="auto"/>
            <w:noWrap/>
            <w:vAlign w:val="bottom"/>
            <w:hideMark/>
          </w:tcPr>
          <w:p w14:paraId="0420CB35"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4.0</w:t>
            </w:r>
          </w:p>
        </w:tc>
        <w:tc>
          <w:tcPr>
            <w:tcW w:w="1648" w:type="dxa"/>
            <w:tcBorders>
              <w:top w:val="nil"/>
              <w:left w:val="nil"/>
              <w:bottom w:val="single" w:sz="8" w:space="0" w:color="auto"/>
              <w:right w:val="nil"/>
            </w:tcBorders>
            <w:shd w:val="clear" w:color="auto" w:fill="auto"/>
            <w:noWrap/>
            <w:vAlign w:val="bottom"/>
            <w:hideMark/>
          </w:tcPr>
          <w:p w14:paraId="79205929"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1.8</w:t>
            </w:r>
          </w:p>
        </w:tc>
        <w:tc>
          <w:tcPr>
            <w:tcW w:w="1169" w:type="dxa"/>
            <w:tcBorders>
              <w:top w:val="nil"/>
              <w:left w:val="nil"/>
              <w:bottom w:val="single" w:sz="8" w:space="0" w:color="auto"/>
              <w:right w:val="nil"/>
            </w:tcBorders>
            <w:shd w:val="clear" w:color="auto" w:fill="auto"/>
            <w:noWrap/>
            <w:vAlign w:val="bottom"/>
            <w:hideMark/>
          </w:tcPr>
          <w:p w14:paraId="690980D7"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2.4</w:t>
            </w:r>
          </w:p>
        </w:tc>
        <w:tc>
          <w:tcPr>
            <w:tcW w:w="1169" w:type="dxa"/>
            <w:tcBorders>
              <w:top w:val="nil"/>
              <w:left w:val="nil"/>
              <w:bottom w:val="single" w:sz="8" w:space="0" w:color="auto"/>
              <w:right w:val="nil"/>
            </w:tcBorders>
            <w:shd w:val="clear" w:color="auto" w:fill="auto"/>
            <w:noWrap/>
            <w:vAlign w:val="bottom"/>
            <w:hideMark/>
          </w:tcPr>
          <w:p w14:paraId="2CA09731" w14:textId="77777777" w:rsidR="00407A68" w:rsidRPr="00407A68" w:rsidRDefault="00407A68" w:rsidP="00407A68">
            <w:pPr>
              <w:jc w:val="center"/>
              <w:rPr>
                <w:rFonts w:ascii="Arial" w:hAnsi="Arial" w:cs="Arial"/>
                <w:b/>
                <w:bCs/>
                <w:color w:val="000000"/>
                <w:sz w:val="22"/>
                <w:szCs w:val="22"/>
                <w:lang w:eastAsia="en-GB"/>
              </w:rPr>
            </w:pPr>
            <w:r w:rsidRPr="00407A68">
              <w:rPr>
                <w:rFonts w:ascii="Arial" w:hAnsi="Arial" w:cs="Arial"/>
                <w:b/>
                <w:bCs/>
                <w:color w:val="000000"/>
                <w:sz w:val="22"/>
                <w:szCs w:val="22"/>
                <w:lang w:eastAsia="en-GB"/>
              </w:rPr>
              <w:t>100.0</w:t>
            </w:r>
          </w:p>
        </w:tc>
      </w:tr>
    </w:tbl>
    <w:p w14:paraId="55981D6E" w14:textId="44C2A17A" w:rsidR="005710B5" w:rsidRPr="00962902" w:rsidRDefault="00962902" w:rsidP="00962902">
      <w:pPr>
        <w:pStyle w:val="NICCYBodyText"/>
        <w:rPr>
          <w:sz w:val="20"/>
          <w:szCs w:val="20"/>
        </w:rPr>
      </w:pPr>
      <w:r w:rsidRPr="00962902">
        <w:rPr>
          <w:sz w:val="20"/>
          <w:szCs w:val="20"/>
        </w:rPr>
        <w:t xml:space="preserve">NB: *SHSCT delivers Crisis, </w:t>
      </w:r>
      <w:r>
        <w:rPr>
          <w:sz w:val="20"/>
          <w:szCs w:val="20"/>
        </w:rPr>
        <w:t>DAMHS</w:t>
      </w:r>
      <w:r w:rsidRPr="00962902">
        <w:rPr>
          <w:sz w:val="20"/>
          <w:szCs w:val="20"/>
        </w:rPr>
        <w:t xml:space="preserve"> and ID CAMHS within their Step 3 service and reports these four services as a single integrated service under the heading of Step 3. Therefore a breakdown of figures for </w:t>
      </w:r>
      <w:r w:rsidR="00767EF6">
        <w:rPr>
          <w:sz w:val="20"/>
          <w:szCs w:val="20"/>
        </w:rPr>
        <w:t>DAMHS</w:t>
      </w:r>
      <w:r w:rsidRPr="00962902">
        <w:rPr>
          <w:sz w:val="20"/>
          <w:szCs w:val="20"/>
        </w:rPr>
        <w:t xml:space="preserve"> and Crisis are not available for this Trust.</w:t>
      </w:r>
    </w:p>
    <w:p w14:paraId="47ADF521" w14:textId="77777777" w:rsidR="005710B5" w:rsidRDefault="005710B5" w:rsidP="00426F9B">
      <w:pPr>
        <w:pStyle w:val="NICCYSubline"/>
      </w:pPr>
    </w:p>
    <w:p w14:paraId="77A1C99A" w14:textId="31CA2F60" w:rsidR="00426F9B" w:rsidRDefault="00106254" w:rsidP="00426F9B">
      <w:pPr>
        <w:pStyle w:val="NICCYSubline"/>
      </w:pPr>
      <w:bookmarkStart w:id="12" w:name="Referral_sources"/>
      <w:r>
        <w:lastRenderedPageBreak/>
        <w:t xml:space="preserve">4.0 </w:t>
      </w:r>
      <w:r w:rsidR="00426F9B">
        <w:t xml:space="preserve">Referral sources </w:t>
      </w:r>
    </w:p>
    <w:bookmarkEnd w:id="12"/>
    <w:p w14:paraId="14C01840" w14:textId="77777777" w:rsidR="00F301FD" w:rsidRDefault="00F301FD" w:rsidP="00A82039">
      <w:pPr>
        <w:pStyle w:val="NICCYBodyTest"/>
      </w:pPr>
    </w:p>
    <w:p w14:paraId="5B628AA7" w14:textId="462B29DF" w:rsidR="008A2071" w:rsidRDefault="001B1227" w:rsidP="003930A9">
      <w:pPr>
        <w:pStyle w:val="NICCYBodyTest"/>
      </w:pPr>
      <w:r>
        <w:t>The r</w:t>
      </w:r>
      <w:r w:rsidR="000D6689">
        <w:t xml:space="preserve">eferral source </w:t>
      </w:r>
      <w:r>
        <w:t xml:space="preserve">is the referring agent or team / </w:t>
      </w:r>
      <w:r w:rsidRPr="001B1227">
        <w:t xml:space="preserve">service which has made the referral </w:t>
      </w:r>
      <w:r>
        <w:t>to CAMHS. I</w:t>
      </w:r>
      <w:r w:rsidR="000D6689">
        <w:t xml:space="preserve">nformation from </w:t>
      </w:r>
      <w:r w:rsidR="00A82039">
        <w:t>2017</w:t>
      </w:r>
      <w:r w:rsidR="009968DB">
        <w:t>/18</w:t>
      </w:r>
      <w:r w:rsidR="00A82039">
        <w:t>-2019</w:t>
      </w:r>
      <w:r w:rsidR="009968DB">
        <w:t>/20</w:t>
      </w:r>
      <w:r w:rsidR="000D6689">
        <w:t xml:space="preserve"> </w:t>
      </w:r>
      <w:r w:rsidR="00A82039">
        <w:t>shows</w:t>
      </w:r>
      <w:r w:rsidR="00F301FD">
        <w:t xml:space="preserve"> a list </w:t>
      </w:r>
      <w:r w:rsidR="00F13F45">
        <w:t xml:space="preserve">of </w:t>
      </w:r>
      <w:r w:rsidR="00F301FD">
        <w:t>13 potential referral sourc</w:t>
      </w:r>
      <w:r w:rsidR="008651A2">
        <w:t xml:space="preserve">es to </w:t>
      </w:r>
      <w:r w:rsidR="008651A2" w:rsidRPr="008651A2">
        <w:t>CAMHS (</w:t>
      </w:r>
      <w:r w:rsidR="008651A2" w:rsidRPr="008651A2">
        <w:fldChar w:fldCharType="begin"/>
      </w:r>
      <w:r w:rsidR="008651A2" w:rsidRPr="008651A2">
        <w:instrText xml:space="preserve"> REF _Ref58423940 \h </w:instrText>
      </w:r>
      <w:r w:rsidR="008651A2">
        <w:instrText xml:space="preserve"> \* MERGEFORMAT </w:instrText>
      </w:r>
      <w:r w:rsidR="008651A2" w:rsidRPr="008651A2">
        <w:fldChar w:fldCharType="separate"/>
      </w:r>
      <w:r w:rsidR="008651A2" w:rsidRPr="008651A2">
        <w:t xml:space="preserve">Figure </w:t>
      </w:r>
      <w:r w:rsidR="008651A2" w:rsidRPr="008651A2">
        <w:rPr>
          <w:noProof/>
        </w:rPr>
        <w:t>2</w:t>
      </w:r>
      <w:r w:rsidR="008651A2" w:rsidRPr="008651A2">
        <w:fldChar w:fldCharType="end"/>
      </w:r>
      <w:r w:rsidRPr="008651A2">
        <w:t>),</w:t>
      </w:r>
      <w:r>
        <w:t xml:space="preserve"> it shows that </w:t>
      </w:r>
      <w:r w:rsidR="00A82039">
        <w:t>the</w:t>
      </w:r>
      <w:r w:rsidR="00A82039" w:rsidRPr="00A82039">
        <w:t xml:space="preserve"> </w:t>
      </w:r>
      <w:r w:rsidR="00A82039">
        <w:t xml:space="preserve">largest proportion of accepted referrals </w:t>
      </w:r>
      <w:r>
        <w:t>came</w:t>
      </w:r>
      <w:r w:rsidR="00A82039">
        <w:t xml:space="preserve"> from</w:t>
      </w:r>
      <w:r w:rsidR="00F301FD">
        <w:t xml:space="preserve"> either GP </w:t>
      </w:r>
      <w:r w:rsidR="00B2164A">
        <w:t xml:space="preserve">(76%) </w:t>
      </w:r>
      <w:r w:rsidR="00F301FD">
        <w:t>or</w:t>
      </w:r>
      <w:r w:rsidR="00A82039">
        <w:t xml:space="preserve"> Paediatrics</w:t>
      </w:r>
      <w:r w:rsidR="00B2164A">
        <w:t xml:space="preserve"> (12-13%)</w:t>
      </w:r>
      <w:r w:rsidR="00A82039">
        <w:t xml:space="preserve">. </w:t>
      </w:r>
      <w:r w:rsidR="00FA425C">
        <w:t xml:space="preserve">Over the reporting period </w:t>
      </w:r>
      <w:r w:rsidR="00F301FD">
        <w:t>‘</w:t>
      </w:r>
      <w:r w:rsidR="00BC50AD">
        <w:t>GP</w:t>
      </w:r>
      <w:r w:rsidR="00F301FD">
        <w:t>’</w:t>
      </w:r>
      <w:r w:rsidR="00BC50AD">
        <w:t xml:space="preserve"> </w:t>
      </w:r>
      <w:r>
        <w:t>were</w:t>
      </w:r>
      <w:r w:rsidR="009968DB">
        <w:t xml:space="preserve"> by far the main </w:t>
      </w:r>
      <w:r w:rsidR="00BC50AD">
        <w:t xml:space="preserve">source </w:t>
      </w:r>
      <w:r w:rsidR="009968DB">
        <w:t>of referrals to CAMHS</w:t>
      </w:r>
      <w:r w:rsidR="00BC50AD">
        <w:t xml:space="preserve">, </w:t>
      </w:r>
      <w:r w:rsidR="009968DB">
        <w:t xml:space="preserve">with </w:t>
      </w:r>
      <w:r w:rsidR="00F301FD">
        <w:t>‘</w:t>
      </w:r>
      <w:r w:rsidR="00BC50AD">
        <w:t>paediatric</w:t>
      </w:r>
      <w:r w:rsidR="009968DB">
        <w:t>s / child health / in-patient s</w:t>
      </w:r>
      <w:r w:rsidR="00BC50AD">
        <w:t>ervice</w:t>
      </w:r>
      <w:r w:rsidR="00F301FD">
        <w:t>’</w:t>
      </w:r>
      <w:r w:rsidR="00BC50AD">
        <w:t xml:space="preserve"> </w:t>
      </w:r>
      <w:r w:rsidR="009968DB">
        <w:t xml:space="preserve">being the second </w:t>
      </w:r>
      <w:r>
        <w:t>most common referral agent</w:t>
      </w:r>
      <w:r w:rsidR="00BC50AD">
        <w:t>.</w:t>
      </w:r>
      <w:r w:rsidR="00CD2ED4">
        <w:t xml:space="preserve"> </w:t>
      </w:r>
    </w:p>
    <w:p w14:paraId="5EE25476" w14:textId="77777777" w:rsidR="00FD1B99" w:rsidRDefault="00FD1B99" w:rsidP="00A16E2C">
      <w:pPr>
        <w:pStyle w:val="NICCYBodyText"/>
        <w:rPr>
          <w:sz w:val="20"/>
          <w:szCs w:val="20"/>
        </w:rPr>
      </w:pPr>
      <w:bookmarkStart w:id="13" w:name="_Ref58423940"/>
    </w:p>
    <w:p w14:paraId="1A9810CD" w14:textId="6F244E72" w:rsidR="009968DB" w:rsidRPr="00A16E2C" w:rsidRDefault="00A16E2C" w:rsidP="00A16E2C">
      <w:pPr>
        <w:pStyle w:val="NICCYBodyText"/>
        <w:rPr>
          <w:sz w:val="20"/>
          <w:szCs w:val="20"/>
        </w:rPr>
      </w:pPr>
      <w:r w:rsidRPr="00A16E2C">
        <w:rPr>
          <w:sz w:val="20"/>
          <w:szCs w:val="20"/>
        </w:rPr>
        <w:t xml:space="preserve">Figure </w:t>
      </w:r>
      <w:r w:rsidRPr="00A16E2C">
        <w:rPr>
          <w:sz w:val="20"/>
          <w:szCs w:val="20"/>
        </w:rPr>
        <w:fldChar w:fldCharType="begin"/>
      </w:r>
      <w:r w:rsidRPr="00A16E2C">
        <w:rPr>
          <w:sz w:val="20"/>
          <w:szCs w:val="20"/>
        </w:rPr>
        <w:instrText xml:space="preserve"> SEQ Figure \* ARABIC </w:instrText>
      </w:r>
      <w:r w:rsidRPr="00A16E2C">
        <w:rPr>
          <w:sz w:val="20"/>
          <w:szCs w:val="20"/>
        </w:rPr>
        <w:fldChar w:fldCharType="separate"/>
      </w:r>
      <w:r w:rsidR="0076451B">
        <w:rPr>
          <w:noProof/>
          <w:sz w:val="20"/>
          <w:szCs w:val="20"/>
        </w:rPr>
        <w:t>2</w:t>
      </w:r>
      <w:r w:rsidRPr="00A16E2C">
        <w:rPr>
          <w:sz w:val="20"/>
          <w:szCs w:val="20"/>
        </w:rPr>
        <w:fldChar w:fldCharType="end"/>
      </w:r>
      <w:bookmarkEnd w:id="13"/>
      <w:r w:rsidRPr="00A16E2C">
        <w:rPr>
          <w:sz w:val="20"/>
          <w:szCs w:val="20"/>
        </w:rPr>
        <w:t>: Referrals accepted by Source- 2017 /18- 2019/20</w:t>
      </w:r>
    </w:p>
    <w:p w14:paraId="56C9587F" w14:textId="77777777" w:rsidR="00572301" w:rsidRDefault="00FA425C" w:rsidP="00422801">
      <w:pPr>
        <w:pStyle w:val="NICCYBodyTest"/>
      </w:pPr>
      <w:r w:rsidRPr="00D5502C">
        <w:rPr>
          <w:noProof/>
          <w:lang w:eastAsia="en-GB"/>
        </w:rPr>
        <w:drawing>
          <wp:inline distT="0" distB="0" distL="0" distR="0" wp14:anchorId="2AD73D16" wp14:editId="1C68F186">
            <wp:extent cx="6116320" cy="4067175"/>
            <wp:effectExtent l="0" t="0" r="1778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54D9AE" w14:textId="66A29E9D" w:rsidR="00572301" w:rsidRPr="00311601" w:rsidRDefault="00311601" w:rsidP="00311601">
      <w:pPr>
        <w:pStyle w:val="NICCYBodyTest"/>
        <w:rPr>
          <w:sz w:val="20"/>
          <w:szCs w:val="20"/>
        </w:rPr>
      </w:pPr>
      <w:r w:rsidRPr="00311601">
        <w:rPr>
          <w:sz w:val="20"/>
          <w:szCs w:val="20"/>
        </w:rPr>
        <w:t xml:space="preserve">*referral source </w:t>
      </w:r>
      <w:r>
        <w:rPr>
          <w:sz w:val="20"/>
          <w:szCs w:val="20"/>
        </w:rPr>
        <w:t xml:space="preserve">for </w:t>
      </w:r>
      <w:r w:rsidRPr="00311601">
        <w:rPr>
          <w:sz w:val="20"/>
          <w:szCs w:val="20"/>
        </w:rPr>
        <w:t xml:space="preserve">Step </w:t>
      </w:r>
      <w:r>
        <w:rPr>
          <w:sz w:val="20"/>
          <w:szCs w:val="20"/>
        </w:rPr>
        <w:t>2, Step 3</w:t>
      </w:r>
      <w:r w:rsidR="00DC2BDA">
        <w:rPr>
          <w:sz w:val="20"/>
          <w:szCs w:val="20"/>
        </w:rPr>
        <w:t xml:space="preserve"> (core)</w:t>
      </w:r>
      <w:r>
        <w:rPr>
          <w:sz w:val="20"/>
          <w:szCs w:val="20"/>
        </w:rPr>
        <w:t>, Eating Disorders and DAMHS.</w:t>
      </w:r>
    </w:p>
    <w:p w14:paraId="0E31AEBD" w14:textId="77777777" w:rsidR="00311601" w:rsidRDefault="00311601" w:rsidP="00311601">
      <w:pPr>
        <w:pStyle w:val="NICCYBodyTest"/>
      </w:pPr>
    </w:p>
    <w:p w14:paraId="232F9E03" w14:textId="3A3C448F" w:rsidR="001B75E8" w:rsidRDefault="00CD2ED4" w:rsidP="001B75E8">
      <w:pPr>
        <w:pStyle w:val="NICCYBodyTest"/>
      </w:pPr>
      <w:r>
        <w:t>The predominance of referrals from a small number of accepted sources was raised in Still Waiting</w:t>
      </w:r>
      <w:r w:rsidR="00D913F3">
        <w:t xml:space="preserve">, </w:t>
      </w:r>
      <w:r>
        <w:t>and the report</w:t>
      </w:r>
      <w:r w:rsidR="00D913F3">
        <w:t xml:space="preserve"> recommended that serious consideration was given to opening up referrals pathways to allow professionals, other than GP, to refer young people to mental health services. The aim was to simplify patient pathways and speed up the referral process</w:t>
      </w:r>
      <w:r w:rsidR="002B2321">
        <w:t>.</w:t>
      </w:r>
      <w:r w:rsidR="00D913F3">
        <w:t xml:space="preserve"> </w:t>
      </w:r>
      <w:r w:rsidR="002B2321">
        <w:t>I</w:t>
      </w:r>
      <w:r w:rsidR="00D913F3">
        <w:t xml:space="preserve">t was also in recognition of the fact that GPs do no always know the young </w:t>
      </w:r>
      <w:r w:rsidR="00D913F3">
        <w:lastRenderedPageBreak/>
        <w:t>people as well as other professionals such as school counsellor or youth worker and that these alternative professionals may be better placed to provide relevant information</w:t>
      </w:r>
      <w:r w:rsidR="001B75E8">
        <w:t xml:space="preserve"> to CAMHS (p243).</w:t>
      </w:r>
      <w:r w:rsidR="001B75E8" w:rsidRPr="001B75E8">
        <w:t xml:space="preserve"> </w:t>
      </w:r>
      <w:r w:rsidR="001B75E8">
        <w:t>NICCY also made a number of recommendations regarding pathways and referral processes (Rec 2-4, p274)</w:t>
      </w:r>
    </w:p>
    <w:p w14:paraId="3A68DA66" w14:textId="6F85C4C3" w:rsidR="00C26BC9" w:rsidRDefault="00C26BC9" w:rsidP="00D913F3">
      <w:pPr>
        <w:pStyle w:val="NICCYSubline"/>
      </w:pPr>
    </w:p>
    <w:p w14:paraId="53EB8138" w14:textId="198FC344" w:rsidR="00D913F3" w:rsidRDefault="00106254" w:rsidP="00D913F3">
      <w:pPr>
        <w:pStyle w:val="NICCYSubline"/>
      </w:pPr>
      <w:bookmarkStart w:id="14" w:name="Crisis"/>
      <w:r>
        <w:t xml:space="preserve">4.1 </w:t>
      </w:r>
      <w:r w:rsidR="00D913F3">
        <w:t>Crisis</w:t>
      </w:r>
      <w:bookmarkEnd w:id="14"/>
      <w:r w:rsidR="00D913F3">
        <w:t xml:space="preserve"> Referrals</w:t>
      </w:r>
    </w:p>
    <w:p w14:paraId="0CC93377" w14:textId="77777777" w:rsidR="00D913F3" w:rsidRDefault="00D913F3" w:rsidP="003E40D1">
      <w:pPr>
        <w:pStyle w:val="NICCYBodyTest"/>
      </w:pPr>
    </w:p>
    <w:p w14:paraId="1DC801D9" w14:textId="0812C293" w:rsidR="00974C2F" w:rsidRDefault="003E40D1" w:rsidP="00974C2F">
      <w:pPr>
        <w:pStyle w:val="NICCYBodyTest"/>
      </w:pPr>
      <w:r>
        <w:t>D</w:t>
      </w:r>
      <w:r w:rsidR="009968DB">
        <w:t xml:space="preserve">ata </w:t>
      </w:r>
      <w:r w:rsidR="00414F6A">
        <w:t xml:space="preserve">for the period </w:t>
      </w:r>
      <w:r w:rsidR="009968DB">
        <w:t>2017/18</w:t>
      </w:r>
      <w:r w:rsidR="00414F6A">
        <w:t xml:space="preserve"> to</w:t>
      </w:r>
      <w:r w:rsidR="009968DB">
        <w:t xml:space="preserve"> 2019/2020</w:t>
      </w:r>
      <w:r>
        <w:t xml:space="preserve"> </w:t>
      </w:r>
      <w:r w:rsidR="00414F6A">
        <w:t xml:space="preserve">shows that </w:t>
      </w:r>
      <w:r>
        <w:t xml:space="preserve">crisis referrals came from three of </w:t>
      </w:r>
      <w:r w:rsidR="00FA425C">
        <w:t xml:space="preserve">twelve </w:t>
      </w:r>
      <w:r w:rsidR="00414F6A">
        <w:t>potential sources-</w:t>
      </w:r>
      <w:r>
        <w:t xml:space="preserve"> Emergency Department, including Card Before You Leave, General H</w:t>
      </w:r>
      <w:r w:rsidR="00FA425C">
        <w:t xml:space="preserve">ospital and </w:t>
      </w:r>
      <w:r w:rsidR="00FA425C" w:rsidRPr="005263FF">
        <w:t>GP</w:t>
      </w:r>
      <w:r w:rsidR="005263FF" w:rsidRPr="005263FF">
        <w:t xml:space="preserve"> (</w:t>
      </w:r>
      <w:r w:rsidR="005263FF" w:rsidRPr="005263FF">
        <w:fldChar w:fldCharType="begin"/>
      </w:r>
      <w:r w:rsidR="005263FF" w:rsidRPr="005263FF">
        <w:instrText xml:space="preserve"> REF _Ref58423991 \h </w:instrText>
      </w:r>
      <w:r w:rsidR="005263FF">
        <w:instrText xml:space="preserve"> \* MERGEFORMAT </w:instrText>
      </w:r>
      <w:r w:rsidR="005263FF" w:rsidRPr="005263FF">
        <w:fldChar w:fldCharType="separate"/>
      </w:r>
      <w:r w:rsidR="005263FF" w:rsidRPr="005263FF">
        <w:t xml:space="preserve">Figure </w:t>
      </w:r>
      <w:r w:rsidR="005263FF" w:rsidRPr="005263FF">
        <w:rPr>
          <w:noProof/>
        </w:rPr>
        <w:t>3</w:t>
      </w:r>
      <w:r w:rsidR="005263FF" w:rsidRPr="005263FF">
        <w:fldChar w:fldCharType="end"/>
      </w:r>
      <w:r w:rsidR="005263FF" w:rsidRPr="005263FF">
        <w:t>)</w:t>
      </w:r>
      <w:r w:rsidR="00CD2ED4" w:rsidRPr="005263FF">
        <w:t>.</w:t>
      </w:r>
      <w:r w:rsidR="00CD2ED4">
        <w:t xml:space="preserve"> In 2018/</w:t>
      </w:r>
      <w:r>
        <w:t>19</w:t>
      </w:r>
      <w:r w:rsidR="00E33C3D">
        <w:t xml:space="preserve"> and 2019/20</w:t>
      </w:r>
      <w:r w:rsidR="00414F6A">
        <w:t>,</w:t>
      </w:r>
      <w:r>
        <w:t xml:space="preserve"> </w:t>
      </w:r>
      <w:r w:rsidR="005D5A57">
        <w:t xml:space="preserve">approximately </w:t>
      </w:r>
      <w:r>
        <w:t>89% of all referrals to crisis services came from these sources.</w:t>
      </w:r>
      <w:r w:rsidR="00CD2ED4">
        <w:t xml:space="preserve"> </w:t>
      </w:r>
      <w:r w:rsidR="00414F6A">
        <w:t xml:space="preserve">It </w:t>
      </w:r>
      <w:r w:rsidR="00CD2ED4">
        <w:t>again</w:t>
      </w:r>
      <w:r w:rsidR="00414F6A">
        <w:t xml:space="preserve"> h</w:t>
      </w:r>
      <w:r w:rsidR="00BC50AD">
        <w:t xml:space="preserve">ighlights pressure on </w:t>
      </w:r>
      <w:r>
        <w:t>universal services which</w:t>
      </w:r>
      <w:r w:rsidR="00BC50AD">
        <w:t xml:space="preserve"> are not equipped to deal with these cases and </w:t>
      </w:r>
      <w:r w:rsidR="00414F6A">
        <w:t>draws attention to</w:t>
      </w:r>
      <w:r w:rsidR="00BC50AD">
        <w:t xml:space="preserve"> a lack of involvement of key </w:t>
      </w:r>
      <w:r w:rsidR="00E33C3D">
        <w:t>stakeholders</w:t>
      </w:r>
      <w:r w:rsidR="00BC50AD">
        <w:t xml:space="preserve"> that should be more active </w:t>
      </w:r>
      <w:r w:rsidR="00E33C3D">
        <w:t xml:space="preserve">in crisis care </w:t>
      </w:r>
      <w:r w:rsidR="003A3A82">
        <w:t>such as</w:t>
      </w:r>
      <w:r w:rsidR="00BC50AD">
        <w:t xml:space="preserve"> </w:t>
      </w:r>
      <w:r w:rsidR="00EA03A8">
        <w:t>specialist crisis response teams, the v</w:t>
      </w:r>
      <w:r w:rsidR="00597C74">
        <w:t xml:space="preserve">oluntary and </w:t>
      </w:r>
      <w:r w:rsidR="00EA03A8">
        <w:t>c</w:t>
      </w:r>
      <w:r w:rsidR="00597C74">
        <w:t xml:space="preserve">ommunity </w:t>
      </w:r>
      <w:r w:rsidR="00EA03A8">
        <w:t>s</w:t>
      </w:r>
      <w:r w:rsidR="00597C74">
        <w:t>ector services</w:t>
      </w:r>
      <w:r w:rsidR="00EA03A8">
        <w:t xml:space="preserve"> and social s</w:t>
      </w:r>
      <w:r w:rsidR="003A3A82">
        <w:t>ervices</w:t>
      </w:r>
      <w:r w:rsidR="00974C2F">
        <w:t xml:space="preserve">. </w:t>
      </w:r>
      <w:r w:rsidR="00805157">
        <w:t>In Still Waiting, NICCY made a number of pointed recommendations regarding crisis support for children and young people (Rec 21-25).</w:t>
      </w:r>
    </w:p>
    <w:p w14:paraId="1CFB9C5A" w14:textId="77777777" w:rsidR="00BC50AD" w:rsidRDefault="00BC50AD" w:rsidP="00BC50AD">
      <w:pPr>
        <w:pStyle w:val="NICCYBodyTest"/>
      </w:pPr>
    </w:p>
    <w:p w14:paraId="7BA9FD36" w14:textId="77777777" w:rsidR="00A16E2C" w:rsidRPr="00A16E2C" w:rsidRDefault="00A16E2C" w:rsidP="00A16E2C">
      <w:pPr>
        <w:pStyle w:val="NICCYBodyText"/>
        <w:rPr>
          <w:sz w:val="20"/>
          <w:szCs w:val="20"/>
        </w:rPr>
      </w:pPr>
      <w:bookmarkStart w:id="15" w:name="_Ref58423991"/>
      <w:r w:rsidRPr="00A16E2C">
        <w:rPr>
          <w:sz w:val="20"/>
          <w:szCs w:val="20"/>
        </w:rPr>
        <w:t xml:space="preserve">Figure </w:t>
      </w:r>
      <w:r w:rsidRPr="00A16E2C">
        <w:rPr>
          <w:sz w:val="20"/>
          <w:szCs w:val="20"/>
        </w:rPr>
        <w:fldChar w:fldCharType="begin"/>
      </w:r>
      <w:r w:rsidRPr="00A16E2C">
        <w:rPr>
          <w:sz w:val="20"/>
          <w:szCs w:val="20"/>
        </w:rPr>
        <w:instrText xml:space="preserve"> SEQ Figure \* ARABIC </w:instrText>
      </w:r>
      <w:r w:rsidRPr="00A16E2C">
        <w:rPr>
          <w:sz w:val="20"/>
          <w:szCs w:val="20"/>
        </w:rPr>
        <w:fldChar w:fldCharType="separate"/>
      </w:r>
      <w:r w:rsidR="0076451B">
        <w:rPr>
          <w:noProof/>
          <w:sz w:val="20"/>
          <w:szCs w:val="20"/>
        </w:rPr>
        <w:t>3</w:t>
      </w:r>
      <w:r w:rsidRPr="00A16E2C">
        <w:rPr>
          <w:sz w:val="20"/>
          <w:szCs w:val="20"/>
        </w:rPr>
        <w:fldChar w:fldCharType="end"/>
      </w:r>
      <w:bookmarkEnd w:id="15"/>
      <w:r w:rsidRPr="00A16E2C">
        <w:rPr>
          <w:sz w:val="20"/>
          <w:szCs w:val="20"/>
        </w:rPr>
        <w:t>: Referrals accepted by Source for crisis care- 2017 /18- 2018/19</w:t>
      </w:r>
    </w:p>
    <w:p w14:paraId="4363FCA0" w14:textId="77777777" w:rsidR="003E40D1" w:rsidRDefault="00414F6A" w:rsidP="00BC50AD">
      <w:pPr>
        <w:pStyle w:val="NICCYBodyTest"/>
      </w:pPr>
      <w:r>
        <w:rPr>
          <w:noProof/>
          <w:lang w:eastAsia="en-GB"/>
        </w:rPr>
        <w:drawing>
          <wp:inline distT="0" distB="0" distL="0" distR="0" wp14:anchorId="6298DE2C" wp14:editId="17A5603E">
            <wp:extent cx="6116320" cy="3669665"/>
            <wp:effectExtent l="0" t="0" r="17780"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B06B6D" w14:textId="437F0C10" w:rsidR="00C4329B" w:rsidRPr="00436AB6" w:rsidRDefault="00154AB2" w:rsidP="006B7BFD">
      <w:pPr>
        <w:pStyle w:val="NICCYBodyTest"/>
        <w:rPr>
          <w:sz w:val="20"/>
          <w:szCs w:val="20"/>
        </w:rPr>
      </w:pPr>
      <w:r w:rsidRPr="00154AB2">
        <w:rPr>
          <w:sz w:val="20"/>
          <w:szCs w:val="20"/>
        </w:rPr>
        <w:t xml:space="preserve">*Card Before You </w:t>
      </w:r>
      <w:r w:rsidR="00407A68" w:rsidRPr="00154AB2">
        <w:rPr>
          <w:sz w:val="20"/>
          <w:szCs w:val="20"/>
        </w:rPr>
        <w:t>Leave</w:t>
      </w:r>
      <w:r w:rsidR="00407A68">
        <w:rPr>
          <w:sz w:val="20"/>
          <w:szCs w:val="20"/>
        </w:rPr>
        <w:t xml:space="preserve"> (CBYL)</w:t>
      </w:r>
      <w:r w:rsidRPr="00154AB2">
        <w:rPr>
          <w:sz w:val="20"/>
          <w:szCs w:val="20"/>
        </w:rPr>
        <w:t xml:space="preserve"> scheme aims to ensure that any patient being discharged from A&amp;E receive </w:t>
      </w:r>
      <w:r w:rsidRPr="00154AB2">
        <w:rPr>
          <w:sz w:val="20"/>
          <w:szCs w:val="20"/>
        </w:rPr>
        <w:lastRenderedPageBreak/>
        <w:t>a card prior to discharge, giving details of contact numbers for support and details of their follow-up care</w:t>
      </w:r>
    </w:p>
    <w:p w14:paraId="044DF35A" w14:textId="77777777" w:rsidR="006D76AC" w:rsidRDefault="006D76AC" w:rsidP="009A6A11">
      <w:pPr>
        <w:pStyle w:val="NICCYSubline"/>
      </w:pPr>
    </w:p>
    <w:p w14:paraId="43B54155" w14:textId="50EEEA6D" w:rsidR="00FB169C" w:rsidRDefault="00FB169C" w:rsidP="009A6A11">
      <w:pPr>
        <w:pStyle w:val="NICCYSubline"/>
      </w:pPr>
    </w:p>
    <w:p w14:paraId="78A437A7" w14:textId="49C69C81" w:rsidR="00CB077B" w:rsidRDefault="00CB077B" w:rsidP="009A6A11">
      <w:pPr>
        <w:pStyle w:val="NICCYSubline"/>
      </w:pPr>
    </w:p>
    <w:p w14:paraId="636EE890" w14:textId="77777777" w:rsidR="000F7268" w:rsidRDefault="000F7268" w:rsidP="009A6A11">
      <w:pPr>
        <w:pStyle w:val="NICCYSubline"/>
      </w:pPr>
    </w:p>
    <w:p w14:paraId="1F15F7D0" w14:textId="1120B7D3" w:rsidR="00C4329B" w:rsidRDefault="004276BD" w:rsidP="009A6A11">
      <w:pPr>
        <w:pStyle w:val="NICCYSubline"/>
      </w:pPr>
      <w:r>
        <w:t xml:space="preserve">5.0 </w:t>
      </w:r>
      <w:r w:rsidR="009A6A11">
        <w:t xml:space="preserve">Non Attendance at CAMHS </w:t>
      </w:r>
      <w:bookmarkStart w:id="16" w:name="Appointments"/>
      <w:r w:rsidR="009A6A11">
        <w:t xml:space="preserve">Appointments </w:t>
      </w:r>
    </w:p>
    <w:bookmarkEnd w:id="16"/>
    <w:p w14:paraId="28D0AE6C" w14:textId="77777777" w:rsidR="00C4329B" w:rsidRDefault="00C4329B" w:rsidP="006B7BFD">
      <w:pPr>
        <w:pStyle w:val="NICCYBodyTest"/>
      </w:pPr>
    </w:p>
    <w:p w14:paraId="68C02020" w14:textId="72E34475" w:rsidR="00FB5C13" w:rsidRDefault="00597551" w:rsidP="00FB5C13">
      <w:pPr>
        <w:pStyle w:val="NICCYBodyTest"/>
      </w:pPr>
      <w:r>
        <w:t xml:space="preserve">CAMHS records non-attendance </w:t>
      </w:r>
      <w:r w:rsidR="00C14A2E">
        <w:t xml:space="preserve">at appointments </w:t>
      </w:r>
      <w:r>
        <w:t xml:space="preserve">in </w:t>
      </w:r>
      <w:r w:rsidR="00C14A2E">
        <w:t>a number of ways, these are ‘</w:t>
      </w:r>
      <w:r>
        <w:t>DNA</w:t>
      </w:r>
      <w:r w:rsidR="00C14A2E">
        <w:t>’</w:t>
      </w:r>
      <w:r>
        <w:t>- did not attend on the day and failed to give advanced notice to the h</w:t>
      </w:r>
      <w:r w:rsidR="00C14A2E">
        <w:t>ospital / clinic / professional,</w:t>
      </w:r>
      <w:r w:rsidR="00511A12" w:rsidRPr="00511A12">
        <w:t xml:space="preserve"> </w:t>
      </w:r>
      <w:r w:rsidR="00511A12">
        <w:t>‘CNA'- did not attend but gave advanced notice before the day of the scheduled appointment and</w:t>
      </w:r>
      <w:r>
        <w:t xml:space="preserve"> </w:t>
      </w:r>
      <w:r w:rsidR="00C14A2E">
        <w:t>‘</w:t>
      </w:r>
      <w:r>
        <w:t>CND</w:t>
      </w:r>
      <w:r w:rsidR="00C14A2E">
        <w:t>’</w:t>
      </w:r>
      <w:r>
        <w:t>- did not attend on the day but gave advanced notice on the d</w:t>
      </w:r>
      <w:r w:rsidR="00C14A2E">
        <w:t xml:space="preserve">ay </w:t>
      </w:r>
      <w:r w:rsidR="00511A12">
        <w:t>of the scheduled appointment.</w:t>
      </w:r>
    </w:p>
    <w:p w14:paraId="09EB44F4" w14:textId="042BADB4" w:rsidR="00FB5C13" w:rsidRDefault="00FB5C13" w:rsidP="00DC7832">
      <w:pPr>
        <w:pStyle w:val="NICCYBodyTest"/>
      </w:pPr>
      <w:r>
        <w:t xml:space="preserve">The Still Waiting Review reported on regional </w:t>
      </w:r>
      <w:r w:rsidR="00511A12">
        <w:t>non-attendance</w:t>
      </w:r>
      <w:r>
        <w:t xml:space="preserve"> </w:t>
      </w:r>
      <w:r w:rsidR="00C14A2E" w:rsidRPr="00DA0BBF">
        <w:t xml:space="preserve">rates </w:t>
      </w:r>
      <w:r w:rsidR="007371C9" w:rsidRPr="00DA0BBF">
        <w:t xml:space="preserve">for Step 3 </w:t>
      </w:r>
      <w:r w:rsidR="006E4F46">
        <w:t>/ C</w:t>
      </w:r>
      <w:r w:rsidR="007371C9" w:rsidRPr="00DA0BBF">
        <w:t>ore CAMHS</w:t>
      </w:r>
      <w:r w:rsidR="007371C9">
        <w:t xml:space="preserve"> over</w:t>
      </w:r>
      <w:r>
        <w:t xml:space="preserve"> a 3-year period between 2013-2016 and highlighted that rates had persisted around 15-16% for first appointment</w:t>
      </w:r>
      <w:r w:rsidR="00554318">
        <w:t xml:space="preserve"> (new)</w:t>
      </w:r>
      <w:r>
        <w:t xml:space="preserve"> and 24% for review appointments</w:t>
      </w:r>
      <w:r w:rsidR="00C14A2E">
        <w:t xml:space="preserve"> (p215-216)</w:t>
      </w:r>
      <w:r w:rsidR="00DC2714">
        <w:t>. In the report</w:t>
      </w:r>
      <w:r w:rsidR="00136D61">
        <w:t>,</w:t>
      </w:r>
      <w:r w:rsidR="00DC2714">
        <w:t xml:space="preserve"> NICCY raised concerns about the number of young people not attending appointments, including the fact that the reasons for non-attendance are not monitored by the Health and Social Care Board (HSCB) and that there were no plans to do so. NICCY was also concern</w:t>
      </w:r>
      <w:r w:rsidR="00136D61">
        <w:t>ed</w:t>
      </w:r>
      <w:r w:rsidR="00DC2714">
        <w:t xml:space="preserve"> about compliance with IEAP guidance which stipulates the procedures that must be undertaken before discharging a patient due to non- attendance; there was no data available on the number of young people being discharged from the statutory CAMHS system due to </w:t>
      </w:r>
      <w:r w:rsidR="00511A12">
        <w:t>non-attendance</w:t>
      </w:r>
      <w:r w:rsidR="00136B08">
        <w:t xml:space="preserve"> (p214-216)</w:t>
      </w:r>
      <w:r w:rsidR="00104BBC">
        <w:t xml:space="preserve"> as non-attendance is not monitored by HSCB</w:t>
      </w:r>
      <w:r w:rsidR="00A16E2C">
        <w:t xml:space="preserve">. </w:t>
      </w:r>
      <w:r w:rsidR="00DC7832">
        <w:t>F</w:t>
      </w:r>
      <w:r w:rsidR="00EB5A9A">
        <w:t xml:space="preserve">igures on regional </w:t>
      </w:r>
      <w:r w:rsidR="00511A12">
        <w:t>non-attendance</w:t>
      </w:r>
      <w:r w:rsidR="00EB5A9A">
        <w:t xml:space="preserve"> </w:t>
      </w:r>
      <w:r w:rsidR="00EB5A9A" w:rsidRPr="00DA0BBF">
        <w:t xml:space="preserve">rates for Step 3 </w:t>
      </w:r>
      <w:r w:rsidR="006E4F46">
        <w:t>/ C</w:t>
      </w:r>
      <w:r w:rsidR="00EB5A9A" w:rsidRPr="00DA0BBF">
        <w:t>ore CAMHS</w:t>
      </w:r>
      <w:r w:rsidR="00DC7832">
        <w:t xml:space="preserve"> </w:t>
      </w:r>
      <w:r w:rsidR="006E4F46">
        <w:t>for</w:t>
      </w:r>
      <w:r w:rsidR="00EB5A9A">
        <w:t xml:space="preserve"> the period </w:t>
      </w:r>
      <w:r w:rsidR="00DC7832">
        <w:t xml:space="preserve">2017/18- 2019/20 show </w:t>
      </w:r>
      <w:r w:rsidR="00DC2714">
        <w:t xml:space="preserve">that </w:t>
      </w:r>
      <w:r w:rsidR="00EB5A9A">
        <w:t xml:space="preserve">overall </w:t>
      </w:r>
      <w:r w:rsidR="00DC2714">
        <w:t>rates have not decreased</w:t>
      </w:r>
      <w:r w:rsidR="00DC7832">
        <w:t xml:space="preserve">, however, the pattern appears to have </w:t>
      </w:r>
      <w:r w:rsidR="007F407A">
        <w:t>flipped</w:t>
      </w:r>
      <w:r w:rsidR="00DC7832">
        <w:t xml:space="preserve"> </w:t>
      </w:r>
      <w:r w:rsidR="007F407A">
        <w:t>since 2017/ 2018 w</w:t>
      </w:r>
      <w:r w:rsidR="00DC7832">
        <w:t>ith greater non-attendance for first appointment</w:t>
      </w:r>
      <w:r w:rsidR="007F407A">
        <w:t>s</w:t>
      </w:r>
      <w:r w:rsidR="00DC7832">
        <w:t xml:space="preserve"> rather than review appointments.</w:t>
      </w:r>
    </w:p>
    <w:p w14:paraId="65CE0CFF" w14:textId="1DE0ECBF" w:rsidR="005263FF" w:rsidRDefault="005263FF" w:rsidP="0035749A">
      <w:pPr>
        <w:pStyle w:val="NICCYBodyTest"/>
      </w:pPr>
    </w:p>
    <w:p w14:paraId="2CD572EC" w14:textId="3D0DAB44" w:rsidR="00DA0BBF" w:rsidRPr="00A16E2C" w:rsidRDefault="00A16E2C" w:rsidP="00A16E2C">
      <w:pPr>
        <w:pStyle w:val="NICCYBodyText"/>
        <w:rPr>
          <w:sz w:val="20"/>
          <w:szCs w:val="20"/>
        </w:rPr>
      </w:pPr>
      <w:r w:rsidRPr="00A16E2C">
        <w:rPr>
          <w:sz w:val="20"/>
          <w:szCs w:val="20"/>
        </w:rPr>
        <w:t xml:space="preserve">Figure </w:t>
      </w:r>
      <w:r w:rsidRPr="00A16E2C">
        <w:rPr>
          <w:sz w:val="20"/>
          <w:szCs w:val="20"/>
        </w:rPr>
        <w:fldChar w:fldCharType="begin"/>
      </w:r>
      <w:r w:rsidRPr="00A16E2C">
        <w:rPr>
          <w:sz w:val="20"/>
          <w:szCs w:val="20"/>
        </w:rPr>
        <w:instrText xml:space="preserve"> SEQ Figure \* ARABIC </w:instrText>
      </w:r>
      <w:r w:rsidRPr="00A16E2C">
        <w:rPr>
          <w:sz w:val="20"/>
          <w:szCs w:val="20"/>
        </w:rPr>
        <w:fldChar w:fldCharType="separate"/>
      </w:r>
      <w:r w:rsidR="0076451B">
        <w:rPr>
          <w:noProof/>
          <w:sz w:val="20"/>
          <w:szCs w:val="20"/>
        </w:rPr>
        <w:t>4</w:t>
      </w:r>
      <w:r w:rsidRPr="00A16E2C">
        <w:rPr>
          <w:sz w:val="20"/>
          <w:szCs w:val="20"/>
        </w:rPr>
        <w:fldChar w:fldCharType="end"/>
      </w:r>
      <w:r w:rsidRPr="00A16E2C">
        <w:rPr>
          <w:sz w:val="20"/>
          <w:szCs w:val="20"/>
        </w:rPr>
        <w:t>: Step 3 Core CAMHS: Non-Attendance for New and Review Apts 2013/14-2019/20</w:t>
      </w:r>
      <w:r w:rsidR="00000F9A">
        <w:rPr>
          <w:sz w:val="20"/>
          <w:szCs w:val="20"/>
        </w:rPr>
        <w:t xml:space="preserve"> </w:t>
      </w:r>
    </w:p>
    <w:p w14:paraId="13A68AE0" w14:textId="77777777" w:rsidR="00DC7832" w:rsidRDefault="00DC7832" w:rsidP="0035749A">
      <w:pPr>
        <w:pStyle w:val="NICCYBodyTest"/>
      </w:pPr>
      <w:r>
        <w:rPr>
          <w:noProof/>
          <w:lang w:eastAsia="en-GB"/>
        </w:rPr>
        <w:lastRenderedPageBreak/>
        <w:drawing>
          <wp:inline distT="0" distB="0" distL="0" distR="0" wp14:anchorId="3D3C3C53" wp14:editId="19F6BCDB">
            <wp:extent cx="5572125" cy="2532679"/>
            <wp:effectExtent l="0" t="0" r="9525"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7FC8BE" w14:textId="6FB3A51E" w:rsidR="008743CB" w:rsidRDefault="008743CB" w:rsidP="006B7BFD">
      <w:pPr>
        <w:pStyle w:val="NICCYBodyTest"/>
        <w:rPr>
          <w:sz w:val="22"/>
          <w:szCs w:val="22"/>
          <w:highlight w:val="yellow"/>
        </w:rPr>
      </w:pPr>
    </w:p>
    <w:p w14:paraId="2F489B6C" w14:textId="77777777" w:rsidR="009C6D0D" w:rsidRPr="00940355" w:rsidRDefault="00C77299" w:rsidP="006B7BFD">
      <w:pPr>
        <w:pStyle w:val="NICCYBodyTest"/>
        <w:rPr>
          <w:rFonts w:eastAsia="Times New Roman"/>
          <w:color w:val="404040" w:themeColor="text1" w:themeTint="BF"/>
        </w:rPr>
      </w:pPr>
      <w:r>
        <w:t xml:space="preserve">More generally, </w:t>
      </w:r>
      <w:r w:rsidR="00940355">
        <w:t xml:space="preserve">between 2017/18-2019/20, </w:t>
      </w:r>
      <w:r>
        <w:t xml:space="preserve">figures relating to any CAMHS services (global) </w:t>
      </w:r>
      <w:r w:rsidR="00940355">
        <w:t>show</w:t>
      </w:r>
      <w:r>
        <w:t xml:space="preserve"> a considerable proportion of non-atte</w:t>
      </w:r>
      <w:r w:rsidR="005263FF">
        <w:t xml:space="preserve">ndance at </w:t>
      </w:r>
      <w:r w:rsidR="005263FF" w:rsidRPr="005263FF">
        <w:t>appointments (</w:t>
      </w:r>
      <w:r w:rsidR="005263FF" w:rsidRPr="005263FF">
        <w:fldChar w:fldCharType="begin"/>
      </w:r>
      <w:r w:rsidR="005263FF" w:rsidRPr="005263FF">
        <w:instrText xml:space="preserve"> REF _Ref58424049 \h </w:instrText>
      </w:r>
      <w:r w:rsidR="005263FF">
        <w:instrText xml:space="preserve"> \* MERGEFORMAT </w:instrText>
      </w:r>
      <w:r w:rsidR="005263FF" w:rsidRPr="005263FF">
        <w:fldChar w:fldCharType="separate"/>
      </w:r>
      <w:r w:rsidR="005263FF" w:rsidRPr="005263FF">
        <w:t xml:space="preserve">Figure </w:t>
      </w:r>
      <w:r w:rsidR="005263FF" w:rsidRPr="005263FF">
        <w:rPr>
          <w:noProof/>
        </w:rPr>
        <w:t>5</w:t>
      </w:r>
      <w:r w:rsidR="005263FF" w:rsidRPr="005263FF">
        <w:fldChar w:fldCharType="end"/>
      </w:r>
      <w:r w:rsidRPr="005263FF">
        <w:t>).</w:t>
      </w:r>
      <w:r>
        <w:t xml:space="preserve"> </w:t>
      </w:r>
    </w:p>
    <w:p w14:paraId="21E733A6" w14:textId="2C524E49" w:rsidR="00EB5A9A" w:rsidRDefault="00EB5A9A" w:rsidP="006B7BFD">
      <w:pPr>
        <w:pStyle w:val="NICCYBodyTest"/>
        <w:rPr>
          <w:sz w:val="22"/>
          <w:szCs w:val="22"/>
          <w:highlight w:val="yellow"/>
        </w:rPr>
      </w:pPr>
    </w:p>
    <w:p w14:paraId="3DB5213A" w14:textId="77777777" w:rsidR="00DA0BBF" w:rsidRPr="00A16E2C" w:rsidRDefault="00A16E2C" w:rsidP="00A16E2C">
      <w:pPr>
        <w:pStyle w:val="NICCYBodyText"/>
        <w:rPr>
          <w:sz w:val="20"/>
          <w:szCs w:val="20"/>
        </w:rPr>
      </w:pPr>
      <w:bookmarkStart w:id="17" w:name="_Ref58424049"/>
      <w:r w:rsidRPr="00A16E2C">
        <w:rPr>
          <w:sz w:val="20"/>
          <w:szCs w:val="20"/>
        </w:rPr>
        <w:t xml:space="preserve">Figure </w:t>
      </w:r>
      <w:r w:rsidRPr="00A16E2C">
        <w:rPr>
          <w:sz w:val="20"/>
          <w:szCs w:val="20"/>
        </w:rPr>
        <w:fldChar w:fldCharType="begin"/>
      </w:r>
      <w:r w:rsidRPr="00A16E2C">
        <w:rPr>
          <w:sz w:val="20"/>
          <w:szCs w:val="20"/>
        </w:rPr>
        <w:instrText xml:space="preserve"> SEQ Figure \* ARABIC </w:instrText>
      </w:r>
      <w:r w:rsidRPr="00A16E2C">
        <w:rPr>
          <w:sz w:val="20"/>
          <w:szCs w:val="20"/>
        </w:rPr>
        <w:fldChar w:fldCharType="separate"/>
      </w:r>
      <w:r w:rsidR="0076451B">
        <w:rPr>
          <w:noProof/>
          <w:sz w:val="20"/>
          <w:szCs w:val="20"/>
        </w:rPr>
        <w:t>5</w:t>
      </w:r>
      <w:r w:rsidRPr="00A16E2C">
        <w:rPr>
          <w:sz w:val="20"/>
          <w:szCs w:val="20"/>
        </w:rPr>
        <w:fldChar w:fldCharType="end"/>
      </w:r>
      <w:bookmarkEnd w:id="17"/>
      <w:r w:rsidRPr="00A16E2C">
        <w:rPr>
          <w:sz w:val="20"/>
          <w:szCs w:val="20"/>
        </w:rPr>
        <w:t>: Regional Global Non-Attendance for New and Review Appointments 2017/18-2019/20</w:t>
      </w:r>
    </w:p>
    <w:p w14:paraId="68C87134" w14:textId="77777777" w:rsidR="00DA0BBF" w:rsidRPr="009D4B4E" w:rsidRDefault="00DA0BBF" w:rsidP="006B7BFD">
      <w:pPr>
        <w:pStyle w:val="NICCYBodyTest"/>
        <w:rPr>
          <w:sz w:val="22"/>
          <w:szCs w:val="22"/>
        </w:rPr>
      </w:pPr>
      <w:r>
        <w:rPr>
          <w:noProof/>
          <w:lang w:eastAsia="en-GB"/>
        </w:rPr>
        <w:drawing>
          <wp:inline distT="0" distB="0" distL="0" distR="0" wp14:anchorId="0217E23F" wp14:editId="694F3DC3">
            <wp:extent cx="5676900" cy="32861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ABCE80" w14:textId="64084610" w:rsidR="00DA0BBF" w:rsidRPr="00325DBA" w:rsidRDefault="00887F40" w:rsidP="00DA0BBF">
      <w:pPr>
        <w:pStyle w:val="NICCYBodyTest"/>
        <w:rPr>
          <w:sz w:val="20"/>
          <w:szCs w:val="20"/>
        </w:rPr>
      </w:pPr>
      <w:r w:rsidRPr="00325DBA">
        <w:rPr>
          <w:sz w:val="20"/>
          <w:szCs w:val="20"/>
        </w:rPr>
        <w:t xml:space="preserve">*non-attendance is based on a </w:t>
      </w:r>
      <w:r w:rsidR="00930B09">
        <w:rPr>
          <w:sz w:val="20"/>
          <w:szCs w:val="20"/>
        </w:rPr>
        <w:t>combination</w:t>
      </w:r>
      <w:r w:rsidRPr="00325DBA">
        <w:rPr>
          <w:sz w:val="20"/>
          <w:szCs w:val="20"/>
        </w:rPr>
        <w:t xml:space="preserve"> of </w:t>
      </w:r>
      <w:r w:rsidR="003C1D37">
        <w:rPr>
          <w:sz w:val="20"/>
          <w:szCs w:val="20"/>
        </w:rPr>
        <w:t xml:space="preserve">‘DNA’, ‘CND’ and </w:t>
      </w:r>
      <w:r w:rsidR="003C1D37" w:rsidRPr="002A6A82">
        <w:rPr>
          <w:color w:val="000000" w:themeColor="text1"/>
          <w:sz w:val="20"/>
          <w:szCs w:val="20"/>
        </w:rPr>
        <w:t>‘C</w:t>
      </w:r>
      <w:r w:rsidR="00ED5E8F" w:rsidRPr="002A6A82">
        <w:rPr>
          <w:color w:val="000000" w:themeColor="text1"/>
          <w:sz w:val="20"/>
          <w:szCs w:val="20"/>
        </w:rPr>
        <w:t>NA</w:t>
      </w:r>
      <w:r w:rsidR="00293726" w:rsidRPr="002A6A82">
        <w:rPr>
          <w:color w:val="000000" w:themeColor="text1"/>
          <w:sz w:val="20"/>
          <w:szCs w:val="20"/>
        </w:rPr>
        <w:t>’.</w:t>
      </w:r>
    </w:p>
    <w:p w14:paraId="55499F88" w14:textId="019C4931" w:rsidR="007570B8" w:rsidRDefault="007570B8" w:rsidP="00940355">
      <w:pPr>
        <w:pStyle w:val="NICCYBodyTest"/>
      </w:pPr>
    </w:p>
    <w:p w14:paraId="4C00D9DB" w14:textId="6D5DD3A1" w:rsidR="00624A39" w:rsidRDefault="00940355" w:rsidP="00624A39">
      <w:pPr>
        <w:pStyle w:val="NICCYBodyTest"/>
      </w:pPr>
      <w:r>
        <w:t xml:space="preserve">The Still Waiting </w:t>
      </w:r>
      <w:r w:rsidR="004D51D4">
        <w:t>report</w:t>
      </w:r>
      <w:r w:rsidR="00E628A8">
        <w:t xml:space="preserve"> which</w:t>
      </w:r>
      <w:r w:rsidR="004D51D4">
        <w:t xml:space="preserve"> reviewed</w:t>
      </w:r>
      <w:r w:rsidR="00E628A8">
        <w:t xml:space="preserve"> data up to 2016</w:t>
      </w:r>
      <w:r w:rsidR="004D51D4">
        <w:t>,</w:t>
      </w:r>
      <w:r>
        <w:t xml:space="preserve"> identified a significant proportion </w:t>
      </w:r>
      <w:r>
        <w:lastRenderedPageBreak/>
        <w:t>of non-attendance at first and review appointments, with regional variations, and without clear regional monitoring of reasons for non-attendance.</w:t>
      </w:r>
      <w:r w:rsidRPr="00940355">
        <w:t xml:space="preserve"> </w:t>
      </w:r>
      <w:r>
        <w:t xml:space="preserve">It would appear that this issue identified in Still Waiting, </w:t>
      </w:r>
      <w:r w:rsidR="004D51D4">
        <w:t>continues to be a</w:t>
      </w:r>
      <w:r>
        <w:t xml:space="preserve"> problem area</w:t>
      </w:r>
      <w:r w:rsidR="004D51D4">
        <w:t xml:space="preserve"> for services</w:t>
      </w:r>
      <w:r>
        <w:t xml:space="preserve">. </w:t>
      </w:r>
      <w:r w:rsidR="00411F6F">
        <w:t>NICCY</w:t>
      </w:r>
      <w:r w:rsidR="0084720D">
        <w:t>’</w:t>
      </w:r>
      <w:r>
        <w:t>s review</w:t>
      </w:r>
      <w:r w:rsidR="00411F6F">
        <w:t xml:space="preserve"> </w:t>
      </w:r>
      <w:r w:rsidR="00624A39">
        <w:t>recommend</w:t>
      </w:r>
      <w:bookmarkStart w:id="18" w:name="Discharge"/>
      <w:bookmarkEnd w:id="18"/>
      <w:r w:rsidR="00624A39">
        <w:t xml:space="preserve">ed that the CAMHS Dataset be augmented to record, monitor and urgently address reasons for </w:t>
      </w:r>
      <w:r w:rsidR="00511A12">
        <w:t>non-attendance</w:t>
      </w:r>
      <w:r w:rsidR="00624A39">
        <w:t xml:space="preserve">; and record the numbers of young people discharged from CAMHS due to </w:t>
      </w:r>
      <w:r w:rsidR="00511A12">
        <w:t>non-attendance</w:t>
      </w:r>
      <w:r w:rsidR="00624A39">
        <w:t xml:space="preserve"> and monitor compliance with IEAP guidance. (47 f-g)</w:t>
      </w:r>
      <w:r>
        <w:t>.</w:t>
      </w:r>
    </w:p>
    <w:p w14:paraId="57B286D7" w14:textId="77777777" w:rsidR="00A16E2C" w:rsidRDefault="00A16E2C" w:rsidP="00397DB7">
      <w:pPr>
        <w:pStyle w:val="NICCYSubline"/>
        <w:rPr>
          <w:b w:val="0"/>
          <w:color w:val="414042"/>
        </w:rPr>
      </w:pPr>
    </w:p>
    <w:p w14:paraId="76EBCF9A" w14:textId="764945BC" w:rsidR="00610480" w:rsidRDefault="004276BD" w:rsidP="004A77FE">
      <w:pPr>
        <w:pStyle w:val="NICCYSubtitle"/>
      </w:pPr>
      <w:r>
        <w:t xml:space="preserve">6.0 </w:t>
      </w:r>
      <w:r w:rsidR="00610480">
        <w:t xml:space="preserve">Clinical Reason for Discharge </w:t>
      </w:r>
    </w:p>
    <w:p w14:paraId="4F883D8E" w14:textId="77777777" w:rsidR="00610480" w:rsidRDefault="00610480" w:rsidP="00397DB7">
      <w:pPr>
        <w:pStyle w:val="NICCYSubline"/>
        <w:rPr>
          <w:b w:val="0"/>
          <w:color w:val="414042"/>
        </w:rPr>
      </w:pPr>
    </w:p>
    <w:p w14:paraId="38AE5F1B" w14:textId="2207332D" w:rsidR="00AF200F" w:rsidRDefault="00FA4F64" w:rsidP="00397DB7">
      <w:pPr>
        <w:pStyle w:val="NICCYSubline"/>
        <w:rPr>
          <w:b w:val="0"/>
          <w:color w:val="414042"/>
        </w:rPr>
      </w:pPr>
      <w:r>
        <w:rPr>
          <w:b w:val="0"/>
          <w:color w:val="414042"/>
        </w:rPr>
        <w:t xml:space="preserve">New data </w:t>
      </w:r>
      <w:r w:rsidR="004A77FE">
        <w:rPr>
          <w:b w:val="0"/>
          <w:color w:val="414042"/>
        </w:rPr>
        <w:t xml:space="preserve">on the clinical reason for discharge </w:t>
      </w:r>
      <w:r>
        <w:rPr>
          <w:b w:val="0"/>
          <w:color w:val="414042"/>
        </w:rPr>
        <w:t>has been collected as part of the CAMHS dataset since 2018/19</w:t>
      </w:r>
      <w:r w:rsidR="005263FF">
        <w:rPr>
          <w:b w:val="0"/>
          <w:color w:val="414042"/>
        </w:rPr>
        <w:t xml:space="preserve">, </w:t>
      </w:r>
      <w:r w:rsidR="005263FF">
        <w:rPr>
          <w:b w:val="0"/>
          <w:color w:val="414042"/>
        </w:rPr>
        <w:fldChar w:fldCharType="begin"/>
      </w:r>
      <w:r w:rsidR="005263FF">
        <w:rPr>
          <w:b w:val="0"/>
          <w:color w:val="414042"/>
        </w:rPr>
        <w:instrText xml:space="preserve"> REF _Ref58424096 \h  \* MERGEFORMAT </w:instrText>
      </w:r>
      <w:r w:rsidR="005263FF">
        <w:rPr>
          <w:b w:val="0"/>
          <w:color w:val="414042"/>
        </w:rPr>
      </w:r>
      <w:r w:rsidR="005263FF">
        <w:rPr>
          <w:b w:val="0"/>
          <w:color w:val="414042"/>
        </w:rPr>
        <w:fldChar w:fldCharType="separate"/>
      </w:r>
      <w:r w:rsidR="005263FF" w:rsidRPr="005263FF">
        <w:rPr>
          <w:b w:val="0"/>
          <w:color w:val="414042"/>
        </w:rPr>
        <w:t>Figure 6</w:t>
      </w:r>
      <w:r w:rsidR="005263FF">
        <w:rPr>
          <w:b w:val="0"/>
          <w:color w:val="414042"/>
        </w:rPr>
        <w:fldChar w:fldCharType="end"/>
      </w:r>
      <w:r>
        <w:rPr>
          <w:b w:val="0"/>
          <w:color w:val="414042"/>
        </w:rPr>
        <w:t xml:space="preserve"> </w:t>
      </w:r>
      <w:r w:rsidR="009C6D0D">
        <w:rPr>
          <w:b w:val="0"/>
          <w:color w:val="414042"/>
        </w:rPr>
        <w:t>provides</w:t>
      </w:r>
      <w:r w:rsidR="009D4B4E">
        <w:rPr>
          <w:b w:val="0"/>
          <w:color w:val="414042"/>
        </w:rPr>
        <w:t xml:space="preserve"> </w:t>
      </w:r>
      <w:r w:rsidR="00AF200F">
        <w:rPr>
          <w:b w:val="0"/>
          <w:color w:val="414042"/>
        </w:rPr>
        <w:t xml:space="preserve">data for 2018/19 and 2019/20 </w:t>
      </w:r>
      <w:r w:rsidR="004D51D4">
        <w:rPr>
          <w:b w:val="0"/>
          <w:color w:val="414042"/>
        </w:rPr>
        <w:t>and</w:t>
      </w:r>
      <w:r w:rsidR="00AF200F">
        <w:rPr>
          <w:b w:val="0"/>
          <w:color w:val="414042"/>
        </w:rPr>
        <w:t xml:space="preserve"> shows </w:t>
      </w:r>
      <w:r w:rsidR="009D4B4E">
        <w:rPr>
          <w:b w:val="0"/>
          <w:color w:val="414042"/>
        </w:rPr>
        <w:t xml:space="preserve">that 60% of the young people were discharged </w:t>
      </w:r>
      <w:r w:rsidR="00AF200F">
        <w:rPr>
          <w:b w:val="0"/>
          <w:color w:val="414042"/>
        </w:rPr>
        <w:t xml:space="preserve">from CAMHS </w:t>
      </w:r>
      <w:r w:rsidR="009D4B4E">
        <w:rPr>
          <w:b w:val="0"/>
          <w:color w:val="414042"/>
        </w:rPr>
        <w:t>as ‘goal was achieved’. The remaining 40% of young people were discharged without their goal being fully achieved and included 26% that</w:t>
      </w:r>
      <w:r w:rsidR="004A77FE">
        <w:rPr>
          <w:b w:val="0"/>
          <w:color w:val="414042"/>
        </w:rPr>
        <w:t xml:space="preserve"> </w:t>
      </w:r>
      <w:r w:rsidR="009D4B4E">
        <w:rPr>
          <w:b w:val="0"/>
          <w:color w:val="414042"/>
        </w:rPr>
        <w:t>disengaged</w:t>
      </w:r>
      <w:r w:rsidR="004A77FE">
        <w:rPr>
          <w:b w:val="0"/>
          <w:color w:val="414042"/>
        </w:rPr>
        <w:t xml:space="preserve"> from the service. </w:t>
      </w:r>
      <w:r w:rsidR="00C65917">
        <w:rPr>
          <w:b w:val="0"/>
          <w:color w:val="414042"/>
        </w:rPr>
        <w:t>In Still Waiting, NICCY highlighted the fact that a significant proportion of young people did not find the support they received helpful</w:t>
      </w:r>
      <w:r w:rsidR="00E036DB">
        <w:rPr>
          <w:b w:val="0"/>
          <w:color w:val="414042"/>
        </w:rPr>
        <w:t>, although the intent</w:t>
      </w:r>
      <w:r w:rsidR="00973A7F">
        <w:rPr>
          <w:b w:val="0"/>
          <w:color w:val="414042"/>
        </w:rPr>
        <w:t>ion is</w:t>
      </w:r>
      <w:r w:rsidR="00E036DB">
        <w:rPr>
          <w:b w:val="0"/>
          <w:color w:val="414042"/>
        </w:rPr>
        <w:t xml:space="preserve"> not to conflate the</w:t>
      </w:r>
      <w:r w:rsidR="00973A7F">
        <w:rPr>
          <w:b w:val="0"/>
          <w:color w:val="414042"/>
        </w:rPr>
        <w:t>se</w:t>
      </w:r>
      <w:r w:rsidR="00E036DB">
        <w:rPr>
          <w:b w:val="0"/>
          <w:color w:val="414042"/>
        </w:rPr>
        <w:t xml:space="preserve"> two measures, </w:t>
      </w:r>
      <w:r w:rsidR="00973A7F">
        <w:rPr>
          <w:b w:val="0"/>
          <w:color w:val="414042"/>
        </w:rPr>
        <w:t>they both point to the need for further analysis of the effectiveness of treatment and service models and what changes might usefully be made.</w:t>
      </w:r>
    </w:p>
    <w:p w14:paraId="14836594" w14:textId="77777777" w:rsidR="00AF200F" w:rsidRDefault="00AF200F" w:rsidP="00397DB7">
      <w:pPr>
        <w:pStyle w:val="NICCYSubline"/>
        <w:rPr>
          <w:b w:val="0"/>
          <w:color w:val="414042"/>
        </w:rPr>
      </w:pPr>
    </w:p>
    <w:p w14:paraId="0FDC9F48" w14:textId="77777777" w:rsidR="00AF200F" w:rsidRPr="00A16E2C" w:rsidRDefault="00A16E2C" w:rsidP="00A16E2C">
      <w:pPr>
        <w:pStyle w:val="NICCYBodyText"/>
        <w:rPr>
          <w:b/>
          <w:sz w:val="20"/>
          <w:szCs w:val="20"/>
        </w:rPr>
      </w:pPr>
      <w:bookmarkStart w:id="19" w:name="_Ref58424096"/>
      <w:r w:rsidRPr="00A16E2C">
        <w:rPr>
          <w:sz w:val="20"/>
          <w:szCs w:val="20"/>
        </w:rPr>
        <w:t xml:space="preserve">Figure </w:t>
      </w:r>
      <w:r w:rsidRPr="00A16E2C">
        <w:rPr>
          <w:sz w:val="20"/>
          <w:szCs w:val="20"/>
        </w:rPr>
        <w:fldChar w:fldCharType="begin"/>
      </w:r>
      <w:r w:rsidRPr="00A16E2C">
        <w:rPr>
          <w:sz w:val="20"/>
          <w:szCs w:val="20"/>
        </w:rPr>
        <w:instrText xml:space="preserve"> SEQ Figure \* ARABIC </w:instrText>
      </w:r>
      <w:r w:rsidRPr="00A16E2C">
        <w:rPr>
          <w:sz w:val="20"/>
          <w:szCs w:val="20"/>
        </w:rPr>
        <w:fldChar w:fldCharType="separate"/>
      </w:r>
      <w:r w:rsidR="0076451B">
        <w:rPr>
          <w:noProof/>
          <w:sz w:val="20"/>
          <w:szCs w:val="20"/>
        </w:rPr>
        <w:t>6</w:t>
      </w:r>
      <w:r w:rsidRPr="00A16E2C">
        <w:rPr>
          <w:sz w:val="20"/>
          <w:szCs w:val="20"/>
        </w:rPr>
        <w:fldChar w:fldCharType="end"/>
      </w:r>
      <w:bookmarkEnd w:id="19"/>
      <w:r w:rsidRPr="00A16E2C">
        <w:rPr>
          <w:sz w:val="20"/>
          <w:szCs w:val="20"/>
        </w:rPr>
        <w:t>: Clinical Reason for Discharge from CAMHS 2018/19-2019/20</w:t>
      </w:r>
    </w:p>
    <w:p w14:paraId="1DD74FB2" w14:textId="77777777" w:rsidR="003B2075" w:rsidRDefault="003B2075" w:rsidP="00397DB7">
      <w:pPr>
        <w:pStyle w:val="NICCYSubline"/>
        <w:rPr>
          <w:b w:val="0"/>
          <w:color w:val="414042"/>
        </w:rPr>
      </w:pPr>
      <w:r>
        <w:rPr>
          <w:noProof/>
          <w:lang w:eastAsia="en-GB"/>
        </w:rPr>
        <w:drawing>
          <wp:inline distT="0" distB="0" distL="0" distR="0" wp14:anchorId="2001487F" wp14:editId="1D57E56F">
            <wp:extent cx="4763770" cy="2528047"/>
            <wp:effectExtent l="0" t="0" r="17780" b="57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B50A18" w14:textId="0A15FE48" w:rsidR="00791F3D" w:rsidRPr="00AA4BE6" w:rsidRDefault="00AA4BE6" w:rsidP="00AA4BE6">
      <w:pPr>
        <w:pStyle w:val="NICCYBodyText"/>
        <w:rPr>
          <w:sz w:val="20"/>
          <w:szCs w:val="20"/>
        </w:rPr>
      </w:pPr>
      <w:r w:rsidRPr="00AA4BE6">
        <w:rPr>
          <w:sz w:val="20"/>
          <w:szCs w:val="20"/>
        </w:rPr>
        <w:t xml:space="preserve">*suppression </w:t>
      </w:r>
      <w:r>
        <w:rPr>
          <w:sz w:val="20"/>
          <w:szCs w:val="20"/>
        </w:rPr>
        <w:t xml:space="preserve">of data minimal for 2018/19 with </w:t>
      </w:r>
      <w:r w:rsidRPr="00AA4BE6">
        <w:rPr>
          <w:sz w:val="20"/>
          <w:szCs w:val="20"/>
        </w:rPr>
        <w:t xml:space="preserve">no effect on % </w:t>
      </w:r>
      <w:r w:rsidR="005E5DBE">
        <w:rPr>
          <w:sz w:val="20"/>
          <w:szCs w:val="20"/>
        </w:rPr>
        <w:t>calculation</w:t>
      </w:r>
    </w:p>
    <w:p w14:paraId="42C7F813" w14:textId="77777777" w:rsidR="00AA4BE6" w:rsidRDefault="00AA4BE6" w:rsidP="00397DB7">
      <w:pPr>
        <w:pStyle w:val="NICCYSubline"/>
      </w:pPr>
    </w:p>
    <w:p w14:paraId="0A510786" w14:textId="4C4656DA" w:rsidR="00397DB7" w:rsidRDefault="004276BD" w:rsidP="00397DB7">
      <w:pPr>
        <w:pStyle w:val="NICCYSubline"/>
      </w:pPr>
      <w:bookmarkStart w:id="20" w:name="Waiting_Time"/>
      <w:r>
        <w:t xml:space="preserve">7.0 </w:t>
      </w:r>
      <w:r w:rsidR="00397DB7">
        <w:t xml:space="preserve">Waiting Time </w:t>
      </w:r>
      <w:bookmarkEnd w:id="20"/>
      <w:r w:rsidR="00A54371">
        <w:t>for A</w:t>
      </w:r>
      <w:r w:rsidR="00397DB7">
        <w:t>ccess to CAMHS</w:t>
      </w:r>
    </w:p>
    <w:p w14:paraId="619A5A1F" w14:textId="77777777" w:rsidR="00AA0ECE" w:rsidRDefault="00AA0ECE" w:rsidP="00397DB7">
      <w:pPr>
        <w:pStyle w:val="NICCYSubline"/>
      </w:pPr>
    </w:p>
    <w:p w14:paraId="6BD93E63" w14:textId="2529F7EE" w:rsidR="007119E1" w:rsidRDefault="00044611" w:rsidP="007119E1">
      <w:pPr>
        <w:pStyle w:val="NICCYBodyTest"/>
      </w:pPr>
      <w:r>
        <w:lastRenderedPageBreak/>
        <w:t>Waiting t</w:t>
      </w:r>
      <w:r w:rsidR="00AF5786">
        <w:t>imes to access CAMHS is a key quality indicator used by the system to determine</w:t>
      </w:r>
      <w:r w:rsidR="0060064E">
        <w:t xml:space="preserve"> the </w:t>
      </w:r>
      <w:r w:rsidR="003906E1">
        <w:t>capacity</w:t>
      </w:r>
      <w:r w:rsidR="0060064E">
        <w:t xml:space="preserve"> to meet demand and maximise use of resources,</w:t>
      </w:r>
      <w:r w:rsidR="003906E1">
        <w:t xml:space="preserve"> </w:t>
      </w:r>
      <w:r w:rsidR="0060064E">
        <w:t>however,</w:t>
      </w:r>
      <w:r w:rsidR="003906E1">
        <w:t xml:space="preserve"> w</w:t>
      </w:r>
      <w:r w:rsidR="00AF5786">
        <w:t>a</w:t>
      </w:r>
      <w:r w:rsidR="003906E1">
        <w:t xml:space="preserve">iting lists alone </w:t>
      </w:r>
      <w:r w:rsidR="004D51D4">
        <w:t>should not be the sole</w:t>
      </w:r>
      <w:r w:rsidR="00AF5786">
        <w:t xml:space="preserve"> </w:t>
      </w:r>
      <w:r w:rsidR="004D51D4">
        <w:t>measure of</w:t>
      </w:r>
      <w:r w:rsidR="003906E1">
        <w:t xml:space="preserve"> quality of care.</w:t>
      </w:r>
      <w:r w:rsidR="004858C6">
        <w:t xml:space="preserve"> </w:t>
      </w:r>
      <w:r w:rsidR="00F30EF6">
        <w:t>The 9 week waiting time target for a routine appointment at Step 3 / Core CAMHS is calculated from the date of acceptance of the referral to the time the patient is seen, and assessed at their first appointment.</w:t>
      </w:r>
      <w:r w:rsidR="00F30EF6">
        <w:rPr>
          <w:rStyle w:val="FootnoteReference"/>
        </w:rPr>
        <w:footnoteReference w:id="5"/>
      </w:r>
      <w:r w:rsidR="00F30EF6">
        <w:t xml:space="preserve"> </w:t>
      </w:r>
      <w:r w:rsidR="003906E1">
        <w:t xml:space="preserve"> </w:t>
      </w:r>
      <w:r w:rsidR="00AF5786">
        <w:t xml:space="preserve">In Still Waiting, NICCY drew attention to the fact that the 9 week waiting time target </w:t>
      </w:r>
      <w:r w:rsidR="0060064E">
        <w:t>to</w:t>
      </w:r>
      <w:r w:rsidR="00AF5786">
        <w:t xml:space="preserve"> access </w:t>
      </w:r>
      <w:r w:rsidR="00F30EF6">
        <w:t xml:space="preserve">a </w:t>
      </w:r>
      <w:r w:rsidR="00AF5786">
        <w:t>routine appointment for Step 3 CAMHS can represent a small part of the overall length of time young people ar</w:t>
      </w:r>
      <w:r w:rsidR="0060064E">
        <w:t>e waiting for treatment or care. The report</w:t>
      </w:r>
      <w:r w:rsidR="00AF5786">
        <w:t xml:space="preserve"> highlighted a number </w:t>
      </w:r>
      <w:r w:rsidR="00CE1D1D">
        <w:t xml:space="preserve">of </w:t>
      </w:r>
      <w:r w:rsidR="00AF5786">
        <w:t>other critical points along the care pathway where delays can occur, this includes between first appointment and review appointments, the waiting time between the referral being made to Step 3 CAMHS, and the decision being made about whether they are accepted (triage</w:t>
      </w:r>
      <w:r w:rsidR="00F30EF6">
        <w:t xml:space="preserve"> process</w:t>
      </w:r>
      <w:r w:rsidR="00AF5786">
        <w:t>). On this basis, NICCY made a numbe</w:t>
      </w:r>
      <w:r w:rsidR="00F30EF6">
        <w:t>r of specific recommendations regarding the</w:t>
      </w:r>
      <w:r w:rsidR="00AF5786">
        <w:t xml:space="preserve"> </w:t>
      </w:r>
      <w:r w:rsidR="00F30EF6">
        <w:t xml:space="preserve">collection and monitoring of </w:t>
      </w:r>
      <w:r w:rsidR="00AF5786">
        <w:t xml:space="preserve">additional waiting time data </w:t>
      </w:r>
      <w:r w:rsidR="00F30EF6">
        <w:t>through</w:t>
      </w:r>
      <w:r w:rsidR="00880968">
        <w:t xml:space="preserve"> the CAMHS Dataset (Rec 47 d). </w:t>
      </w:r>
      <w:r w:rsidR="005263FF">
        <w:fldChar w:fldCharType="begin"/>
      </w:r>
      <w:r w:rsidR="005263FF">
        <w:instrText xml:space="preserve"> REF _Ref58424144 \h  \* MERGEFORMAT </w:instrText>
      </w:r>
      <w:r w:rsidR="005263FF">
        <w:fldChar w:fldCharType="separate"/>
      </w:r>
      <w:r w:rsidR="005263FF" w:rsidRPr="005263FF">
        <w:t>Table 7</w:t>
      </w:r>
      <w:r w:rsidR="005263FF">
        <w:fldChar w:fldCharType="end"/>
      </w:r>
      <w:r w:rsidR="002D290F">
        <w:t xml:space="preserve"> provides a 7-</w:t>
      </w:r>
      <w:r w:rsidR="007119E1">
        <w:t>year overview of the total number of young people waiting for an appointment</w:t>
      </w:r>
      <w:r w:rsidR="00F30EF6" w:rsidRPr="00F30EF6">
        <w:t xml:space="preserve"> </w:t>
      </w:r>
      <w:r w:rsidR="00F30EF6">
        <w:t>at Step 3 / Core CAMHS</w:t>
      </w:r>
      <w:r w:rsidR="007119E1">
        <w:t>.  It also shows the number and percentage of young people waiting more than the statutory 9 weeks waiting time targe</w:t>
      </w:r>
      <w:r w:rsidR="00F30EF6">
        <w:t>t to access the service. The figures show</w:t>
      </w:r>
      <w:r w:rsidR="007119E1">
        <w:t xml:space="preserve"> that breaches of the waiting time targe</w:t>
      </w:r>
      <w:r w:rsidR="002D290F">
        <w:t xml:space="preserve">t increased to 46% </w:t>
      </w:r>
      <w:r w:rsidR="00F30EF6">
        <w:t xml:space="preserve">(n=552) </w:t>
      </w:r>
      <w:r w:rsidR="002D290F">
        <w:t>in March 2020</w:t>
      </w:r>
      <w:r w:rsidR="007119E1">
        <w:t xml:space="preserve"> which is the highest waiting time figure recorded in t</w:t>
      </w:r>
      <w:r w:rsidR="002D290F">
        <w:t>he last 7</w:t>
      </w:r>
      <w:r w:rsidR="007119E1">
        <w:t xml:space="preserve"> years</w:t>
      </w:r>
      <w:r w:rsidR="002D290F">
        <w:t xml:space="preserve"> and </w:t>
      </w:r>
      <w:r w:rsidR="004858C6">
        <w:t xml:space="preserve">shows that </w:t>
      </w:r>
      <w:r w:rsidR="002D290F">
        <w:t xml:space="preserve">almost </w:t>
      </w:r>
      <w:r w:rsidR="006B4DB9">
        <w:t xml:space="preserve">three times more young people </w:t>
      </w:r>
      <w:r w:rsidR="004858C6">
        <w:t xml:space="preserve">were </w:t>
      </w:r>
      <w:r w:rsidR="006B4DB9">
        <w:t>waiting over 9 weeks</w:t>
      </w:r>
      <w:r w:rsidR="004858C6">
        <w:t xml:space="preserve"> for a first appointment compared to</w:t>
      </w:r>
      <w:r w:rsidR="006B4DB9">
        <w:t xml:space="preserve"> </w:t>
      </w:r>
      <w:r w:rsidR="002D290F">
        <w:t xml:space="preserve">the same </w:t>
      </w:r>
      <w:r w:rsidR="006B4DB9">
        <w:t>time the</w:t>
      </w:r>
      <w:r w:rsidR="002D290F">
        <w:t xml:space="preserve"> year </w:t>
      </w:r>
      <w:r w:rsidR="002D290F" w:rsidRPr="00F13F45">
        <w:t>before</w:t>
      </w:r>
      <w:r w:rsidR="00880968">
        <w:t>. The data doesn’t extend across the full period affected by the pandemic, however, the potential impact of the pandemic on waiting times will be captured in future reporting.</w:t>
      </w:r>
    </w:p>
    <w:p w14:paraId="083B476A" w14:textId="77777777" w:rsidR="004C2663" w:rsidRDefault="004C2663" w:rsidP="00A16E2C">
      <w:pPr>
        <w:pStyle w:val="NICCYBodyText"/>
        <w:rPr>
          <w:sz w:val="20"/>
          <w:szCs w:val="20"/>
        </w:rPr>
      </w:pPr>
    </w:p>
    <w:p w14:paraId="652F7344" w14:textId="77777777" w:rsidR="00791F3D" w:rsidRPr="004C2663" w:rsidRDefault="004C2663" w:rsidP="004C2663">
      <w:pPr>
        <w:pStyle w:val="NICCYBodyText"/>
        <w:rPr>
          <w:sz w:val="20"/>
          <w:szCs w:val="20"/>
        </w:rPr>
      </w:pPr>
      <w:bookmarkStart w:id="21" w:name="_Ref58424144"/>
      <w:r w:rsidRPr="004C2663">
        <w:rPr>
          <w:sz w:val="20"/>
          <w:szCs w:val="20"/>
        </w:rPr>
        <w:t xml:space="preserve">Table </w:t>
      </w:r>
      <w:r w:rsidRPr="004C2663">
        <w:rPr>
          <w:sz w:val="20"/>
          <w:szCs w:val="20"/>
        </w:rPr>
        <w:fldChar w:fldCharType="begin"/>
      </w:r>
      <w:r w:rsidRPr="004C2663">
        <w:rPr>
          <w:sz w:val="20"/>
          <w:szCs w:val="20"/>
        </w:rPr>
        <w:instrText xml:space="preserve"> SEQ Table \* ARABIC </w:instrText>
      </w:r>
      <w:r w:rsidRPr="004C2663">
        <w:rPr>
          <w:sz w:val="20"/>
          <w:szCs w:val="20"/>
        </w:rPr>
        <w:fldChar w:fldCharType="separate"/>
      </w:r>
      <w:r w:rsidR="00652AC5">
        <w:rPr>
          <w:noProof/>
          <w:sz w:val="20"/>
          <w:szCs w:val="20"/>
        </w:rPr>
        <w:t>7</w:t>
      </w:r>
      <w:r w:rsidRPr="004C2663">
        <w:rPr>
          <w:sz w:val="20"/>
          <w:szCs w:val="20"/>
        </w:rPr>
        <w:fldChar w:fldCharType="end"/>
      </w:r>
      <w:bookmarkEnd w:id="21"/>
      <w:r w:rsidRPr="004C2663">
        <w:rPr>
          <w:sz w:val="20"/>
          <w:szCs w:val="20"/>
        </w:rPr>
        <w:t>: Regional Overview: Step 3 / Core CAMHS Waiting Times 2014-2020</w:t>
      </w:r>
      <w:r w:rsidR="00A16E2C" w:rsidRPr="004C2663">
        <w:rPr>
          <w:sz w:val="20"/>
          <w:szCs w:val="20"/>
        </w:rPr>
        <w:t xml:space="preserve"> </w:t>
      </w:r>
    </w:p>
    <w:tbl>
      <w:tblPr>
        <w:tblStyle w:val="TableGrid"/>
        <w:tblW w:w="9624" w:type="dxa"/>
        <w:tblLook w:val="04A0" w:firstRow="1" w:lastRow="0" w:firstColumn="1" w:lastColumn="0" w:noHBand="0" w:noVBand="1"/>
      </w:tblPr>
      <w:tblGrid>
        <w:gridCol w:w="1931"/>
        <w:gridCol w:w="2422"/>
        <w:gridCol w:w="2730"/>
        <w:gridCol w:w="2541"/>
      </w:tblGrid>
      <w:tr w:rsidR="002D290F" w:rsidRPr="00436AB6" w14:paraId="0EF3668C" w14:textId="77777777" w:rsidTr="00436AB6">
        <w:trPr>
          <w:trHeight w:val="296"/>
        </w:trPr>
        <w:tc>
          <w:tcPr>
            <w:tcW w:w="1931" w:type="dxa"/>
            <w:noWrap/>
            <w:hideMark/>
          </w:tcPr>
          <w:p w14:paraId="6865D5A9" w14:textId="77777777" w:rsidR="002D290F" w:rsidRPr="00436AB6" w:rsidRDefault="006B4DB9" w:rsidP="002D290F">
            <w:pPr>
              <w:pStyle w:val="NICCYBodyTest"/>
              <w:rPr>
                <w:b/>
                <w:bCs/>
                <w:sz w:val="22"/>
                <w:szCs w:val="22"/>
              </w:rPr>
            </w:pPr>
            <w:r w:rsidRPr="00436AB6">
              <w:rPr>
                <w:b/>
                <w:bCs/>
                <w:sz w:val="22"/>
                <w:szCs w:val="22"/>
              </w:rPr>
              <w:t>Year</w:t>
            </w:r>
          </w:p>
        </w:tc>
        <w:tc>
          <w:tcPr>
            <w:tcW w:w="2422" w:type="dxa"/>
            <w:noWrap/>
            <w:hideMark/>
          </w:tcPr>
          <w:p w14:paraId="25C2AC0F" w14:textId="77777777" w:rsidR="002D290F" w:rsidRPr="00436AB6" w:rsidRDefault="004C2663" w:rsidP="002D290F">
            <w:pPr>
              <w:pStyle w:val="NICCYBodyTest"/>
              <w:rPr>
                <w:b/>
                <w:bCs/>
                <w:sz w:val="22"/>
                <w:szCs w:val="22"/>
              </w:rPr>
            </w:pPr>
            <w:r w:rsidRPr="00436AB6">
              <w:rPr>
                <w:b/>
                <w:bCs/>
                <w:sz w:val="22"/>
                <w:szCs w:val="22"/>
              </w:rPr>
              <w:t>Total no. waiting</w:t>
            </w:r>
          </w:p>
        </w:tc>
        <w:tc>
          <w:tcPr>
            <w:tcW w:w="2730" w:type="dxa"/>
            <w:noWrap/>
            <w:hideMark/>
          </w:tcPr>
          <w:p w14:paraId="5AD52677" w14:textId="21B9C870" w:rsidR="002D290F" w:rsidRPr="00436AB6" w:rsidRDefault="004C2663" w:rsidP="004C2663">
            <w:pPr>
              <w:pStyle w:val="NICCYBodyTest"/>
              <w:rPr>
                <w:b/>
                <w:bCs/>
                <w:sz w:val="22"/>
                <w:szCs w:val="22"/>
              </w:rPr>
            </w:pPr>
            <w:r w:rsidRPr="00436AB6">
              <w:rPr>
                <w:b/>
                <w:bCs/>
                <w:sz w:val="22"/>
                <w:szCs w:val="22"/>
              </w:rPr>
              <w:t xml:space="preserve">Total no. waiting &gt; 9 wk </w:t>
            </w:r>
          </w:p>
        </w:tc>
        <w:tc>
          <w:tcPr>
            <w:tcW w:w="2541" w:type="dxa"/>
            <w:noWrap/>
            <w:hideMark/>
          </w:tcPr>
          <w:p w14:paraId="3E319379" w14:textId="77777777" w:rsidR="002D290F" w:rsidRPr="00436AB6" w:rsidRDefault="002D290F" w:rsidP="004C2663">
            <w:pPr>
              <w:pStyle w:val="NICCYBodyTest"/>
              <w:rPr>
                <w:b/>
                <w:bCs/>
                <w:sz w:val="22"/>
                <w:szCs w:val="22"/>
              </w:rPr>
            </w:pPr>
            <w:r w:rsidRPr="00436AB6">
              <w:rPr>
                <w:b/>
                <w:bCs/>
                <w:sz w:val="22"/>
                <w:szCs w:val="22"/>
              </w:rPr>
              <w:t xml:space="preserve">% </w:t>
            </w:r>
            <w:r w:rsidR="004C2663" w:rsidRPr="00436AB6">
              <w:rPr>
                <w:b/>
                <w:bCs/>
                <w:sz w:val="22"/>
                <w:szCs w:val="22"/>
              </w:rPr>
              <w:t xml:space="preserve">waiting </w:t>
            </w:r>
            <w:r w:rsidRPr="00436AB6">
              <w:rPr>
                <w:b/>
                <w:bCs/>
                <w:sz w:val="22"/>
                <w:szCs w:val="22"/>
              </w:rPr>
              <w:t xml:space="preserve">&gt; 9 wk </w:t>
            </w:r>
          </w:p>
        </w:tc>
      </w:tr>
      <w:tr w:rsidR="002D290F" w:rsidRPr="00436AB6" w14:paraId="07E30CEE" w14:textId="77777777" w:rsidTr="00436AB6">
        <w:trPr>
          <w:trHeight w:val="296"/>
        </w:trPr>
        <w:tc>
          <w:tcPr>
            <w:tcW w:w="1931" w:type="dxa"/>
            <w:noWrap/>
            <w:hideMark/>
          </w:tcPr>
          <w:p w14:paraId="2AB1B751" w14:textId="77777777" w:rsidR="002D290F" w:rsidRPr="00436AB6" w:rsidRDefault="002D290F" w:rsidP="002D290F">
            <w:pPr>
              <w:pStyle w:val="NICCYBodyTest"/>
              <w:rPr>
                <w:sz w:val="22"/>
                <w:szCs w:val="22"/>
              </w:rPr>
            </w:pPr>
            <w:r w:rsidRPr="00436AB6">
              <w:rPr>
                <w:sz w:val="22"/>
                <w:szCs w:val="22"/>
              </w:rPr>
              <w:t>28-Mar-14</w:t>
            </w:r>
          </w:p>
        </w:tc>
        <w:tc>
          <w:tcPr>
            <w:tcW w:w="2422" w:type="dxa"/>
            <w:noWrap/>
            <w:hideMark/>
          </w:tcPr>
          <w:p w14:paraId="7ED26993" w14:textId="77777777" w:rsidR="002D290F" w:rsidRPr="00436AB6" w:rsidRDefault="002D290F" w:rsidP="002D290F">
            <w:pPr>
              <w:pStyle w:val="NICCYBodyTest"/>
              <w:rPr>
                <w:sz w:val="22"/>
                <w:szCs w:val="22"/>
              </w:rPr>
            </w:pPr>
            <w:r w:rsidRPr="00436AB6">
              <w:rPr>
                <w:sz w:val="22"/>
                <w:szCs w:val="22"/>
              </w:rPr>
              <w:t>934</w:t>
            </w:r>
          </w:p>
        </w:tc>
        <w:tc>
          <w:tcPr>
            <w:tcW w:w="2730" w:type="dxa"/>
            <w:noWrap/>
            <w:hideMark/>
          </w:tcPr>
          <w:p w14:paraId="692933B8" w14:textId="77777777" w:rsidR="002D290F" w:rsidRPr="00436AB6" w:rsidRDefault="002D290F" w:rsidP="002D290F">
            <w:pPr>
              <w:pStyle w:val="NICCYBodyTest"/>
              <w:rPr>
                <w:sz w:val="22"/>
                <w:szCs w:val="22"/>
              </w:rPr>
            </w:pPr>
            <w:r w:rsidRPr="00436AB6">
              <w:rPr>
                <w:sz w:val="22"/>
                <w:szCs w:val="22"/>
              </w:rPr>
              <w:t>114</w:t>
            </w:r>
          </w:p>
        </w:tc>
        <w:tc>
          <w:tcPr>
            <w:tcW w:w="2541" w:type="dxa"/>
            <w:noWrap/>
            <w:hideMark/>
          </w:tcPr>
          <w:p w14:paraId="6CB21BD8" w14:textId="77777777" w:rsidR="002D290F" w:rsidRPr="00436AB6" w:rsidRDefault="002D290F" w:rsidP="002D290F">
            <w:pPr>
              <w:pStyle w:val="NICCYBodyTest"/>
              <w:rPr>
                <w:sz w:val="22"/>
                <w:szCs w:val="22"/>
              </w:rPr>
            </w:pPr>
            <w:r w:rsidRPr="00436AB6">
              <w:rPr>
                <w:sz w:val="22"/>
                <w:szCs w:val="22"/>
              </w:rPr>
              <w:t>12%</w:t>
            </w:r>
          </w:p>
        </w:tc>
      </w:tr>
      <w:tr w:rsidR="002D290F" w:rsidRPr="00436AB6" w14:paraId="2DD3E5BC" w14:textId="77777777" w:rsidTr="00436AB6">
        <w:trPr>
          <w:trHeight w:val="296"/>
        </w:trPr>
        <w:tc>
          <w:tcPr>
            <w:tcW w:w="1931" w:type="dxa"/>
            <w:noWrap/>
            <w:hideMark/>
          </w:tcPr>
          <w:p w14:paraId="2C73C9D3" w14:textId="77777777" w:rsidR="002D290F" w:rsidRPr="00436AB6" w:rsidRDefault="002D290F" w:rsidP="002D290F">
            <w:pPr>
              <w:pStyle w:val="NICCYBodyTest"/>
              <w:rPr>
                <w:sz w:val="22"/>
                <w:szCs w:val="22"/>
              </w:rPr>
            </w:pPr>
            <w:r w:rsidRPr="00436AB6">
              <w:rPr>
                <w:sz w:val="22"/>
                <w:szCs w:val="22"/>
              </w:rPr>
              <w:t>27-Mar-15</w:t>
            </w:r>
          </w:p>
        </w:tc>
        <w:tc>
          <w:tcPr>
            <w:tcW w:w="2422" w:type="dxa"/>
            <w:noWrap/>
            <w:hideMark/>
          </w:tcPr>
          <w:p w14:paraId="71126271" w14:textId="77777777" w:rsidR="002D290F" w:rsidRPr="00436AB6" w:rsidRDefault="002D290F" w:rsidP="002D290F">
            <w:pPr>
              <w:pStyle w:val="NICCYBodyTest"/>
              <w:rPr>
                <w:sz w:val="22"/>
                <w:szCs w:val="22"/>
              </w:rPr>
            </w:pPr>
            <w:r w:rsidRPr="00436AB6">
              <w:rPr>
                <w:sz w:val="22"/>
                <w:szCs w:val="22"/>
              </w:rPr>
              <w:t>1022</w:t>
            </w:r>
          </w:p>
        </w:tc>
        <w:tc>
          <w:tcPr>
            <w:tcW w:w="2730" w:type="dxa"/>
            <w:noWrap/>
            <w:hideMark/>
          </w:tcPr>
          <w:p w14:paraId="69576B21" w14:textId="77777777" w:rsidR="002D290F" w:rsidRPr="00436AB6" w:rsidRDefault="002D290F" w:rsidP="002D290F">
            <w:pPr>
              <w:pStyle w:val="NICCYBodyTest"/>
              <w:rPr>
                <w:sz w:val="22"/>
                <w:szCs w:val="22"/>
              </w:rPr>
            </w:pPr>
            <w:r w:rsidRPr="00436AB6">
              <w:rPr>
                <w:sz w:val="22"/>
                <w:szCs w:val="22"/>
              </w:rPr>
              <w:t>99</w:t>
            </w:r>
          </w:p>
        </w:tc>
        <w:tc>
          <w:tcPr>
            <w:tcW w:w="2541" w:type="dxa"/>
            <w:noWrap/>
            <w:hideMark/>
          </w:tcPr>
          <w:p w14:paraId="59B5C859" w14:textId="77777777" w:rsidR="002D290F" w:rsidRPr="00436AB6" w:rsidRDefault="002D290F" w:rsidP="002D290F">
            <w:pPr>
              <w:pStyle w:val="NICCYBodyTest"/>
              <w:rPr>
                <w:sz w:val="22"/>
                <w:szCs w:val="22"/>
              </w:rPr>
            </w:pPr>
            <w:r w:rsidRPr="00436AB6">
              <w:rPr>
                <w:sz w:val="22"/>
                <w:szCs w:val="22"/>
              </w:rPr>
              <w:t>10%</w:t>
            </w:r>
          </w:p>
        </w:tc>
      </w:tr>
      <w:tr w:rsidR="002D290F" w:rsidRPr="00436AB6" w14:paraId="2770B3CE" w14:textId="77777777" w:rsidTr="00436AB6">
        <w:trPr>
          <w:trHeight w:val="296"/>
        </w:trPr>
        <w:tc>
          <w:tcPr>
            <w:tcW w:w="1931" w:type="dxa"/>
            <w:noWrap/>
            <w:hideMark/>
          </w:tcPr>
          <w:p w14:paraId="35212A40" w14:textId="77777777" w:rsidR="002D290F" w:rsidRPr="00436AB6" w:rsidRDefault="002D290F" w:rsidP="002D290F">
            <w:pPr>
              <w:pStyle w:val="NICCYBodyTest"/>
              <w:rPr>
                <w:sz w:val="22"/>
                <w:szCs w:val="22"/>
              </w:rPr>
            </w:pPr>
            <w:r w:rsidRPr="00436AB6">
              <w:rPr>
                <w:sz w:val="22"/>
                <w:szCs w:val="22"/>
              </w:rPr>
              <w:t>25-Mar-16</w:t>
            </w:r>
          </w:p>
        </w:tc>
        <w:tc>
          <w:tcPr>
            <w:tcW w:w="2422" w:type="dxa"/>
            <w:noWrap/>
            <w:hideMark/>
          </w:tcPr>
          <w:p w14:paraId="545EA1A1" w14:textId="77777777" w:rsidR="002D290F" w:rsidRPr="00436AB6" w:rsidRDefault="002D290F" w:rsidP="002D290F">
            <w:pPr>
              <w:pStyle w:val="NICCYBodyTest"/>
              <w:rPr>
                <w:sz w:val="22"/>
                <w:szCs w:val="22"/>
              </w:rPr>
            </w:pPr>
            <w:r w:rsidRPr="00436AB6">
              <w:rPr>
                <w:sz w:val="22"/>
                <w:szCs w:val="22"/>
              </w:rPr>
              <w:t>742</w:t>
            </w:r>
          </w:p>
        </w:tc>
        <w:tc>
          <w:tcPr>
            <w:tcW w:w="2730" w:type="dxa"/>
            <w:noWrap/>
            <w:hideMark/>
          </w:tcPr>
          <w:p w14:paraId="4D6B8929" w14:textId="77777777" w:rsidR="002D290F" w:rsidRPr="00436AB6" w:rsidRDefault="002D290F" w:rsidP="002D290F">
            <w:pPr>
              <w:pStyle w:val="NICCYBodyTest"/>
              <w:rPr>
                <w:sz w:val="22"/>
                <w:szCs w:val="22"/>
              </w:rPr>
            </w:pPr>
            <w:r w:rsidRPr="00436AB6">
              <w:rPr>
                <w:sz w:val="22"/>
                <w:szCs w:val="22"/>
              </w:rPr>
              <w:t>19</w:t>
            </w:r>
          </w:p>
        </w:tc>
        <w:tc>
          <w:tcPr>
            <w:tcW w:w="2541" w:type="dxa"/>
            <w:noWrap/>
            <w:hideMark/>
          </w:tcPr>
          <w:p w14:paraId="3179C469" w14:textId="77777777" w:rsidR="002D290F" w:rsidRPr="00436AB6" w:rsidRDefault="002D290F" w:rsidP="002D290F">
            <w:pPr>
              <w:pStyle w:val="NICCYBodyTest"/>
              <w:rPr>
                <w:sz w:val="22"/>
                <w:szCs w:val="22"/>
              </w:rPr>
            </w:pPr>
            <w:r w:rsidRPr="00436AB6">
              <w:rPr>
                <w:sz w:val="22"/>
                <w:szCs w:val="22"/>
              </w:rPr>
              <w:t>3%</w:t>
            </w:r>
          </w:p>
        </w:tc>
      </w:tr>
      <w:tr w:rsidR="002D290F" w:rsidRPr="00436AB6" w14:paraId="4426A6FF" w14:textId="77777777" w:rsidTr="00436AB6">
        <w:trPr>
          <w:trHeight w:val="296"/>
        </w:trPr>
        <w:tc>
          <w:tcPr>
            <w:tcW w:w="1931" w:type="dxa"/>
            <w:noWrap/>
            <w:hideMark/>
          </w:tcPr>
          <w:p w14:paraId="29AEC080" w14:textId="77777777" w:rsidR="002D290F" w:rsidRPr="00436AB6" w:rsidRDefault="002D290F" w:rsidP="002D290F">
            <w:pPr>
              <w:pStyle w:val="NICCYBodyTest"/>
              <w:rPr>
                <w:sz w:val="22"/>
                <w:szCs w:val="22"/>
              </w:rPr>
            </w:pPr>
            <w:r w:rsidRPr="00436AB6">
              <w:rPr>
                <w:sz w:val="22"/>
                <w:szCs w:val="22"/>
              </w:rPr>
              <w:t>31-Mar-17</w:t>
            </w:r>
          </w:p>
        </w:tc>
        <w:tc>
          <w:tcPr>
            <w:tcW w:w="2422" w:type="dxa"/>
            <w:noWrap/>
            <w:hideMark/>
          </w:tcPr>
          <w:p w14:paraId="301BC019" w14:textId="77777777" w:rsidR="002D290F" w:rsidRPr="00436AB6" w:rsidRDefault="002D290F" w:rsidP="002D290F">
            <w:pPr>
              <w:pStyle w:val="NICCYBodyTest"/>
              <w:rPr>
                <w:sz w:val="22"/>
                <w:szCs w:val="22"/>
              </w:rPr>
            </w:pPr>
            <w:r w:rsidRPr="00436AB6">
              <w:rPr>
                <w:sz w:val="22"/>
                <w:szCs w:val="22"/>
              </w:rPr>
              <w:t>746</w:t>
            </w:r>
          </w:p>
        </w:tc>
        <w:tc>
          <w:tcPr>
            <w:tcW w:w="2730" w:type="dxa"/>
            <w:noWrap/>
            <w:hideMark/>
          </w:tcPr>
          <w:p w14:paraId="33A55181" w14:textId="77777777" w:rsidR="002D290F" w:rsidRPr="00436AB6" w:rsidRDefault="002D290F" w:rsidP="002D290F">
            <w:pPr>
              <w:pStyle w:val="NICCYBodyTest"/>
              <w:rPr>
                <w:sz w:val="22"/>
                <w:szCs w:val="22"/>
              </w:rPr>
            </w:pPr>
            <w:r w:rsidRPr="00436AB6">
              <w:rPr>
                <w:sz w:val="22"/>
                <w:szCs w:val="22"/>
              </w:rPr>
              <w:t>77</w:t>
            </w:r>
          </w:p>
        </w:tc>
        <w:tc>
          <w:tcPr>
            <w:tcW w:w="2541" w:type="dxa"/>
            <w:noWrap/>
            <w:hideMark/>
          </w:tcPr>
          <w:p w14:paraId="68349435" w14:textId="77777777" w:rsidR="002D290F" w:rsidRPr="00436AB6" w:rsidRDefault="002D290F" w:rsidP="002D290F">
            <w:pPr>
              <w:pStyle w:val="NICCYBodyTest"/>
              <w:rPr>
                <w:sz w:val="22"/>
                <w:szCs w:val="22"/>
              </w:rPr>
            </w:pPr>
            <w:r w:rsidRPr="00436AB6">
              <w:rPr>
                <w:sz w:val="22"/>
                <w:szCs w:val="22"/>
              </w:rPr>
              <w:t>10%</w:t>
            </w:r>
          </w:p>
        </w:tc>
      </w:tr>
      <w:tr w:rsidR="002D290F" w:rsidRPr="00436AB6" w14:paraId="57E44D53" w14:textId="77777777" w:rsidTr="00436AB6">
        <w:trPr>
          <w:trHeight w:val="296"/>
        </w:trPr>
        <w:tc>
          <w:tcPr>
            <w:tcW w:w="1931" w:type="dxa"/>
            <w:noWrap/>
            <w:hideMark/>
          </w:tcPr>
          <w:p w14:paraId="19E15423" w14:textId="77777777" w:rsidR="002D290F" w:rsidRPr="00436AB6" w:rsidRDefault="002D290F" w:rsidP="002D290F">
            <w:pPr>
              <w:pStyle w:val="NICCYBodyTest"/>
              <w:rPr>
                <w:sz w:val="22"/>
                <w:szCs w:val="22"/>
              </w:rPr>
            </w:pPr>
            <w:r w:rsidRPr="00436AB6">
              <w:rPr>
                <w:sz w:val="22"/>
                <w:szCs w:val="22"/>
              </w:rPr>
              <w:t>31-Mar-18</w:t>
            </w:r>
          </w:p>
        </w:tc>
        <w:tc>
          <w:tcPr>
            <w:tcW w:w="2422" w:type="dxa"/>
            <w:noWrap/>
            <w:hideMark/>
          </w:tcPr>
          <w:p w14:paraId="746591D6" w14:textId="77777777" w:rsidR="002D290F" w:rsidRPr="00436AB6" w:rsidRDefault="002D290F" w:rsidP="002D290F">
            <w:pPr>
              <w:pStyle w:val="NICCYBodyTest"/>
              <w:rPr>
                <w:sz w:val="22"/>
                <w:szCs w:val="22"/>
              </w:rPr>
            </w:pPr>
            <w:r w:rsidRPr="00436AB6">
              <w:rPr>
                <w:sz w:val="22"/>
                <w:szCs w:val="22"/>
              </w:rPr>
              <w:t>608</w:t>
            </w:r>
          </w:p>
        </w:tc>
        <w:tc>
          <w:tcPr>
            <w:tcW w:w="2730" w:type="dxa"/>
            <w:noWrap/>
            <w:hideMark/>
          </w:tcPr>
          <w:p w14:paraId="7798B7C0" w14:textId="77777777" w:rsidR="002D290F" w:rsidRPr="00436AB6" w:rsidRDefault="002D290F" w:rsidP="002D290F">
            <w:pPr>
              <w:pStyle w:val="NICCYBodyTest"/>
              <w:rPr>
                <w:sz w:val="22"/>
                <w:szCs w:val="22"/>
              </w:rPr>
            </w:pPr>
            <w:r w:rsidRPr="00436AB6">
              <w:rPr>
                <w:sz w:val="22"/>
                <w:szCs w:val="22"/>
              </w:rPr>
              <w:t>46</w:t>
            </w:r>
          </w:p>
        </w:tc>
        <w:tc>
          <w:tcPr>
            <w:tcW w:w="2541" w:type="dxa"/>
            <w:noWrap/>
            <w:hideMark/>
          </w:tcPr>
          <w:p w14:paraId="38CE2814" w14:textId="3C3DF9C9" w:rsidR="002D290F" w:rsidRPr="00436AB6" w:rsidRDefault="00930B09" w:rsidP="002D290F">
            <w:pPr>
              <w:pStyle w:val="NICCYBodyTest"/>
              <w:rPr>
                <w:sz w:val="22"/>
                <w:szCs w:val="22"/>
              </w:rPr>
            </w:pPr>
            <w:r>
              <w:rPr>
                <w:sz w:val="22"/>
                <w:szCs w:val="22"/>
              </w:rPr>
              <w:t>7.</w:t>
            </w:r>
            <w:r w:rsidR="002D290F" w:rsidRPr="00436AB6">
              <w:rPr>
                <w:sz w:val="22"/>
                <w:szCs w:val="22"/>
              </w:rPr>
              <w:t>6%</w:t>
            </w:r>
          </w:p>
        </w:tc>
      </w:tr>
      <w:tr w:rsidR="002D290F" w:rsidRPr="00436AB6" w14:paraId="13451998" w14:textId="77777777" w:rsidTr="00436AB6">
        <w:trPr>
          <w:trHeight w:val="296"/>
        </w:trPr>
        <w:tc>
          <w:tcPr>
            <w:tcW w:w="1931" w:type="dxa"/>
            <w:noWrap/>
            <w:hideMark/>
          </w:tcPr>
          <w:p w14:paraId="6C773C9F" w14:textId="77777777" w:rsidR="002D290F" w:rsidRPr="00436AB6" w:rsidRDefault="002D290F" w:rsidP="002D290F">
            <w:pPr>
              <w:pStyle w:val="NICCYBodyTest"/>
              <w:rPr>
                <w:sz w:val="22"/>
                <w:szCs w:val="22"/>
              </w:rPr>
            </w:pPr>
            <w:r w:rsidRPr="00436AB6">
              <w:rPr>
                <w:sz w:val="22"/>
                <w:szCs w:val="22"/>
              </w:rPr>
              <w:t>31-Mar-19</w:t>
            </w:r>
          </w:p>
        </w:tc>
        <w:tc>
          <w:tcPr>
            <w:tcW w:w="2422" w:type="dxa"/>
            <w:noWrap/>
            <w:hideMark/>
          </w:tcPr>
          <w:p w14:paraId="355D86F0" w14:textId="77777777" w:rsidR="002D290F" w:rsidRPr="00436AB6" w:rsidRDefault="002D290F" w:rsidP="002D290F">
            <w:pPr>
              <w:pStyle w:val="NICCYBodyTest"/>
              <w:rPr>
                <w:sz w:val="22"/>
                <w:szCs w:val="22"/>
              </w:rPr>
            </w:pPr>
            <w:r w:rsidRPr="00436AB6">
              <w:rPr>
                <w:sz w:val="22"/>
                <w:szCs w:val="22"/>
              </w:rPr>
              <w:t>967</w:t>
            </w:r>
          </w:p>
        </w:tc>
        <w:tc>
          <w:tcPr>
            <w:tcW w:w="2730" w:type="dxa"/>
            <w:noWrap/>
            <w:hideMark/>
          </w:tcPr>
          <w:p w14:paraId="600E83AC" w14:textId="77777777" w:rsidR="002D290F" w:rsidRPr="00436AB6" w:rsidRDefault="002D290F" w:rsidP="002D290F">
            <w:pPr>
              <w:pStyle w:val="NICCYBodyTest"/>
              <w:rPr>
                <w:sz w:val="22"/>
                <w:szCs w:val="22"/>
              </w:rPr>
            </w:pPr>
            <w:r w:rsidRPr="00436AB6">
              <w:rPr>
                <w:sz w:val="22"/>
                <w:szCs w:val="22"/>
              </w:rPr>
              <w:t>179</w:t>
            </w:r>
          </w:p>
        </w:tc>
        <w:tc>
          <w:tcPr>
            <w:tcW w:w="2541" w:type="dxa"/>
            <w:noWrap/>
            <w:hideMark/>
          </w:tcPr>
          <w:p w14:paraId="27DE3933" w14:textId="161C4FFA" w:rsidR="002D290F" w:rsidRPr="00436AB6" w:rsidRDefault="00930B09" w:rsidP="00930B09">
            <w:pPr>
              <w:pStyle w:val="NICCYBodyTest"/>
              <w:rPr>
                <w:sz w:val="22"/>
                <w:szCs w:val="22"/>
              </w:rPr>
            </w:pPr>
            <w:r>
              <w:rPr>
                <w:sz w:val="22"/>
                <w:szCs w:val="22"/>
              </w:rPr>
              <w:t>18.5</w:t>
            </w:r>
            <w:r w:rsidR="002D290F" w:rsidRPr="00436AB6">
              <w:rPr>
                <w:sz w:val="22"/>
                <w:szCs w:val="22"/>
              </w:rPr>
              <w:t>%</w:t>
            </w:r>
          </w:p>
        </w:tc>
      </w:tr>
      <w:tr w:rsidR="002D290F" w:rsidRPr="00436AB6" w14:paraId="049FA337" w14:textId="77777777" w:rsidTr="00436AB6">
        <w:trPr>
          <w:trHeight w:val="296"/>
        </w:trPr>
        <w:tc>
          <w:tcPr>
            <w:tcW w:w="1931" w:type="dxa"/>
            <w:noWrap/>
            <w:hideMark/>
          </w:tcPr>
          <w:p w14:paraId="5CF39B4F" w14:textId="77777777" w:rsidR="002D290F" w:rsidRPr="00436AB6" w:rsidRDefault="002D290F" w:rsidP="002D290F">
            <w:pPr>
              <w:pStyle w:val="NICCYBodyTest"/>
              <w:rPr>
                <w:sz w:val="22"/>
                <w:szCs w:val="22"/>
              </w:rPr>
            </w:pPr>
            <w:r w:rsidRPr="00436AB6">
              <w:rPr>
                <w:sz w:val="22"/>
                <w:szCs w:val="22"/>
              </w:rPr>
              <w:t>31-Mar-20</w:t>
            </w:r>
          </w:p>
        </w:tc>
        <w:tc>
          <w:tcPr>
            <w:tcW w:w="2422" w:type="dxa"/>
            <w:noWrap/>
            <w:hideMark/>
          </w:tcPr>
          <w:p w14:paraId="0899FD4B" w14:textId="77777777" w:rsidR="002D290F" w:rsidRPr="00436AB6" w:rsidRDefault="002D290F" w:rsidP="002D290F">
            <w:pPr>
              <w:pStyle w:val="NICCYBodyTest"/>
              <w:rPr>
                <w:sz w:val="22"/>
                <w:szCs w:val="22"/>
              </w:rPr>
            </w:pPr>
            <w:r w:rsidRPr="00436AB6">
              <w:rPr>
                <w:sz w:val="22"/>
                <w:szCs w:val="22"/>
              </w:rPr>
              <w:t>1205</w:t>
            </w:r>
          </w:p>
        </w:tc>
        <w:tc>
          <w:tcPr>
            <w:tcW w:w="2730" w:type="dxa"/>
            <w:noWrap/>
            <w:hideMark/>
          </w:tcPr>
          <w:p w14:paraId="1696E6B0" w14:textId="77777777" w:rsidR="002D290F" w:rsidRPr="00436AB6" w:rsidRDefault="002D290F" w:rsidP="002D290F">
            <w:pPr>
              <w:pStyle w:val="NICCYBodyTest"/>
              <w:rPr>
                <w:sz w:val="22"/>
                <w:szCs w:val="22"/>
              </w:rPr>
            </w:pPr>
            <w:r w:rsidRPr="00436AB6">
              <w:rPr>
                <w:sz w:val="22"/>
                <w:szCs w:val="22"/>
              </w:rPr>
              <w:t>552</w:t>
            </w:r>
          </w:p>
        </w:tc>
        <w:tc>
          <w:tcPr>
            <w:tcW w:w="2541" w:type="dxa"/>
            <w:noWrap/>
            <w:hideMark/>
          </w:tcPr>
          <w:p w14:paraId="361CA982" w14:textId="77777777" w:rsidR="002D290F" w:rsidRPr="00436AB6" w:rsidRDefault="002D290F" w:rsidP="002D290F">
            <w:pPr>
              <w:pStyle w:val="NICCYBodyTest"/>
              <w:rPr>
                <w:sz w:val="22"/>
                <w:szCs w:val="22"/>
              </w:rPr>
            </w:pPr>
            <w:r w:rsidRPr="00436AB6">
              <w:rPr>
                <w:sz w:val="22"/>
                <w:szCs w:val="22"/>
              </w:rPr>
              <w:t>46%</w:t>
            </w:r>
          </w:p>
        </w:tc>
      </w:tr>
    </w:tbl>
    <w:p w14:paraId="29670892" w14:textId="5E12D7C3" w:rsidR="007119E1" w:rsidRDefault="007119E1" w:rsidP="007119E1">
      <w:pPr>
        <w:pStyle w:val="NICCYBodyTest"/>
      </w:pPr>
    </w:p>
    <w:p w14:paraId="70C09816" w14:textId="77777777" w:rsidR="007119E1" w:rsidRDefault="005263FF" w:rsidP="00E93689">
      <w:pPr>
        <w:pStyle w:val="NICCYBodyTest"/>
      </w:pPr>
      <w:r w:rsidRPr="005263FF">
        <w:fldChar w:fldCharType="begin"/>
      </w:r>
      <w:r w:rsidRPr="005263FF">
        <w:instrText xml:space="preserve"> REF _Ref58424175 \h </w:instrText>
      </w:r>
      <w:r>
        <w:instrText xml:space="preserve"> \* MERGEFORMAT </w:instrText>
      </w:r>
      <w:r w:rsidRPr="005263FF">
        <w:fldChar w:fldCharType="separate"/>
      </w:r>
      <w:r w:rsidRPr="005263FF">
        <w:t xml:space="preserve">Figure </w:t>
      </w:r>
      <w:r w:rsidRPr="005263FF">
        <w:rPr>
          <w:noProof/>
        </w:rPr>
        <w:t>7</w:t>
      </w:r>
      <w:r w:rsidRPr="005263FF">
        <w:fldChar w:fldCharType="end"/>
      </w:r>
      <w:r w:rsidRPr="005263FF">
        <w:t xml:space="preserve"> </w:t>
      </w:r>
      <w:r w:rsidR="007119E1">
        <w:t>shows the waiting times for children and young people to access any CAMHS</w:t>
      </w:r>
      <w:r w:rsidR="006B3743">
        <w:t xml:space="preserve"> </w:t>
      </w:r>
      <w:r w:rsidR="006B3743">
        <w:lastRenderedPageBreak/>
        <w:t>service in NI at 31</w:t>
      </w:r>
      <w:r w:rsidR="006B3743" w:rsidRPr="006B3743">
        <w:rPr>
          <w:vertAlign w:val="superscript"/>
        </w:rPr>
        <w:t>st</w:t>
      </w:r>
      <w:r w:rsidR="006B3743">
        <w:t xml:space="preserve"> March for the years 2017-2020</w:t>
      </w:r>
      <w:r w:rsidR="007119E1">
        <w:t>.</w:t>
      </w:r>
      <w:r w:rsidR="006B2228">
        <w:t xml:space="preserve"> </w:t>
      </w:r>
      <w:r w:rsidR="006B3743">
        <w:t>Between March 2017 and March 2020</w:t>
      </w:r>
      <w:r w:rsidR="00E93689">
        <w:t>, the number of young people waiting for any C</w:t>
      </w:r>
      <w:r w:rsidR="006B3743">
        <w:t>AMHS service increased from 1056</w:t>
      </w:r>
      <w:r w:rsidR="00E93689">
        <w:t xml:space="preserve"> to </w:t>
      </w:r>
      <w:r w:rsidR="006B3743">
        <w:t xml:space="preserve">1829. This </w:t>
      </w:r>
      <w:r w:rsidR="006B3743" w:rsidRPr="00741575">
        <w:t>equates to a 73</w:t>
      </w:r>
      <w:r w:rsidR="00E93689" w:rsidRPr="00741575">
        <w:t xml:space="preserve">% increase in young people waiting for a service </w:t>
      </w:r>
      <w:r w:rsidR="006B3743" w:rsidRPr="00741575">
        <w:t>across the</w:t>
      </w:r>
      <w:r w:rsidR="00E93689" w:rsidRPr="00741575">
        <w:t xml:space="preserve"> period. In the same period, there was also an inc</w:t>
      </w:r>
      <w:r w:rsidR="006B3743" w:rsidRPr="00741575">
        <w:t>rease of 722</w:t>
      </w:r>
      <w:r w:rsidR="00E93689" w:rsidRPr="00741575">
        <w:t xml:space="preserve">% in the number of young people waiting more than 9 weeks to access </w:t>
      </w:r>
      <w:r w:rsidR="006B2228" w:rsidRPr="00741575">
        <w:t xml:space="preserve">any </w:t>
      </w:r>
      <w:r w:rsidR="00E93689" w:rsidRPr="00741575">
        <w:t>CAMHS</w:t>
      </w:r>
      <w:r w:rsidR="006B2228" w:rsidRPr="00741575">
        <w:t xml:space="preserve"> service</w:t>
      </w:r>
      <w:r w:rsidR="006B3743" w:rsidRPr="00741575">
        <w:t xml:space="preserve"> (from 86 to 70</w:t>
      </w:r>
      <w:r w:rsidR="00E93689" w:rsidRPr="00741575">
        <w:t>7).</w:t>
      </w:r>
    </w:p>
    <w:p w14:paraId="27977609" w14:textId="71F76AFF" w:rsidR="006B4DB9" w:rsidRDefault="006B4DB9" w:rsidP="008010C3">
      <w:pPr>
        <w:pStyle w:val="NICCYBodyTest"/>
        <w:rPr>
          <w:sz w:val="22"/>
          <w:szCs w:val="22"/>
        </w:rPr>
      </w:pPr>
    </w:p>
    <w:p w14:paraId="3BD09CE4" w14:textId="1DEF1BE8" w:rsidR="00EB7761" w:rsidRDefault="00EB7761" w:rsidP="008010C3">
      <w:pPr>
        <w:pStyle w:val="NICCYBodyTest"/>
        <w:rPr>
          <w:sz w:val="22"/>
          <w:szCs w:val="22"/>
        </w:rPr>
      </w:pPr>
    </w:p>
    <w:p w14:paraId="790E5CC8" w14:textId="56F270C9" w:rsidR="00EB7761" w:rsidRDefault="00EB7761" w:rsidP="008010C3">
      <w:pPr>
        <w:pStyle w:val="NICCYBodyTest"/>
        <w:rPr>
          <w:sz w:val="22"/>
          <w:szCs w:val="22"/>
        </w:rPr>
      </w:pPr>
    </w:p>
    <w:p w14:paraId="2DDDBCDE" w14:textId="2F958B45" w:rsidR="00EB7761" w:rsidRDefault="00EB7761" w:rsidP="008010C3">
      <w:pPr>
        <w:pStyle w:val="NICCYBodyTest"/>
        <w:rPr>
          <w:sz w:val="22"/>
          <w:szCs w:val="22"/>
        </w:rPr>
      </w:pPr>
    </w:p>
    <w:p w14:paraId="170C9F93" w14:textId="598BD7FD" w:rsidR="00EB7761" w:rsidRDefault="00EB7761" w:rsidP="008010C3">
      <w:pPr>
        <w:pStyle w:val="NICCYBodyTest"/>
        <w:rPr>
          <w:sz w:val="22"/>
          <w:szCs w:val="22"/>
        </w:rPr>
      </w:pPr>
    </w:p>
    <w:p w14:paraId="64E9D801" w14:textId="2AABD8AA" w:rsidR="00EB7761" w:rsidRDefault="00EB7761" w:rsidP="008010C3">
      <w:pPr>
        <w:pStyle w:val="NICCYBodyTest"/>
        <w:rPr>
          <w:sz w:val="22"/>
          <w:szCs w:val="22"/>
        </w:rPr>
      </w:pPr>
    </w:p>
    <w:p w14:paraId="1DA3B56C" w14:textId="18FE5ABB" w:rsidR="00EB7761" w:rsidRDefault="00EB7761" w:rsidP="008010C3">
      <w:pPr>
        <w:pStyle w:val="NICCYBodyTest"/>
        <w:rPr>
          <w:sz w:val="22"/>
          <w:szCs w:val="22"/>
        </w:rPr>
      </w:pPr>
    </w:p>
    <w:p w14:paraId="70EB8A34" w14:textId="030C1344" w:rsidR="00EB7761" w:rsidRDefault="00EB7761" w:rsidP="008010C3">
      <w:pPr>
        <w:pStyle w:val="NICCYBodyTest"/>
        <w:rPr>
          <w:sz w:val="22"/>
          <w:szCs w:val="22"/>
        </w:rPr>
      </w:pPr>
    </w:p>
    <w:p w14:paraId="014BCF3B" w14:textId="19E67C4A" w:rsidR="00EB7761" w:rsidRDefault="00EB7761" w:rsidP="008010C3">
      <w:pPr>
        <w:pStyle w:val="NICCYBodyTest"/>
        <w:rPr>
          <w:sz w:val="22"/>
          <w:szCs w:val="22"/>
        </w:rPr>
      </w:pPr>
    </w:p>
    <w:p w14:paraId="3A3ACF9E" w14:textId="59548372" w:rsidR="00EB7761" w:rsidRDefault="00EB7761" w:rsidP="008010C3">
      <w:pPr>
        <w:pStyle w:val="NICCYBodyTest"/>
        <w:rPr>
          <w:sz w:val="22"/>
          <w:szCs w:val="22"/>
        </w:rPr>
      </w:pPr>
    </w:p>
    <w:p w14:paraId="1A4384C2" w14:textId="042EBD48" w:rsidR="00EB7761" w:rsidRDefault="00EB7761" w:rsidP="008010C3">
      <w:pPr>
        <w:pStyle w:val="NICCYBodyTest"/>
        <w:rPr>
          <w:sz w:val="22"/>
          <w:szCs w:val="22"/>
        </w:rPr>
      </w:pPr>
    </w:p>
    <w:p w14:paraId="1020175A" w14:textId="77777777" w:rsidR="00EB7761" w:rsidRDefault="00EB7761" w:rsidP="008010C3">
      <w:pPr>
        <w:pStyle w:val="NICCYBodyTest"/>
        <w:rPr>
          <w:sz w:val="22"/>
          <w:szCs w:val="22"/>
        </w:rPr>
      </w:pPr>
    </w:p>
    <w:p w14:paraId="7897FC6D" w14:textId="77777777" w:rsidR="008803A1" w:rsidRPr="004C2663" w:rsidRDefault="004C2663" w:rsidP="004C2663">
      <w:pPr>
        <w:pStyle w:val="NICCYBodyText"/>
        <w:rPr>
          <w:sz w:val="20"/>
          <w:szCs w:val="20"/>
        </w:rPr>
      </w:pPr>
      <w:bookmarkStart w:id="22" w:name="_Ref58424175"/>
      <w:r w:rsidRPr="004C2663">
        <w:rPr>
          <w:sz w:val="20"/>
          <w:szCs w:val="20"/>
        </w:rPr>
        <w:t xml:space="preserve">Figure </w:t>
      </w:r>
      <w:r w:rsidRPr="004C2663">
        <w:rPr>
          <w:sz w:val="20"/>
          <w:szCs w:val="20"/>
        </w:rPr>
        <w:fldChar w:fldCharType="begin"/>
      </w:r>
      <w:r w:rsidRPr="004C2663">
        <w:rPr>
          <w:sz w:val="20"/>
          <w:szCs w:val="20"/>
        </w:rPr>
        <w:instrText xml:space="preserve"> SEQ Figure \* ARABIC </w:instrText>
      </w:r>
      <w:r w:rsidRPr="004C2663">
        <w:rPr>
          <w:sz w:val="20"/>
          <w:szCs w:val="20"/>
        </w:rPr>
        <w:fldChar w:fldCharType="separate"/>
      </w:r>
      <w:r w:rsidR="0076451B">
        <w:rPr>
          <w:noProof/>
          <w:sz w:val="20"/>
          <w:szCs w:val="20"/>
        </w:rPr>
        <w:t>7</w:t>
      </w:r>
      <w:r w:rsidRPr="004C2663">
        <w:rPr>
          <w:sz w:val="20"/>
          <w:szCs w:val="20"/>
        </w:rPr>
        <w:fldChar w:fldCharType="end"/>
      </w:r>
      <w:bookmarkEnd w:id="22"/>
      <w:r w:rsidRPr="004C2663">
        <w:rPr>
          <w:sz w:val="20"/>
          <w:szCs w:val="20"/>
        </w:rPr>
        <w:t>: Total CAMHS Waiting List at Year End Position across all Trusts and All Services</w:t>
      </w:r>
    </w:p>
    <w:p w14:paraId="6E53B3DA" w14:textId="2C08244B" w:rsidR="00FD1B99" w:rsidRDefault="00B4395D" w:rsidP="009636CD">
      <w:pPr>
        <w:pStyle w:val="NICCYBodyTest"/>
      </w:pPr>
      <w:r>
        <w:rPr>
          <w:noProof/>
          <w:lang w:eastAsia="en-GB"/>
        </w:rPr>
        <w:drawing>
          <wp:inline distT="0" distB="0" distL="0" distR="0" wp14:anchorId="1DD62C64" wp14:editId="13755E61">
            <wp:extent cx="6057900" cy="303847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B89459" w14:textId="77777777" w:rsidR="00FD1B99" w:rsidRDefault="00FD1B99" w:rsidP="007119E1">
      <w:pPr>
        <w:pStyle w:val="NICCYBodyTest"/>
      </w:pPr>
    </w:p>
    <w:p w14:paraId="5A56B900" w14:textId="5FC0463E" w:rsidR="004C2663" w:rsidRDefault="007119E1" w:rsidP="007119E1">
      <w:pPr>
        <w:pStyle w:val="NICCYBodyTest"/>
      </w:pPr>
      <w:r>
        <w:t xml:space="preserve">Statistics also show that across all CAMHS services, the majority of the waiting time, including breaches of the 9 week waiting time target, is for Step 2 and </w:t>
      </w:r>
      <w:r w:rsidR="00F335C3">
        <w:t xml:space="preserve">Step </w:t>
      </w:r>
      <w:r>
        <w:t xml:space="preserve">3 </w:t>
      </w:r>
      <w:r w:rsidR="00F335C3">
        <w:t xml:space="preserve">(core) </w:t>
      </w:r>
      <w:r>
        <w:t xml:space="preserve">services. A </w:t>
      </w:r>
      <w:r w:rsidR="0001552B">
        <w:t>very</w:t>
      </w:r>
      <w:r>
        <w:t xml:space="preserve"> small number of young people</w:t>
      </w:r>
      <w:r w:rsidR="00682838">
        <w:t>,</w:t>
      </w:r>
      <w:r>
        <w:t xml:space="preserve"> </w:t>
      </w:r>
      <w:r w:rsidR="00682838">
        <w:t xml:space="preserve">if any at all, </w:t>
      </w:r>
      <w:r w:rsidR="00631B5D">
        <w:t xml:space="preserve">waited to access </w:t>
      </w:r>
      <w:r>
        <w:t xml:space="preserve">Eating </w:t>
      </w:r>
      <w:r>
        <w:lastRenderedPageBreak/>
        <w:t xml:space="preserve">Disorder </w:t>
      </w:r>
      <w:r w:rsidR="006B2228">
        <w:t xml:space="preserve">Services, </w:t>
      </w:r>
      <w:r w:rsidR="0025713D">
        <w:t>DAMHS</w:t>
      </w:r>
      <w:r w:rsidR="006B2228">
        <w:t xml:space="preserve"> or</w:t>
      </w:r>
      <w:r>
        <w:t xml:space="preserve"> Family Trauma Centre</w:t>
      </w:r>
      <w:r w:rsidR="006B2228">
        <w:t>,</w:t>
      </w:r>
      <w:r>
        <w:t xml:space="preserve"> </w:t>
      </w:r>
      <w:r w:rsidR="00682838">
        <w:t>Crisis Service or</w:t>
      </w:r>
      <w:r>
        <w:t xml:space="preserve"> Knowing Our Identity</w:t>
      </w:r>
      <w:r w:rsidR="00631B5D">
        <w:t xml:space="preserve"> service</w:t>
      </w:r>
      <w:r>
        <w:t xml:space="preserve"> (KOI). </w:t>
      </w:r>
      <w:r w:rsidR="005263FF" w:rsidRPr="005263FF">
        <w:fldChar w:fldCharType="begin"/>
      </w:r>
      <w:r w:rsidR="005263FF" w:rsidRPr="005263FF">
        <w:instrText xml:space="preserve"> REF _Ref58424210 \h </w:instrText>
      </w:r>
      <w:r w:rsidR="005263FF">
        <w:instrText xml:space="preserve"> \* MERGEFORMAT </w:instrText>
      </w:r>
      <w:r w:rsidR="005263FF" w:rsidRPr="005263FF">
        <w:fldChar w:fldCharType="separate"/>
      </w:r>
      <w:r w:rsidR="005263FF" w:rsidRPr="005263FF">
        <w:t xml:space="preserve">Table </w:t>
      </w:r>
      <w:r w:rsidR="005263FF" w:rsidRPr="005263FF">
        <w:rPr>
          <w:noProof/>
        </w:rPr>
        <w:t>8</w:t>
      </w:r>
      <w:r w:rsidR="005263FF" w:rsidRPr="005263FF">
        <w:fldChar w:fldCharType="end"/>
      </w:r>
      <w:r w:rsidR="006B4DB9" w:rsidRPr="005263FF">
        <w:t xml:space="preserve"> </w:t>
      </w:r>
      <w:r w:rsidR="006B4DB9">
        <w:t>has been provided as an illustration of this, however other years show a similar pattern.</w:t>
      </w:r>
    </w:p>
    <w:p w14:paraId="53E22613" w14:textId="2939AC1E" w:rsidR="00880968" w:rsidRDefault="00880968" w:rsidP="007119E1">
      <w:pPr>
        <w:pStyle w:val="NICCYBodyTest"/>
      </w:pPr>
    </w:p>
    <w:p w14:paraId="124E484B" w14:textId="77777777" w:rsidR="004C2663" w:rsidRPr="009B0EA3" w:rsidRDefault="009B0EA3" w:rsidP="009B0EA3">
      <w:pPr>
        <w:pStyle w:val="NICCYBodyText"/>
        <w:rPr>
          <w:sz w:val="20"/>
          <w:szCs w:val="20"/>
        </w:rPr>
      </w:pPr>
      <w:bookmarkStart w:id="23" w:name="_Ref58424210"/>
      <w:r w:rsidRPr="009B0EA3">
        <w:rPr>
          <w:sz w:val="20"/>
          <w:szCs w:val="20"/>
        </w:rPr>
        <w:t xml:space="preserve">Table </w:t>
      </w:r>
      <w:r w:rsidRPr="009B0EA3">
        <w:rPr>
          <w:sz w:val="20"/>
          <w:szCs w:val="20"/>
        </w:rPr>
        <w:fldChar w:fldCharType="begin"/>
      </w:r>
      <w:r w:rsidRPr="009B0EA3">
        <w:rPr>
          <w:sz w:val="20"/>
          <w:szCs w:val="20"/>
        </w:rPr>
        <w:instrText xml:space="preserve"> SEQ Table \* ARABIC </w:instrText>
      </w:r>
      <w:r w:rsidRPr="009B0EA3">
        <w:rPr>
          <w:sz w:val="20"/>
          <w:szCs w:val="20"/>
        </w:rPr>
        <w:fldChar w:fldCharType="separate"/>
      </w:r>
      <w:r w:rsidR="00652AC5">
        <w:rPr>
          <w:noProof/>
          <w:sz w:val="20"/>
          <w:szCs w:val="20"/>
        </w:rPr>
        <w:t>8</w:t>
      </w:r>
      <w:r w:rsidRPr="009B0EA3">
        <w:rPr>
          <w:sz w:val="20"/>
          <w:szCs w:val="20"/>
        </w:rPr>
        <w:fldChar w:fldCharType="end"/>
      </w:r>
      <w:bookmarkEnd w:id="23"/>
      <w:r w:rsidRPr="009B0EA3">
        <w:rPr>
          <w:sz w:val="20"/>
          <w:szCs w:val="20"/>
        </w:rPr>
        <w:t>: Waiting times by service area and Trust at March 2019</w:t>
      </w:r>
    </w:p>
    <w:p w14:paraId="6038271B" w14:textId="68FE46CF" w:rsidR="00F335C3" w:rsidRDefault="00880968" w:rsidP="007119E1">
      <w:pPr>
        <w:pStyle w:val="NICCYBodyTest"/>
      </w:pPr>
      <w:r w:rsidRPr="00880968">
        <w:rPr>
          <w:noProof/>
          <w:lang w:eastAsia="en-GB"/>
        </w:rPr>
        <w:drawing>
          <wp:inline distT="0" distB="0" distL="0" distR="0" wp14:anchorId="74877C13" wp14:editId="02CF3002">
            <wp:extent cx="6116320" cy="1513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1513252"/>
                    </a:xfrm>
                    <a:prstGeom prst="rect">
                      <a:avLst/>
                    </a:prstGeom>
                    <a:noFill/>
                    <a:ln>
                      <a:noFill/>
                    </a:ln>
                  </pic:spPr>
                </pic:pic>
              </a:graphicData>
            </a:graphic>
          </wp:inline>
        </w:drawing>
      </w:r>
    </w:p>
    <w:p w14:paraId="65412A0C" w14:textId="133B2439" w:rsidR="004C2663" w:rsidRDefault="004C2663" w:rsidP="002D4F48">
      <w:pPr>
        <w:pStyle w:val="NICCYBodyTest"/>
        <w:rPr>
          <w:sz w:val="20"/>
          <w:szCs w:val="20"/>
        </w:rPr>
      </w:pPr>
      <w:r w:rsidRPr="004C2663">
        <w:rPr>
          <w:sz w:val="20"/>
          <w:szCs w:val="20"/>
        </w:rPr>
        <w:t xml:space="preserve">*Figures less than 10 are </w:t>
      </w:r>
      <w:r w:rsidR="009B0EA3">
        <w:rPr>
          <w:sz w:val="20"/>
          <w:szCs w:val="20"/>
        </w:rPr>
        <w:t>not disaggregated to maintain anonymity.</w:t>
      </w:r>
    </w:p>
    <w:p w14:paraId="565DDB0B" w14:textId="77777777" w:rsidR="00EB7761" w:rsidRPr="00C26BC9" w:rsidRDefault="00EB7761" w:rsidP="00EB7761">
      <w:pPr>
        <w:pStyle w:val="NICCYBodyText"/>
        <w:rPr>
          <w:sz w:val="20"/>
          <w:szCs w:val="20"/>
        </w:rPr>
      </w:pPr>
      <w:r w:rsidRPr="00C26BC9">
        <w:rPr>
          <w:sz w:val="20"/>
          <w:szCs w:val="20"/>
        </w:rPr>
        <w:t>NB: Please note individual values may not sum to column/ row totals due to suppression in line with disclosure protocol.</w:t>
      </w:r>
    </w:p>
    <w:p w14:paraId="5EE94ECF" w14:textId="77777777" w:rsidR="00EB7761" w:rsidRDefault="00EB7761" w:rsidP="002D4F48">
      <w:pPr>
        <w:pStyle w:val="NICCYBodyTest"/>
        <w:rPr>
          <w:sz w:val="20"/>
          <w:szCs w:val="20"/>
        </w:rPr>
      </w:pPr>
    </w:p>
    <w:p w14:paraId="0FF6F623" w14:textId="77777777" w:rsidR="009B0EA3" w:rsidRPr="004C2663" w:rsidRDefault="009B0EA3" w:rsidP="002D4F48">
      <w:pPr>
        <w:pStyle w:val="NICCYBodyTest"/>
        <w:rPr>
          <w:sz w:val="20"/>
          <w:szCs w:val="20"/>
        </w:rPr>
      </w:pPr>
    </w:p>
    <w:p w14:paraId="21714A7B" w14:textId="696C4643" w:rsidR="00FD1B99" w:rsidRPr="009636CD" w:rsidRDefault="005A2D94" w:rsidP="009636CD">
      <w:pPr>
        <w:pStyle w:val="NICCYBodyTest"/>
      </w:pPr>
      <w:r w:rsidRPr="005A2D94">
        <w:t xml:space="preserve">As </w:t>
      </w:r>
      <w:r w:rsidRPr="005A2D94">
        <w:fldChar w:fldCharType="begin"/>
      </w:r>
      <w:r w:rsidRPr="005A2D94">
        <w:instrText xml:space="preserve"> REF _Ref58424254 \h </w:instrText>
      </w:r>
      <w:r>
        <w:instrText xml:space="preserve"> \* MERGEFORMAT </w:instrText>
      </w:r>
      <w:r w:rsidRPr="005A2D94">
        <w:fldChar w:fldCharType="separate"/>
      </w:r>
      <w:r w:rsidRPr="005A2D94">
        <w:t xml:space="preserve">Figure </w:t>
      </w:r>
      <w:r w:rsidRPr="005A2D94">
        <w:rPr>
          <w:noProof/>
        </w:rPr>
        <w:t>8</w:t>
      </w:r>
      <w:r w:rsidRPr="005A2D94">
        <w:fldChar w:fldCharType="end"/>
      </w:r>
      <w:r w:rsidR="005033EB" w:rsidRPr="005A2D94">
        <w:t xml:space="preserve"> </w:t>
      </w:r>
      <w:r w:rsidRPr="005A2D94">
        <w:t xml:space="preserve">and </w:t>
      </w:r>
      <w:r w:rsidRPr="005A2D94">
        <w:fldChar w:fldCharType="begin"/>
      </w:r>
      <w:r w:rsidRPr="005A2D94">
        <w:instrText xml:space="preserve"> REF _Ref58424267 \h </w:instrText>
      </w:r>
      <w:r>
        <w:instrText xml:space="preserve"> \* MERGEFORMAT </w:instrText>
      </w:r>
      <w:r w:rsidRPr="005A2D94">
        <w:fldChar w:fldCharType="separate"/>
      </w:r>
      <w:r w:rsidRPr="005A2D94">
        <w:t xml:space="preserve">Figure </w:t>
      </w:r>
      <w:r w:rsidRPr="005A2D94">
        <w:rPr>
          <w:noProof/>
        </w:rPr>
        <w:t>9</w:t>
      </w:r>
      <w:r w:rsidRPr="005A2D94">
        <w:fldChar w:fldCharType="end"/>
      </w:r>
      <w:r w:rsidR="00CE3999" w:rsidRPr="005A2D94">
        <w:t xml:space="preserve"> </w:t>
      </w:r>
      <w:r w:rsidR="00631B5D" w:rsidRPr="005A2D94">
        <w:t>show</w:t>
      </w:r>
      <w:r w:rsidR="005033EB" w:rsidRPr="005A2D94">
        <w:t xml:space="preserve"> </w:t>
      </w:r>
      <w:r w:rsidR="002D4F48" w:rsidRPr="005A2D94">
        <w:t>each</w:t>
      </w:r>
      <w:r w:rsidR="002D4F48">
        <w:t xml:space="preserve"> HSCT has a very different situation when it comes to the </w:t>
      </w:r>
      <w:r w:rsidR="00CE3999">
        <w:t xml:space="preserve">overall </w:t>
      </w:r>
      <w:r w:rsidR="002D4F48">
        <w:t>numbers of young people waiting to access CAMHS</w:t>
      </w:r>
      <w:r w:rsidR="00631B5D">
        <w:t>,</w:t>
      </w:r>
      <w:r w:rsidR="007119E1">
        <w:t xml:space="preserve"> </w:t>
      </w:r>
      <w:r w:rsidR="002D4F48">
        <w:t xml:space="preserve">and the time series data </w:t>
      </w:r>
      <w:r w:rsidR="00CE3999">
        <w:t xml:space="preserve">also </w:t>
      </w:r>
      <w:r w:rsidR="002D4F48">
        <w:t xml:space="preserve">show that </w:t>
      </w:r>
      <w:r w:rsidR="00CE3999">
        <w:t>waiting lists have</w:t>
      </w:r>
      <w:r w:rsidR="002D4F48">
        <w:t xml:space="preserve"> </w:t>
      </w:r>
      <w:r w:rsidR="005033EB">
        <w:t>fluctuate</w:t>
      </w:r>
      <w:r w:rsidR="002D4F48">
        <w:t>d quite considerably within HSCTs</w:t>
      </w:r>
      <w:r w:rsidR="007119E1">
        <w:t xml:space="preserve"> from year to year. </w:t>
      </w:r>
      <w:bookmarkStart w:id="24" w:name="_Ref58424254"/>
    </w:p>
    <w:p w14:paraId="42B0BC17" w14:textId="77777777" w:rsidR="00FD1B99" w:rsidRDefault="00FD1B99" w:rsidP="009B0EA3">
      <w:pPr>
        <w:pStyle w:val="NICCYBodyText"/>
        <w:rPr>
          <w:sz w:val="20"/>
          <w:szCs w:val="20"/>
        </w:rPr>
      </w:pPr>
    </w:p>
    <w:p w14:paraId="36E2E250" w14:textId="0617F70D" w:rsidR="009B0EA3" w:rsidRDefault="009B0EA3" w:rsidP="009B0EA3">
      <w:pPr>
        <w:pStyle w:val="NICCYBodyText"/>
        <w:rPr>
          <w:sz w:val="20"/>
          <w:szCs w:val="20"/>
        </w:rPr>
      </w:pPr>
      <w:r w:rsidRPr="009B0EA3">
        <w:rPr>
          <w:sz w:val="20"/>
          <w:szCs w:val="20"/>
        </w:rPr>
        <w:t xml:space="preserve">Figure </w:t>
      </w:r>
      <w:r w:rsidRPr="009B0EA3">
        <w:rPr>
          <w:sz w:val="20"/>
          <w:szCs w:val="20"/>
        </w:rPr>
        <w:fldChar w:fldCharType="begin"/>
      </w:r>
      <w:r w:rsidRPr="009B0EA3">
        <w:rPr>
          <w:sz w:val="20"/>
          <w:szCs w:val="20"/>
        </w:rPr>
        <w:instrText xml:space="preserve"> SEQ Figure \* ARABIC </w:instrText>
      </w:r>
      <w:r w:rsidRPr="009B0EA3">
        <w:rPr>
          <w:sz w:val="20"/>
          <w:szCs w:val="20"/>
        </w:rPr>
        <w:fldChar w:fldCharType="separate"/>
      </w:r>
      <w:r w:rsidR="0076451B">
        <w:rPr>
          <w:noProof/>
          <w:sz w:val="20"/>
          <w:szCs w:val="20"/>
        </w:rPr>
        <w:t>8</w:t>
      </w:r>
      <w:r w:rsidRPr="009B0EA3">
        <w:rPr>
          <w:sz w:val="20"/>
          <w:szCs w:val="20"/>
        </w:rPr>
        <w:fldChar w:fldCharType="end"/>
      </w:r>
      <w:bookmarkEnd w:id="24"/>
      <w:r w:rsidRPr="009B0EA3">
        <w:rPr>
          <w:sz w:val="20"/>
          <w:szCs w:val="20"/>
        </w:rPr>
        <w:t>: Step 3 / Core CAMHS: Waiting Times by HSCT 2014-2020</w:t>
      </w:r>
    </w:p>
    <w:p w14:paraId="3910DFF8" w14:textId="77777777" w:rsidR="00AF5786" w:rsidRDefault="005033EB" w:rsidP="007119E1">
      <w:pPr>
        <w:pStyle w:val="NICCYBodyTest"/>
      </w:pPr>
      <w:r>
        <w:rPr>
          <w:noProof/>
          <w:lang w:eastAsia="en-GB"/>
        </w:rPr>
        <w:drawing>
          <wp:inline distT="0" distB="0" distL="0" distR="0" wp14:anchorId="70E68D05" wp14:editId="57BCDD85">
            <wp:extent cx="6116320" cy="2811780"/>
            <wp:effectExtent l="0" t="0" r="1778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E79BE6" w14:textId="24DFDAAA" w:rsidR="009B0EA3" w:rsidRDefault="009B0EA3" w:rsidP="009B0EA3">
      <w:pPr>
        <w:pStyle w:val="NICCYBodyText"/>
        <w:rPr>
          <w:sz w:val="20"/>
          <w:szCs w:val="20"/>
        </w:rPr>
      </w:pPr>
    </w:p>
    <w:p w14:paraId="7C5EAF3D" w14:textId="77777777" w:rsidR="00DC56A6" w:rsidRPr="009B0EA3" w:rsidRDefault="00DC56A6" w:rsidP="009B0EA3">
      <w:pPr>
        <w:pStyle w:val="NICCYBodyText"/>
        <w:rPr>
          <w:sz w:val="20"/>
          <w:szCs w:val="20"/>
        </w:rPr>
      </w:pPr>
    </w:p>
    <w:p w14:paraId="715490BB" w14:textId="77777777" w:rsidR="00631B5D" w:rsidRPr="009B0EA3" w:rsidRDefault="009B0EA3" w:rsidP="009B0EA3">
      <w:pPr>
        <w:pStyle w:val="NICCYBodyText"/>
        <w:rPr>
          <w:sz w:val="20"/>
          <w:szCs w:val="20"/>
        </w:rPr>
      </w:pPr>
      <w:bookmarkStart w:id="25" w:name="_Ref58424267"/>
      <w:r w:rsidRPr="009B0EA3">
        <w:rPr>
          <w:sz w:val="20"/>
          <w:szCs w:val="20"/>
        </w:rPr>
        <w:t xml:space="preserve">Figure </w:t>
      </w:r>
      <w:r w:rsidRPr="009B0EA3">
        <w:rPr>
          <w:sz w:val="20"/>
          <w:szCs w:val="20"/>
        </w:rPr>
        <w:fldChar w:fldCharType="begin"/>
      </w:r>
      <w:r w:rsidRPr="009B0EA3">
        <w:rPr>
          <w:sz w:val="20"/>
          <w:szCs w:val="20"/>
        </w:rPr>
        <w:instrText xml:space="preserve"> SEQ Figure \* ARABIC </w:instrText>
      </w:r>
      <w:r w:rsidRPr="009B0EA3">
        <w:rPr>
          <w:sz w:val="20"/>
          <w:szCs w:val="20"/>
        </w:rPr>
        <w:fldChar w:fldCharType="separate"/>
      </w:r>
      <w:r w:rsidR="0076451B">
        <w:rPr>
          <w:noProof/>
          <w:sz w:val="20"/>
          <w:szCs w:val="20"/>
        </w:rPr>
        <w:t>9</w:t>
      </w:r>
      <w:r w:rsidRPr="009B0EA3">
        <w:rPr>
          <w:sz w:val="20"/>
          <w:szCs w:val="20"/>
        </w:rPr>
        <w:fldChar w:fldCharType="end"/>
      </w:r>
      <w:bookmarkEnd w:id="25"/>
      <w:r w:rsidRPr="009B0EA3">
        <w:rPr>
          <w:sz w:val="20"/>
          <w:szCs w:val="20"/>
        </w:rPr>
        <w:t>: Global CAMHS: Waiting Times by HSCT 2017-2020</w:t>
      </w:r>
    </w:p>
    <w:p w14:paraId="54414F64" w14:textId="77777777" w:rsidR="007119E1" w:rsidRDefault="00CE3999" w:rsidP="006B7BFD">
      <w:pPr>
        <w:pStyle w:val="NICCYBodyTest"/>
        <w:rPr>
          <w:b/>
        </w:rPr>
      </w:pPr>
      <w:r>
        <w:rPr>
          <w:noProof/>
          <w:lang w:eastAsia="en-GB"/>
        </w:rPr>
        <w:drawing>
          <wp:inline distT="0" distB="0" distL="0" distR="0" wp14:anchorId="038B15F4" wp14:editId="09D5F4EE">
            <wp:extent cx="6372808" cy="2612390"/>
            <wp:effectExtent l="0" t="0" r="9525"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8F9A19" w14:textId="77777777" w:rsidR="00015451" w:rsidRDefault="00015451" w:rsidP="006B7BFD">
      <w:pPr>
        <w:pStyle w:val="NICCYBodyTest"/>
        <w:rPr>
          <w:b/>
        </w:rPr>
      </w:pPr>
    </w:p>
    <w:p w14:paraId="6817AB10" w14:textId="77777777" w:rsidR="00CE3999" w:rsidRDefault="00CE3999" w:rsidP="00CE3999">
      <w:pPr>
        <w:pStyle w:val="NICCYBodyTest"/>
      </w:pPr>
      <w:r>
        <w:t>A common explanation from HSCTs regarding spikes in waiting times are 'unplanned staff absences' and 'vacancies' alongside and increasing demand (HSCB Board Meeting Performance</w:t>
      </w:r>
      <w:r w:rsidRPr="007119E1">
        <w:t xml:space="preserve"> </w:t>
      </w:r>
      <w:r>
        <w:t xml:space="preserve">Report- April 2019, p16). </w:t>
      </w:r>
    </w:p>
    <w:p w14:paraId="6F0A79EC" w14:textId="77777777" w:rsidR="00015451" w:rsidRDefault="00015451" w:rsidP="006B7BFD">
      <w:pPr>
        <w:pStyle w:val="NICCYBodyTest"/>
        <w:rPr>
          <w:b/>
        </w:rPr>
      </w:pPr>
    </w:p>
    <w:p w14:paraId="7FF44F43" w14:textId="77777777" w:rsidR="006B2228" w:rsidRDefault="006B2228" w:rsidP="006B7BFD">
      <w:pPr>
        <w:pStyle w:val="NICCYBodyTest"/>
      </w:pPr>
    </w:p>
    <w:p w14:paraId="5A91B958" w14:textId="5F2127A0" w:rsidR="006B2228" w:rsidRDefault="004276BD" w:rsidP="006B2228">
      <w:pPr>
        <w:pStyle w:val="NICCYSubtitle"/>
      </w:pPr>
      <w:bookmarkStart w:id="26" w:name="Length_Waiting"/>
      <w:r>
        <w:t xml:space="preserve">7.1 </w:t>
      </w:r>
      <w:r w:rsidR="006B2228">
        <w:t>Length</w:t>
      </w:r>
      <w:bookmarkEnd w:id="26"/>
      <w:r w:rsidR="006B2228">
        <w:t xml:space="preserve"> of Time Waiting for CAMHS </w:t>
      </w:r>
    </w:p>
    <w:p w14:paraId="2380567D" w14:textId="77777777" w:rsidR="006B2228" w:rsidRDefault="006B2228" w:rsidP="006B7BFD">
      <w:pPr>
        <w:pStyle w:val="NICCYBodyTest"/>
      </w:pPr>
    </w:p>
    <w:p w14:paraId="0D82B402" w14:textId="5734E7C9" w:rsidR="008F229F" w:rsidRDefault="00BB58FE" w:rsidP="006B7BFD">
      <w:pPr>
        <w:pStyle w:val="NICCYBodyTest"/>
      </w:pPr>
      <w:r>
        <w:t>The 9 week waiting time target has been a ministerial target for many years and is included as part of the year</w:t>
      </w:r>
      <w:r w:rsidR="007A0835">
        <w:t>ly Commis</w:t>
      </w:r>
      <w:r w:rsidR="0030595B">
        <w:t xml:space="preserve">sioning </w:t>
      </w:r>
      <w:r w:rsidR="0030595B" w:rsidRPr="0030595B">
        <w:t xml:space="preserve">Plan Directive. </w:t>
      </w:r>
      <w:r w:rsidR="0030595B" w:rsidRPr="0030595B">
        <w:fldChar w:fldCharType="begin"/>
      </w:r>
      <w:r w:rsidR="0030595B" w:rsidRPr="0030595B">
        <w:instrText xml:space="preserve"> REF _Ref58424144 \h </w:instrText>
      </w:r>
      <w:r w:rsidR="0030595B">
        <w:instrText xml:space="preserve"> \* MERGEFORMAT </w:instrText>
      </w:r>
      <w:r w:rsidR="0030595B" w:rsidRPr="0030595B">
        <w:fldChar w:fldCharType="separate"/>
      </w:r>
      <w:r w:rsidR="0030595B" w:rsidRPr="0030595B">
        <w:t xml:space="preserve">Table </w:t>
      </w:r>
      <w:r w:rsidR="0030595B" w:rsidRPr="0030595B">
        <w:rPr>
          <w:noProof/>
        </w:rPr>
        <w:t>7</w:t>
      </w:r>
      <w:r w:rsidR="0030595B" w:rsidRPr="0030595B">
        <w:fldChar w:fldCharType="end"/>
      </w:r>
      <w:r w:rsidR="0030595B" w:rsidRPr="0030595B">
        <w:t xml:space="preserve"> and </w:t>
      </w:r>
      <w:r w:rsidR="0030595B" w:rsidRPr="0030595B">
        <w:fldChar w:fldCharType="begin"/>
      </w:r>
      <w:r w:rsidR="0030595B" w:rsidRPr="0030595B">
        <w:instrText xml:space="preserve"> REF _Ref58427117 \h </w:instrText>
      </w:r>
      <w:r w:rsidR="0030595B">
        <w:instrText xml:space="preserve"> \* MERGEFORMAT </w:instrText>
      </w:r>
      <w:r w:rsidR="0030595B" w:rsidRPr="0030595B">
        <w:fldChar w:fldCharType="separate"/>
      </w:r>
      <w:r w:rsidR="0030595B" w:rsidRPr="0030595B">
        <w:t xml:space="preserve">Figure </w:t>
      </w:r>
      <w:r w:rsidR="0030595B" w:rsidRPr="0030595B">
        <w:rPr>
          <w:noProof/>
        </w:rPr>
        <w:t>10</w:t>
      </w:r>
      <w:r w:rsidR="0030595B" w:rsidRPr="0030595B">
        <w:fldChar w:fldCharType="end"/>
      </w:r>
      <w:r w:rsidR="007A0835" w:rsidRPr="0030595B">
        <w:t xml:space="preserve"> showed</w:t>
      </w:r>
      <w:r w:rsidR="007A0835">
        <w:t xml:space="preserve"> the proportion of young people waiting more than 9 weeks for CAMHS services. However, we know that some young people can wait far more than 9 weeks to receive a first appointment and o</w:t>
      </w:r>
      <w:r>
        <w:t xml:space="preserve">fficial figures show </w:t>
      </w:r>
      <w:r w:rsidR="007A0835">
        <w:t>this</w:t>
      </w:r>
      <w:r w:rsidR="00453A09" w:rsidRPr="0030595B">
        <w:t xml:space="preserve">. </w:t>
      </w:r>
      <w:r w:rsidR="0030595B" w:rsidRPr="0030595B">
        <w:fldChar w:fldCharType="begin"/>
      </w:r>
      <w:r w:rsidR="0030595B" w:rsidRPr="0030595B">
        <w:instrText xml:space="preserve"> REF _Ref58427117 \h  \* MERGEFORMAT </w:instrText>
      </w:r>
      <w:r w:rsidR="0030595B" w:rsidRPr="0030595B">
        <w:fldChar w:fldCharType="separate"/>
      </w:r>
      <w:r w:rsidR="0030595B" w:rsidRPr="0030595B">
        <w:t xml:space="preserve">Figure </w:t>
      </w:r>
      <w:r w:rsidR="0030595B" w:rsidRPr="0030595B">
        <w:rPr>
          <w:noProof/>
        </w:rPr>
        <w:t>10</w:t>
      </w:r>
      <w:r w:rsidR="0030595B" w:rsidRPr="0030595B">
        <w:fldChar w:fldCharType="end"/>
      </w:r>
      <w:r w:rsidR="0030595B">
        <w:t xml:space="preserve"> </w:t>
      </w:r>
      <w:r w:rsidR="00453A09">
        <w:t xml:space="preserve">provides a detailed breakdown of the length of time young people </w:t>
      </w:r>
      <w:r w:rsidR="00D27F60">
        <w:t xml:space="preserve">were </w:t>
      </w:r>
      <w:r w:rsidR="00453A09">
        <w:t>wait</w:t>
      </w:r>
      <w:r w:rsidR="00D27F60">
        <w:t>ing</w:t>
      </w:r>
      <w:r w:rsidR="00453A09">
        <w:t xml:space="preserve"> for a first appointment between</w:t>
      </w:r>
      <w:r w:rsidR="0001552B">
        <w:t xml:space="preserve"> 2017-2020</w:t>
      </w:r>
      <w:r>
        <w:t xml:space="preserve"> </w:t>
      </w:r>
      <w:r w:rsidR="00453A09">
        <w:t xml:space="preserve">and shows that waiting times are getting longer, with some </w:t>
      </w:r>
      <w:r w:rsidR="00562245">
        <w:t xml:space="preserve">young people </w:t>
      </w:r>
      <w:r w:rsidR="00453A09">
        <w:t>waiting</w:t>
      </w:r>
      <w:r>
        <w:t xml:space="preserve"> </w:t>
      </w:r>
      <w:r w:rsidR="00453A09">
        <w:t>over</w:t>
      </w:r>
      <w:r>
        <w:t xml:space="preserve"> 39 </w:t>
      </w:r>
      <w:r w:rsidR="00453A09">
        <w:t xml:space="preserve">+ </w:t>
      </w:r>
      <w:r>
        <w:t>weeks</w:t>
      </w:r>
      <w:r w:rsidR="00453A09">
        <w:t xml:space="preserve"> for a first appointment</w:t>
      </w:r>
      <w:r>
        <w:t>.</w:t>
      </w:r>
      <w:r w:rsidR="00DB1128">
        <w:t xml:space="preserve"> </w:t>
      </w:r>
      <w:r w:rsidR="00590443">
        <w:t>Furthermore, t</w:t>
      </w:r>
      <w:r w:rsidR="00BC1A64">
        <w:t>he full extent of the number of young people waiting to access support is not fully known because official figures only relate to those who are recorded by the system. As NICCY</w:t>
      </w:r>
      <w:r w:rsidR="0084720D">
        <w:t>’</w:t>
      </w:r>
      <w:r w:rsidR="00BC1A64">
        <w:t xml:space="preserve">s Still Waiting Review found, many young people struggle to get referred in the first place (p243-249). </w:t>
      </w:r>
    </w:p>
    <w:p w14:paraId="0722B515" w14:textId="6E70EEDC" w:rsidR="009B0EA3" w:rsidRDefault="009B0EA3" w:rsidP="00470BAD">
      <w:pPr>
        <w:pStyle w:val="NICCYBodyTest"/>
        <w:rPr>
          <w:sz w:val="22"/>
          <w:szCs w:val="22"/>
        </w:rPr>
      </w:pPr>
    </w:p>
    <w:p w14:paraId="7D8852FF" w14:textId="77777777" w:rsidR="00837F32" w:rsidRDefault="00837F32" w:rsidP="00470BAD">
      <w:pPr>
        <w:pStyle w:val="NICCYBodyTest"/>
        <w:rPr>
          <w:sz w:val="22"/>
          <w:szCs w:val="22"/>
        </w:rPr>
      </w:pPr>
    </w:p>
    <w:p w14:paraId="59898B45" w14:textId="56FCA9A4" w:rsidR="009B0EA3" w:rsidRPr="009B0EA3" w:rsidRDefault="009B0EA3" w:rsidP="009B0EA3">
      <w:pPr>
        <w:pStyle w:val="NICCYBodyText"/>
        <w:rPr>
          <w:sz w:val="20"/>
          <w:szCs w:val="20"/>
        </w:rPr>
      </w:pPr>
      <w:bookmarkStart w:id="27" w:name="_Ref58427117"/>
      <w:r w:rsidRPr="009B0EA3">
        <w:rPr>
          <w:sz w:val="20"/>
          <w:szCs w:val="20"/>
        </w:rPr>
        <w:lastRenderedPageBreak/>
        <w:t xml:space="preserve">Figure </w:t>
      </w:r>
      <w:r w:rsidRPr="009B0EA3">
        <w:rPr>
          <w:sz w:val="20"/>
          <w:szCs w:val="20"/>
        </w:rPr>
        <w:fldChar w:fldCharType="begin"/>
      </w:r>
      <w:r w:rsidRPr="009B0EA3">
        <w:rPr>
          <w:sz w:val="20"/>
          <w:szCs w:val="20"/>
        </w:rPr>
        <w:instrText xml:space="preserve"> SEQ Figure \* ARABIC </w:instrText>
      </w:r>
      <w:r w:rsidRPr="009B0EA3">
        <w:rPr>
          <w:sz w:val="20"/>
          <w:szCs w:val="20"/>
        </w:rPr>
        <w:fldChar w:fldCharType="separate"/>
      </w:r>
      <w:r w:rsidR="0076451B">
        <w:rPr>
          <w:noProof/>
          <w:sz w:val="20"/>
          <w:szCs w:val="20"/>
        </w:rPr>
        <w:t>10</w:t>
      </w:r>
      <w:r w:rsidRPr="009B0EA3">
        <w:rPr>
          <w:sz w:val="20"/>
          <w:szCs w:val="20"/>
        </w:rPr>
        <w:fldChar w:fldCharType="end"/>
      </w:r>
      <w:bookmarkEnd w:id="27"/>
      <w:r w:rsidRPr="009B0EA3">
        <w:rPr>
          <w:sz w:val="20"/>
          <w:szCs w:val="20"/>
        </w:rPr>
        <w:t xml:space="preserve">: </w:t>
      </w:r>
      <w:r w:rsidR="00D27F60">
        <w:rPr>
          <w:sz w:val="20"/>
          <w:szCs w:val="20"/>
        </w:rPr>
        <w:t xml:space="preserve">Global </w:t>
      </w:r>
      <w:r w:rsidRPr="009B0EA3">
        <w:rPr>
          <w:sz w:val="20"/>
          <w:szCs w:val="20"/>
        </w:rPr>
        <w:t>CAMHS Waiting List (Greater than 9 wks) 2017-2020</w:t>
      </w:r>
    </w:p>
    <w:p w14:paraId="0CB0A917" w14:textId="77777777" w:rsidR="004F5D7C" w:rsidRDefault="0001552B" w:rsidP="00470BAD">
      <w:pPr>
        <w:pStyle w:val="NICCYBodyTest"/>
      </w:pPr>
      <w:r>
        <w:rPr>
          <w:noProof/>
          <w:lang w:eastAsia="en-GB"/>
        </w:rPr>
        <w:drawing>
          <wp:inline distT="0" distB="0" distL="0" distR="0" wp14:anchorId="70220648" wp14:editId="6457DE5B">
            <wp:extent cx="6116320" cy="3147060"/>
            <wp:effectExtent l="0" t="0" r="17780"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0AF627" w14:textId="77777777" w:rsidR="000D655D" w:rsidRDefault="000D655D" w:rsidP="004F5D7C">
      <w:pPr>
        <w:pStyle w:val="NICCYSubline"/>
      </w:pPr>
    </w:p>
    <w:p w14:paraId="517D4DFB" w14:textId="2DFB741B" w:rsidR="004F5D7C" w:rsidRDefault="004276BD" w:rsidP="004F5D7C">
      <w:pPr>
        <w:pStyle w:val="NICCYSubline"/>
      </w:pPr>
      <w:r>
        <w:t xml:space="preserve">8.0 </w:t>
      </w:r>
      <w:r w:rsidR="004F5D7C">
        <w:t>Anti</w:t>
      </w:r>
      <w:r w:rsidR="0027568B">
        <w:t>-</w:t>
      </w:r>
      <w:r w:rsidR="004F5D7C">
        <w:t xml:space="preserve">depressant </w:t>
      </w:r>
      <w:bookmarkStart w:id="28" w:name="Prescriptions"/>
      <w:r w:rsidR="004F5D7C">
        <w:t xml:space="preserve">Prescriptions </w:t>
      </w:r>
      <w:bookmarkEnd w:id="28"/>
      <w:r w:rsidR="004F5D7C">
        <w:t xml:space="preserve">for under 18’s </w:t>
      </w:r>
    </w:p>
    <w:p w14:paraId="4F2568D4" w14:textId="77777777" w:rsidR="004F5D7C" w:rsidRDefault="004F5D7C" w:rsidP="004F5D7C">
      <w:pPr>
        <w:pStyle w:val="NICCYSubline"/>
      </w:pPr>
    </w:p>
    <w:p w14:paraId="69337444" w14:textId="3F44CF98" w:rsidR="004A3462" w:rsidRDefault="0030595B" w:rsidP="004F5D7C">
      <w:pPr>
        <w:pStyle w:val="NICCYBodyTest"/>
      </w:pPr>
      <w:r w:rsidRPr="0030595B">
        <w:fldChar w:fldCharType="begin"/>
      </w:r>
      <w:r w:rsidRPr="0030595B">
        <w:instrText xml:space="preserve"> REF _Ref58427205 \h </w:instrText>
      </w:r>
      <w:r>
        <w:instrText xml:space="preserve"> \* MERGEFORMAT </w:instrText>
      </w:r>
      <w:r w:rsidRPr="0030595B">
        <w:fldChar w:fldCharType="separate"/>
      </w:r>
      <w:r w:rsidRPr="0030595B">
        <w:t xml:space="preserve">Table </w:t>
      </w:r>
      <w:r w:rsidRPr="0030595B">
        <w:rPr>
          <w:noProof/>
        </w:rPr>
        <w:t>9</w:t>
      </w:r>
      <w:r w:rsidRPr="0030595B">
        <w:fldChar w:fldCharType="end"/>
      </w:r>
      <w:r w:rsidRPr="0030595B">
        <w:t xml:space="preserve"> </w:t>
      </w:r>
      <w:r w:rsidR="004F5D7C" w:rsidRPr="0030595B">
        <w:t>pr</w:t>
      </w:r>
      <w:r w:rsidR="004F5D7C">
        <w:t>ovides an overview of the number of children prescribed anti</w:t>
      </w:r>
      <w:r w:rsidR="0027568B">
        <w:t>-</w:t>
      </w:r>
      <w:r w:rsidR="004F5D7C">
        <w:t>depressants between 2014 and 2019</w:t>
      </w:r>
      <w:r w:rsidR="00125670">
        <w:t>,</w:t>
      </w:r>
      <w:r w:rsidR="004F5D7C">
        <w:t xml:space="preserve"> and the number of prescriptions dispensed across the same period. </w:t>
      </w:r>
      <w:r w:rsidR="000D655D">
        <w:t xml:space="preserve">This data was requested from the Business Service Organisation (BSO). </w:t>
      </w:r>
      <w:r w:rsidR="004F5D7C">
        <w:t xml:space="preserve">Whilst recognising technical issues regarding how prescriptions are counted which may be affecting year to year figures, the figures show that a substantial number of young people </w:t>
      </w:r>
      <w:r w:rsidR="000B1AFA">
        <w:t>continue to be</w:t>
      </w:r>
      <w:r w:rsidR="004F5D7C">
        <w:t xml:space="preserve"> prescribed anti-depressants every year in Northern Ireland. </w:t>
      </w:r>
    </w:p>
    <w:p w14:paraId="76003A14" w14:textId="77777777" w:rsidR="00C54EED" w:rsidRDefault="00C54EED" w:rsidP="00C54EED">
      <w:pPr>
        <w:pStyle w:val="NICCYBodyTest"/>
      </w:pPr>
    </w:p>
    <w:p w14:paraId="01C10842" w14:textId="436A6E79" w:rsidR="004A3462" w:rsidRDefault="00C54EED" w:rsidP="00C54EED">
      <w:pPr>
        <w:pStyle w:val="NICCYBodyTest"/>
      </w:pPr>
      <w:r>
        <w:t xml:space="preserve">In Still Waiting, NICCY highlighted that between 2014-2017, children in Northern Ireland were being prescribed anti-depressant medication that was not recommended by </w:t>
      </w:r>
      <w:r w:rsidR="00DB33CF">
        <w:t>National Institute for Clinical Excellence (</w:t>
      </w:r>
      <w:r>
        <w:t>NICE</w:t>
      </w:r>
      <w:r w:rsidR="00DB33CF">
        <w:t>)</w:t>
      </w:r>
      <w:r>
        <w:t>, including drugs that had not been trialled with young people, and those that NICE recommends should not be used in the treatment of depression in children and young people (p258)</w:t>
      </w:r>
    </w:p>
    <w:p w14:paraId="65666A2C" w14:textId="77777777" w:rsidR="00631EC9" w:rsidRDefault="00631EC9" w:rsidP="004A3462">
      <w:pPr>
        <w:pStyle w:val="NICCYBodyTest"/>
      </w:pPr>
    </w:p>
    <w:p w14:paraId="2503FB8C" w14:textId="6B5BFE3F" w:rsidR="00C54EED" w:rsidRDefault="00C54EED" w:rsidP="004A3462">
      <w:pPr>
        <w:pStyle w:val="NICCYBodyTest"/>
      </w:pPr>
      <w:r>
        <w:t>Additional data on prescribing practice for the years</w:t>
      </w:r>
      <w:r w:rsidR="00631EC9">
        <w:t xml:space="preserve"> 2018 and 2019 show that</w:t>
      </w:r>
      <w:r w:rsidR="0027568B">
        <w:t xml:space="preserve"> the</w:t>
      </w:r>
      <w:r w:rsidR="00631EC9">
        <w:t xml:space="preserve"> </w:t>
      </w:r>
      <w:r>
        <w:t>number of young people being dispensed anti</w:t>
      </w:r>
      <w:r w:rsidR="000B1AFA">
        <w:t>-</w:t>
      </w:r>
      <w:r>
        <w:t xml:space="preserve">depressant medication continues to rise and that </w:t>
      </w:r>
    </w:p>
    <w:p w14:paraId="24D5E102" w14:textId="78A3C397" w:rsidR="00C54EED" w:rsidRDefault="00631EC9" w:rsidP="00C54EED">
      <w:pPr>
        <w:pStyle w:val="NICCYBodyTest"/>
      </w:pPr>
      <w:r>
        <w:t xml:space="preserve">in </w:t>
      </w:r>
      <w:r w:rsidR="00C54EED">
        <w:t>general,</w:t>
      </w:r>
      <w:r>
        <w:t xml:space="preserve"> the same range of drugs are listed as being prescribed to children</w:t>
      </w:r>
      <w:r w:rsidR="006B2E61">
        <w:t>, which includes those not recommended by NICE</w:t>
      </w:r>
      <w:r w:rsidR="00DB33CF">
        <w:t>, namely Paroxetine and Venlafaxine.</w:t>
      </w:r>
      <w:r>
        <w:t xml:space="preserve"> </w:t>
      </w:r>
      <w:r w:rsidR="00C54EED">
        <w:t xml:space="preserve">In 2019, </w:t>
      </w:r>
      <w:r w:rsidR="00C54EED">
        <w:lastRenderedPageBreak/>
        <w:t xml:space="preserve">17,006 prescriptions were dispensed to 3480 under 18’s in Northern Ireland, these are the highest figures for number of prescriptions, and numbers of young people affected, across the reporting period. </w:t>
      </w:r>
    </w:p>
    <w:p w14:paraId="3C25D794" w14:textId="77777777" w:rsidR="004F5D7C" w:rsidRDefault="004F5D7C" w:rsidP="004F5D7C">
      <w:pPr>
        <w:pStyle w:val="NICCYBodyTest"/>
      </w:pPr>
    </w:p>
    <w:p w14:paraId="12CC180B" w14:textId="77777777" w:rsidR="004F5D7C" w:rsidRPr="009B0EA3" w:rsidRDefault="009B0EA3" w:rsidP="009B0EA3">
      <w:pPr>
        <w:pStyle w:val="NICCYBodyText"/>
        <w:rPr>
          <w:sz w:val="20"/>
          <w:szCs w:val="20"/>
        </w:rPr>
      </w:pPr>
      <w:bookmarkStart w:id="29" w:name="_Ref58427205"/>
      <w:r w:rsidRPr="009B0EA3">
        <w:rPr>
          <w:sz w:val="20"/>
          <w:szCs w:val="20"/>
        </w:rPr>
        <w:t xml:space="preserve">Table </w:t>
      </w:r>
      <w:r w:rsidRPr="009B0EA3">
        <w:rPr>
          <w:sz w:val="20"/>
          <w:szCs w:val="20"/>
        </w:rPr>
        <w:fldChar w:fldCharType="begin"/>
      </w:r>
      <w:r w:rsidRPr="009B0EA3">
        <w:rPr>
          <w:sz w:val="20"/>
          <w:szCs w:val="20"/>
        </w:rPr>
        <w:instrText xml:space="preserve"> SEQ Table \* ARABIC </w:instrText>
      </w:r>
      <w:r w:rsidRPr="009B0EA3">
        <w:rPr>
          <w:sz w:val="20"/>
          <w:szCs w:val="20"/>
        </w:rPr>
        <w:fldChar w:fldCharType="separate"/>
      </w:r>
      <w:r w:rsidR="00652AC5">
        <w:rPr>
          <w:noProof/>
          <w:sz w:val="20"/>
          <w:szCs w:val="20"/>
        </w:rPr>
        <w:t>9</w:t>
      </w:r>
      <w:r w:rsidRPr="009B0EA3">
        <w:rPr>
          <w:sz w:val="20"/>
          <w:szCs w:val="20"/>
        </w:rPr>
        <w:fldChar w:fldCharType="end"/>
      </w:r>
      <w:bookmarkEnd w:id="29"/>
      <w:r w:rsidRPr="009B0EA3">
        <w:rPr>
          <w:sz w:val="20"/>
          <w:szCs w:val="20"/>
        </w:rPr>
        <w:t>: Anti-depressant prescribing data for under 18’s for period 2014-2019</w:t>
      </w:r>
    </w:p>
    <w:tbl>
      <w:tblPr>
        <w:tblW w:w="9088" w:type="dxa"/>
        <w:tblLook w:val="04A0" w:firstRow="1" w:lastRow="0" w:firstColumn="1" w:lastColumn="0" w:noHBand="0" w:noVBand="1"/>
      </w:tblPr>
      <w:tblGrid>
        <w:gridCol w:w="1176"/>
        <w:gridCol w:w="2033"/>
        <w:gridCol w:w="1935"/>
        <w:gridCol w:w="1862"/>
        <w:gridCol w:w="2082"/>
      </w:tblGrid>
      <w:tr w:rsidR="004F5D7C" w:rsidRPr="00741575" w14:paraId="11F9839B" w14:textId="77777777" w:rsidTr="00741575">
        <w:trPr>
          <w:trHeight w:val="1360"/>
        </w:trPr>
        <w:tc>
          <w:tcPr>
            <w:tcW w:w="1176" w:type="dxa"/>
            <w:tcBorders>
              <w:top w:val="single" w:sz="8" w:space="0" w:color="auto"/>
              <w:left w:val="nil"/>
              <w:bottom w:val="single" w:sz="8" w:space="0" w:color="auto"/>
              <w:right w:val="nil"/>
            </w:tcBorders>
            <w:shd w:val="clear" w:color="auto" w:fill="auto"/>
            <w:noWrap/>
            <w:vAlign w:val="bottom"/>
            <w:hideMark/>
          </w:tcPr>
          <w:p w14:paraId="3AC31837" w14:textId="77777777" w:rsidR="004F5D7C" w:rsidRPr="00741575" w:rsidRDefault="004F5D7C" w:rsidP="004A3F14">
            <w:pPr>
              <w:rPr>
                <w:rFonts w:ascii="Arial" w:hAnsi="Arial" w:cs="Arial"/>
                <w:color w:val="000000"/>
                <w:lang w:eastAsia="en-GB"/>
              </w:rPr>
            </w:pPr>
            <w:r w:rsidRPr="00741575">
              <w:rPr>
                <w:rFonts w:ascii="Arial" w:hAnsi="Arial" w:cs="Arial"/>
                <w:color w:val="000000"/>
                <w:lang w:eastAsia="en-GB"/>
              </w:rPr>
              <w:t> </w:t>
            </w:r>
          </w:p>
        </w:tc>
        <w:tc>
          <w:tcPr>
            <w:tcW w:w="2033" w:type="dxa"/>
            <w:tcBorders>
              <w:top w:val="single" w:sz="8" w:space="0" w:color="auto"/>
              <w:left w:val="nil"/>
              <w:bottom w:val="single" w:sz="8" w:space="0" w:color="auto"/>
              <w:right w:val="nil"/>
            </w:tcBorders>
            <w:shd w:val="clear" w:color="auto" w:fill="auto"/>
            <w:vAlign w:val="bottom"/>
            <w:hideMark/>
          </w:tcPr>
          <w:p w14:paraId="6984D4FD" w14:textId="77777777" w:rsidR="004F5D7C" w:rsidRPr="00741575" w:rsidRDefault="004F5D7C" w:rsidP="004A3F14">
            <w:pPr>
              <w:rPr>
                <w:rFonts w:ascii="Arial" w:hAnsi="Arial" w:cs="Arial"/>
                <w:b/>
                <w:bCs/>
                <w:color w:val="000000"/>
                <w:lang w:eastAsia="en-GB"/>
              </w:rPr>
            </w:pPr>
            <w:r w:rsidRPr="00741575">
              <w:rPr>
                <w:rFonts w:ascii="Arial" w:hAnsi="Arial" w:cs="Arial"/>
                <w:b/>
                <w:bCs/>
                <w:color w:val="000000"/>
                <w:lang w:eastAsia="en-GB"/>
              </w:rPr>
              <w:t>No. of prescriptions to under 18's</w:t>
            </w:r>
          </w:p>
        </w:tc>
        <w:tc>
          <w:tcPr>
            <w:tcW w:w="1935" w:type="dxa"/>
            <w:tcBorders>
              <w:top w:val="single" w:sz="8" w:space="0" w:color="auto"/>
              <w:left w:val="nil"/>
              <w:bottom w:val="single" w:sz="8" w:space="0" w:color="auto"/>
              <w:right w:val="nil"/>
            </w:tcBorders>
            <w:shd w:val="clear" w:color="auto" w:fill="auto"/>
            <w:vAlign w:val="bottom"/>
            <w:hideMark/>
          </w:tcPr>
          <w:p w14:paraId="27EBD40A" w14:textId="314897F8" w:rsidR="004F5D7C" w:rsidRPr="00741575" w:rsidRDefault="004F5D7C" w:rsidP="00020CD2">
            <w:pPr>
              <w:rPr>
                <w:rFonts w:ascii="Arial" w:hAnsi="Arial" w:cs="Arial"/>
                <w:b/>
                <w:bCs/>
                <w:color w:val="000000"/>
                <w:lang w:eastAsia="en-GB"/>
              </w:rPr>
            </w:pPr>
            <w:r w:rsidRPr="00741575">
              <w:rPr>
                <w:rFonts w:ascii="Arial" w:hAnsi="Arial" w:cs="Arial"/>
                <w:b/>
                <w:bCs/>
                <w:color w:val="000000"/>
                <w:lang w:eastAsia="en-GB"/>
              </w:rPr>
              <w:t>No. of under 18</w:t>
            </w:r>
            <w:r w:rsidR="00020CD2">
              <w:rPr>
                <w:rFonts w:ascii="Arial" w:hAnsi="Arial" w:cs="Arial"/>
                <w:b/>
                <w:bCs/>
                <w:color w:val="000000"/>
                <w:lang w:eastAsia="en-GB"/>
              </w:rPr>
              <w:t>’s</w:t>
            </w:r>
            <w:r w:rsidRPr="00741575">
              <w:rPr>
                <w:rFonts w:ascii="Arial" w:hAnsi="Arial" w:cs="Arial"/>
                <w:b/>
                <w:bCs/>
                <w:color w:val="000000"/>
                <w:lang w:eastAsia="en-GB"/>
              </w:rPr>
              <w:t xml:space="preserve"> in receipt of medication</w:t>
            </w:r>
          </w:p>
        </w:tc>
        <w:tc>
          <w:tcPr>
            <w:tcW w:w="1862" w:type="dxa"/>
            <w:tcBorders>
              <w:top w:val="single" w:sz="8" w:space="0" w:color="auto"/>
              <w:left w:val="nil"/>
              <w:bottom w:val="single" w:sz="8" w:space="0" w:color="auto"/>
              <w:right w:val="nil"/>
            </w:tcBorders>
            <w:shd w:val="clear" w:color="auto" w:fill="auto"/>
            <w:vAlign w:val="bottom"/>
            <w:hideMark/>
          </w:tcPr>
          <w:p w14:paraId="1D324D37" w14:textId="77777777" w:rsidR="004F5D7C" w:rsidRPr="00741575" w:rsidRDefault="004F5D7C" w:rsidP="004A3F14">
            <w:pPr>
              <w:rPr>
                <w:rFonts w:ascii="Arial" w:hAnsi="Arial" w:cs="Arial"/>
                <w:b/>
                <w:bCs/>
                <w:color w:val="000000"/>
                <w:lang w:eastAsia="en-GB"/>
              </w:rPr>
            </w:pPr>
            <w:r w:rsidRPr="00741575">
              <w:rPr>
                <w:rFonts w:ascii="Arial" w:hAnsi="Arial" w:cs="Arial"/>
                <w:b/>
                <w:bCs/>
                <w:color w:val="000000"/>
                <w:lang w:eastAsia="en-GB"/>
              </w:rPr>
              <w:t>No. of prescriptions to under 12's</w:t>
            </w:r>
          </w:p>
        </w:tc>
        <w:tc>
          <w:tcPr>
            <w:tcW w:w="2082" w:type="dxa"/>
            <w:tcBorders>
              <w:top w:val="single" w:sz="8" w:space="0" w:color="auto"/>
              <w:left w:val="nil"/>
              <w:bottom w:val="single" w:sz="8" w:space="0" w:color="auto"/>
              <w:right w:val="nil"/>
            </w:tcBorders>
            <w:shd w:val="clear" w:color="auto" w:fill="auto"/>
            <w:vAlign w:val="bottom"/>
            <w:hideMark/>
          </w:tcPr>
          <w:p w14:paraId="2DC8F8B2" w14:textId="083E9A17" w:rsidR="004F5D7C" w:rsidRPr="00741575" w:rsidRDefault="00020CD2" w:rsidP="00020CD2">
            <w:pPr>
              <w:rPr>
                <w:rFonts w:ascii="Arial" w:hAnsi="Arial" w:cs="Arial"/>
                <w:b/>
                <w:bCs/>
                <w:color w:val="000000"/>
                <w:lang w:eastAsia="en-GB"/>
              </w:rPr>
            </w:pPr>
            <w:r>
              <w:rPr>
                <w:rFonts w:ascii="Arial" w:hAnsi="Arial" w:cs="Arial"/>
                <w:b/>
                <w:bCs/>
                <w:color w:val="000000"/>
                <w:lang w:eastAsia="en-GB"/>
              </w:rPr>
              <w:t xml:space="preserve">No. of </w:t>
            </w:r>
            <w:r w:rsidR="004F5D7C" w:rsidRPr="00741575">
              <w:rPr>
                <w:rFonts w:ascii="Arial" w:hAnsi="Arial" w:cs="Arial"/>
                <w:b/>
                <w:bCs/>
                <w:color w:val="000000"/>
                <w:lang w:eastAsia="en-GB"/>
              </w:rPr>
              <w:t>under 12's in receipt of medication</w:t>
            </w:r>
          </w:p>
        </w:tc>
      </w:tr>
      <w:tr w:rsidR="004F5D7C" w:rsidRPr="00741575" w14:paraId="48E7DB65" w14:textId="77777777" w:rsidTr="00741575">
        <w:trPr>
          <w:trHeight w:val="335"/>
        </w:trPr>
        <w:tc>
          <w:tcPr>
            <w:tcW w:w="1176" w:type="dxa"/>
            <w:tcBorders>
              <w:top w:val="nil"/>
              <w:left w:val="nil"/>
              <w:bottom w:val="nil"/>
              <w:right w:val="nil"/>
            </w:tcBorders>
            <w:shd w:val="clear" w:color="auto" w:fill="auto"/>
            <w:noWrap/>
            <w:vAlign w:val="bottom"/>
            <w:hideMark/>
          </w:tcPr>
          <w:p w14:paraId="2C3A9AF7" w14:textId="77777777" w:rsidR="004F5D7C" w:rsidRPr="00741575" w:rsidRDefault="004F5D7C" w:rsidP="004A3F14">
            <w:pPr>
              <w:jc w:val="right"/>
              <w:rPr>
                <w:rFonts w:ascii="Arial" w:hAnsi="Arial" w:cs="Arial"/>
                <w:b/>
                <w:bCs/>
                <w:color w:val="000000"/>
                <w:lang w:eastAsia="en-GB"/>
              </w:rPr>
            </w:pPr>
            <w:r w:rsidRPr="00741575">
              <w:rPr>
                <w:rFonts w:ascii="Arial" w:hAnsi="Arial" w:cs="Arial"/>
                <w:b/>
                <w:bCs/>
                <w:color w:val="000000"/>
                <w:lang w:eastAsia="en-GB"/>
              </w:rPr>
              <w:t>2014</w:t>
            </w:r>
          </w:p>
        </w:tc>
        <w:tc>
          <w:tcPr>
            <w:tcW w:w="2033" w:type="dxa"/>
            <w:tcBorders>
              <w:top w:val="nil"/>
              <w:left w:val="nil"/>
              <w:bottom w:val="nil"/>
              <w:right w:val="nil"/>
            </w:tcBorders>
            <w:shd w:val="clear" w:color="auto" w:fill="auto"/>
            <w:noWrap/>
            <w:vAlign w:val="bottom"/>
            <w:hideMark/>
          </w:tcPr>
          <w:p w14:paraId="5F57BE69"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11,077</w:t>
            </w:r>
          </w:p>
        </w:tc>
        <w:tc>
          <w:tcPr>
            <w:tcW w:w="1935" w:type="dxa"/>
            <w:tcBorders>
              <w:top w:val="nil"/>
              <w:left w:val="nil"/>
              <w:bottom w:val="nil"/>
              <w:right w:val="nil"/>
            </w:tcBorders>
            <w:shd w:val="clear" w:color="auto" w:fill="auto"/>
            <w:noWrap/>
            <w:vAlign w:val="bottom"/>
            <w:hideMark/>
          </w:tcPr>
          <w:p w14:paraId="4430A354"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2504</w:t>
            </w:r>
          </w:p>
        </w:tc>
        <w:tc>
          <w:tcPr>
            <w:tcW w:w="1862" w:type="dxa"/>
            <w:tcBorders>
              <w:top w:val="nil"/>
              <w:left w:val="nil"/>
              <w:bottom w:val="nil"/>
              <w:right w:val="nil"/>
            </w:tcBorders>
            <w:shd w:val="clear" w:color="auto" w:fill="auto"/>
            <w:noWrap/>
            <w:vAlign w:val="bottom"/>
            <w:hideMark/>
          </w:tcPr>
          <w:p w14:paraId="18F6978C"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464</w:t>
            </w:r>
          </w:p>
        </w:tc>
        <w:tc>
          <w:tcPr>
            <w:tcW w:w="2082" w:type="dxa"/>
            <w:tcBorders>
              <w:top w:val="nil"/>
              <w:left w:val="nil"/>
              <w:bottom w:val="nil"/>
              <w:right w:val="nil"/>
            </w:tcBorders>
            <w:shd w:val="clear" w:color="auto" w:fill="auto"/>
            <w:noWrap/>
            <w:vAlign w:val="bottom"/>
            <w:hideMark/>
          </w:tcPr>
          <w:p w14:paraId="47209B05"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212</w:t>
            </w:r>
          </w:p>
        </w:tc>
      </w:tr>
      <w:tr w:rsidR="004F5D7C" w:rsidRPr="00741575" w14:paraId="1BE161C0" w14:textId="77777777" w:rsidTr="00741575">
        <w:trPr>
          <w:trHeight w:val="335"/>
        </w:trPr>
        <w:tc>
          <w:tcPr>
            <w:tcW w:w="1176" w:type="dxa"/>
            <w:tcBorders>
              <w:top w:val="nil"/>
              <w:left w:val="nil"/>
              <w:bottom w:val="nil"/>
              <w:right w:val="nil"/>
            </w:tcBorders>
            <w:shd w:val="clear" w:color="auto" w:fill="auto"/>
            <w:noWrap/>
            <w:vAlign w:val="bottom"/>
            <w:hideMark/>
          </w:tcPr>
          <w:p w14:paraId="01D87D99" w14:textId="77777777" w:rsidR="004F5D7C" w:rsidRPr="00741575" w:rsidRDefault="004F5D7C" w:rsidP="004A3F14">
            <w:pPr>
              <w:jc w:val="right"/>
              <w:rPr>
                <w:rFonts w:ascii="Arial" w:hAnsi="Arial" w:cs="Arial"/>
                <w:b/>
                <w:bCs/>
                <w:color w:val="000000"/>
                <w:lang w:eastAsia="en-GB"/>
              </w:rPr>
            </w:pPr>
            <w:r w:rsidRPr="00741575">
              <w:rPr>
                <w:rFonts w:ascii="Arial" w:hAnsi="Arial" w:cs="Arial"/>
                <w:b/>
                <w:bCs/>
                <w:color w:val="000000"/>
                <w:lang w:eastAsia="en-GB"/>
              </w:rPr>
              <w:t>2015</w:t>
            </w:r>
          </w:p>
        </w:tc>
        <w:tc>
          <w:tcPr>
            <w:tcW w:w="2033" w:type="dxa"/>
            <w:tcBorders>
              <w:top w:val="nil"/>
              <w:left w:val="nil"/>
              <w:bottom w:val="nil"/>
              <w:right w:val="nil"/>
            </w:tcBorders>
            <w:shd w:val="clear" w:color="auto" w:fill="auto"/>
            <w:noWrap/>
            <w:vAlign w:val="bottom"/>
            <w:hideMark/>
          </w:tcPr>
          <w:p w14:paraId="69570A21"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12,250</w:t>
            </w:r>
          </w:p>
        </w:tc>
        <w:tc>
          <w:tcPr>
            <w:tcW w:w="1935" w:type="dxa"/>
            <w:tcBorders>
              <w:top w:val="nil"/>
              <w:left w:val="nil"/>
              <w:bottom w:val="nil"/>
              <w:right w:val="nil"/>
            </w:tcBorders>
            <w:shd w:val="clear" w:color="auto" w:fill="auto"/>
            <w:noWrap/>
            <w:vAlign w:val="bottom"/>
            <w:hideMark/>
          </w:tcPr>
          <w:p w14:paraId="4B2C92FE"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2686</w:t>
            </w:r>
          </w:p>
        </w:tc>
        <w:tc>
          <w:tcPr>
            <w:tcW w:w="1862" w:type="dxa"/>
            <w:tcBorders>
              <w:top w:val="nil"/>
              <w:left w:val="nil"/>
              <w:bottom w:val="nil"/>
              <w:right w:val="nil"/>
            </w:tcBorders>
            <w:shd w:val="clear" w:color="auto" w:fill="auto"/>
            <w:noWrap/>
            <w:vAlign w:val="bottom"/>
            <w:hideMark/>
          </w:tcPr>
          <w:p w14:paraId="0810068C"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425</w:t>
            </w:r>
          </w:p>
        </w:tc>
        <w:tc>
          <w:tcPr>
            <w:tcW w:w="2082" w:type="dxa"/>
            <w:tcBorders>
              <w:top w:val="nil"/>
              <w:left w:val="nil"/>
              <w:bottom w:val="nil"/>
              <w:right w:val="nil"/>
            </w:tcBorders>
            <w:shd w:val="clear" w:color="auto" w:fill="auto"/>
            <w:noWrap/>
            <w:vAlign w:val="bottom"/>
            <w:hideMark/>
          </w:tcPr>
          <w:p w14:paraId="69D7EE64"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169</w:t>
            </w:r>
          </w:p>
        </w:tc>
      </w:tr>
      <w:tr w:rsidR="004F5D7C" w:rsidRPr="00741575" w14:paraId="406594EE" w14:textId="77777777" w:rsidTr="00741575">
        <w:trPr>
          <w:trHeight w:val="335"/>
        </w:trPr>
        <w:tc>
          <w:tcPr>
            <w:tcW w:w="1176" w:type="dxa"/>
            <w:tcBorders>
              <w:top w:val="nil"/>
              <w:left w:val="nil"/>
              <w:bottom w:val="nil"/>
              <w:right w:val="nil"/>
            </w:tcBorders>
            <w:shd w:val="clear" w:color="auto" w:fill="auto"/>
            <w:noWrap/>
            <w:vAlign w:val="bottom"/>
            <w:hideMark/>
          </w:tcPr>
          <w:p w14:paraId="306FBA0C" w14:textId="77777777" w:rsidR="004F5D7C" w:rsidRPr="00741575" w:rsidRDefault="004F5D7C" w:rsidP="004A3F14">
            <w:pPr>
              <w:jc w:val="right"/>
              <w:rPr>
                <w:rFonts w:ascii="Arial" w:hAnsi="Arial" w:cs="Arial"/>
                <w:b/>
                <w:bCs/>
                <w:color w:val="000000"/>
                <w:lang w:eastAsia="en-GB"/>
              </w:rPr>
            </w:pPr>
            <w:r w:rsidRPr="00741575">
              <w:rPr>
                <w:rFonts w:ascii="Arial" w:hAnsi="Arial" w:cs="Arial"/>
                <w:b/>
                <w:bCs/>
                <w:color w:val="000000"/>
                <w:lang w:eastAsia="en-GB"/>
              </w:rPr>
              <w:t>2016</w:t>
            </w:r>
          </w:p>
        </w:tc>
        <w:tc>
          <w:tcPr>
            <w:tcW w:w="2033" w:type="dxa"/>
            <w:tcBorders>
              <w:top w:val="nil"/>
              <w:left w:val="nil"/>
              <w:bottom w:val="nil"/>
              <w:right w:val="nil"/>
            </w:tcBorders>
            <w:shd w:val="clear" w:color="auto" w:fill="auto"/>
            <w:noWrap/>
            <w:vAlign w:val="bottom"/>
            <w:hideMark/>
          </w:tcPr>
          <w:p w14:paraId="49413A25"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12,793</w:t>
            </w:r>
          </w:p>
        </w:tc>
        <w:tc>
          <w:tcPr>
            <w:tcW w:w="1935" w:type="dxa"/>
            <w:tcBorders>
              <w:top w:val="nil"/>
              <w:left w:val="nil"/>
              <w:bottom w:val="nil"/>
              <w:right w:val="nil"/>
            </w:tcBorders>
            <w:shd w:val="clear" w:color="auto" w:fill="auto"/>
            <w:noWrap/>
            <w:vAlign w:val="bottom"/>
            <w:hideMark/>
          </w:tcPr>
          <w:p w14:paraId="66608AD6"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2744</w:t>
            </w:r>
          </w:p>
        </w:tc>
        <w:tc>
          <w:tcPr>
            <w:tcW w:w="1862" w:type="dxa"/>
            <w:tcBorders>
              <w:top w:val="nil"/>
              <w:left w:val="nil"/>
              <w:bottom w:val="nil"/>
              <w:right w:val="nil"/>
            </w:tcBorders>
            <w:shd w:val="clear" w:color="auto" w:fill="auto"/>
            <w:noWrap/>
            <w:vAlign w:val="bottom"/>
            <w:hideMark/>
          </w:tcPr>
          <w:p w14:paraId="20BB1514"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349</w:t>
            </w:r>
          </w:p>
        </w:tc>
        <w:tc>
          <w:tcPr>
            <w:tcW w:w="2082" w:type="dxa"/>
            <w:tcBorders>
              <w:top w:val="nil"/>
              <w:left w:val="nil"/>
              <w:bottom w:val="nil"/>
              <w:right w:val="nil"/>
            </w:tcBorders>
            <w:shd w:val="clear" w:color="auto" w:fill="auto"/>
            <w:noWrap/>
            <w:vAlign w:val="bottom"/>
            <w:hideMark/>
          </w:tcPr>
          <w:p w14:paraId="442451DE"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142</w:t>
            </w:r>
          </w:p>
        </w:tc>
      </w:tr>
      <w:tr w:rsidR="004F5D7C" w:rsidRPr="00741575" w14:paraId="1F3ACAEB" w14:textId="77777777" w:rsidTr="00741575">
        <w:trPr>
          <w:trHeight w:val="335"/>
        </w:trPr>
        <w:tc>
          <w:tcPr>
            <w:tcW w:w="1176" w:type="dxa"/>
            <w:tcBorders>
              <w:top w:val="nil"/>
              <w:left w:val="nil"/>
              <w:bottom w:val="nil"/>
              <w:right w:val="nil"/>
            </w:tcBorders>
            <w:shd w:val="clear" w:color="auto" w:fill="auto"/>
            <w:noWrap/>
            <w:vAlign w:val="bottom"/>
            <w:hideMark/>
          </w:tcPr>
          <w:p w14:paraId="140F3BCA" w14:textId="77777777" w:rsidR="004F5D7C" w:rsidRPr="00741575" w:rsidRDefault="004F5D7C" w:rsidP="004A3F14">
            <w:pPr>
              <w:jc w:val="right"/>
              <w:rPr>
                <w:rFonts w:ascii="Arial" w:hAnsi="Arial" w:cs="Arial"/>
                <w:b/>
                <w:bCs/>
                <w:color w:val="000000"/>
                <w:lang w:eastAsia="en-GB"/>
              </w:rPr>
            </w:pPr>
            <w:r w:rsidRPr="00741575">
              <w:rPr>
                <w:rFonts w:ascii="Arial" w:hAnsi="Arial" w:cs="Arial"/>
                <w:b/>
                <w:bCs/>
                <w:color w:val="000000"/>
                <w:lang w:eastAsia="en-GB"/>
              </w:rPr>
              <w:t>2017</w:t>
            </w:r>
          </w:p>
        </w:tc>
        <w:tc>
          <w:tcPr>
            <w:tcW w:w="2033" w:type="dxa"/>
            <w:tcBorders>
              <w:top w:val="nil"/>
              <w:left w:val="nil"/>
              <w:bottom w:val="nil"/>
              <w:right w:val="nil"/>
            </w:tcBorders>
            <w:shd w:val="clear" w:color="auto" w:fill="auto"/>
            <w:noWrap/>
            <w:vAlign w:val="bottom"/>
            <w:hideMark/>
          </w:tcPr>
          <w:p w14:paraId="2775793E"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12,765</w:t>
            </w:r>
          </w:p>
        </w:tc>
        <w:tc>
          <w:tcPr>
            <w:tcW w:w="1935" w:type="dxa"/>
            <w:tcBorders>
              <w:top w:val="nil"/>
              <w:left w:val="nil"/>
              <w:bottom w:val="nil"/>
              <w:right w:val="nil"/>
            </w:tcBorders>
            <w:shd w:val="clear" w:color="auto" w:fill="auto"/>
            <w:noWrap/>
            <w:vAlign w:val="bottom"/>
            <w:hideMark/>
          </w:tcPr>
          <w:p w14:paraId="60B91697"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2706</w:t>
            </w:r>
          </w:p>
        </w:tc>
        <w:tc>
          <w:tcPr>
            <w:tcW w:w="1862" w:type="dxa"/>
            <w:tcBorders>
              <w:top w:val="nil"/>
              <w:left w:val="nil"/>
              <w:bottom w:val="nil"/>
              <w:right w:val="nil"/>
            </w:tcBorders>
            <w:shd w:val="clear" w:color="auto" w:fill="auto"/>
            <w:noWrap/>
            <w:vAlign w:val="bottom"/>
            <w:hideMark/>
          </w:tcPr>
          <w:p w14:paraId="37A47B3E"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459</w:t>
            </w:r>
          </w:p>
        </w:tc>
        <w:tc>
          <w:tcPr>
            <w:tcW w:w="2082" w:type="dxa"/>
            <w:tcBorders>
              <w:top w:val="nil"/>
              <w:left w:val="nil"/>
              <w:bottom w:val="nil"/>
              <w:right w:val="nil"/>
            </w:tcBorders>
            <w:shd w:val="clear" w:color="auto" w:fill="auto"/>
            <w:noWrap/>
            <w:vAlign w:val="bottom"/>
            <w:hideMark/>
          </w:tcPr>
          <w:p w14:paraId="3C18D1F0"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133</w:t>
            </w:r>
          </w:p>
        </w:tc>
      </w:tr>
      <w:tr w:rsidR="004F5D7C" w:rsidRPr="00741575" w14:paraId="7289787F" w14:textId="77777777" w:rsidTr="00741575">
        <w:trPr>
          <w:trHeight w:val="335"/>
        </w:trPr>
        <w:tc>
          <w:tcPr>
            <w:tcW w:w="1176" w:type="dxa"/>
            <w:tcBorders>
              <w:top w:val="nil"/>
              <w:left w:val="nil"/>
              <w:bottom w:val="nil"/>
              <w:right w:val="nil"/>
            </w:tcBorders>
            <w:shd w:val="clear" w:color="auto" w:fill="auto"/>
            <w:noWrap/>
            <w:vAlign w:val="bottom"/>
            <w:hideMark/>
          </w:tcPr>
          <w:p w14:paraId="2D874DF9" w14:textId="77777777" w:rsidR="004F5D7C" w:rsidRPr="00741575" w:rsidRDefault="004F5D7C" w:rsidP="004A3F14">
            <w:pPr>
              <w:jc w:val="right"/>
              <w:rPr>
                <w:rFonts w:ascii="Arial" w:hAnsi="Arial" w:cs="Arial"/>
                <w:b/>
                <w:bCs/>
                <w:color w:val="000000"/>
                <w:lang w:eastAsia="en-GB"/>
              </w:rPr>
            </w:pPr>
            <w:r w:rsidRPr="00741575">
              <w:rPr>
                <w:rFonts w:ascii="Arial" w:hAnsi="Arial" w:cs="Arial"/>
                <w:b/>
                <w:bCs/>
                <w:color w:val="000000"/>
                <w:lang w:eastAsia="en-GB"/>
              </w:rPr>
              <w:t>2018</w:t>
            </w:r>
          </w:p>
        </w:tc>
        <w:tc>
          <w:tcPr>
            <w:tcW w:w="2033" w:type="dxa"/>
            <w:tcBorders>
              <w:top w:val="nil"/>
              <w:left w:val="nil"/>
              <w:bottom w:val="nil"/>
              <w:right w:val="nil"/>
            </w:tcBorders>
            <w:shd w:val="clear" w:color="auto" w:fill="auto"/>
            <w:noWrap/>
            <w:vAlign w:val="bottom"/>
            <w:hideMark/>
          </w:tcPr>
          <w:p w14:paraId="3AC71091"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13,296</w:t>
            </w:r>
          </w:p>
        </w:tc>
        <w:tc>
          <w:tcPr>
            <w:tcW w:w="1935" w:type="dxa"/>
            <w:tcBorders>
              <w:top w:val="nil"/>
              <w:left w:val="nil"/>
              <w:bottom w:val="nil"/>
              <w:right w:val="nil"/>
            </w:tcBorders>
            <w:shd w:val="clear" w:color="auto" w:fill="auto"/>
            <w:noWrap/>
            <w:vAlign w:val="bottom"/>
            <w:hideMark/>
          </w:tcPr>
          <w:p w14:paraId="01D34C9E"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3155</w:t>
            </w:r>
          </w:p>
        </w:tc>
        <w:tc>
          <w:tcPr>
            <w:tcW w:w="1862" w:type="dxa"/>
            <w:tcBorders>
              <w:top w:val="nil"/>
              <w:left w:val="nil"/>
              <w:bottom w:val="nil"/>
              <w:right w:val="nil"/>
            </w:tcBorders>
            <w:shd w:val="clear" w:color="auto" w:fill="auto"/>
            <w:noWrap/>
            <w:vAlign w:val="bottom"/>
            <w:hideMark/>
          </w:tcPr>
          <w:p w14:paraId="222EF6E2"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586</w:t>
            </w:r>
          </w:p>
        </w:tc>
        <w:tc>
          <w:tcPr>
            <w:tcW w:w="2082" w:type="dxa"/>
            <w:tcBorders>
              <w:top w:val="nil"/>
              <w:left w:val="nil"/>
              <w:bottom w:val="nil"/>
              <w:right w:val="nil"/>
            </w:tcBorders>
            <w:shd w:val="clear" w:color="auto" w:fill="auto"/>
            <w:noWrap/>
            <w:vAlign w:val="bottom"/>
            <w:hideMark/>
          </w:tcPr>
          <w:p w14:paraId="7EC1F964"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137</w:t>
            </w:r>
          </w:p>
        </w:tc>
      </w:tr>
      <w:tr w:rsidR="004F5D7C" w:rsidRPr="00741575" w14:paraId="20504443" w14:textId="77777777" w:rsidTr="00741575">
        <w:trPr>
          <w:trHeight w:val="352"/>
        </w:trPr>
        <w:tc>
          <w:tcPr>
            <w:tcW w:w="1176" w:type="dxa"/>
            <w:tcBorders>
              <w:top w:val="nil"/>
              <w:left w:val="nil"/>
              <w:bottom w:val="single" w:sz="8" w:space="0" w:color="auto"/>
              <w:right w:val="nil"/>
            </w:tcBorders>
            <w:shd w:val="clear" w:color="auto" w:fill="auto"/>
            <w:noWrap/>
            <w:vAlign w:val="bottom"/>
            <w:hideMark/>
          </w:tcPr>
          <w:p w14:paraId="1EE0940E" w14:textId="77777777" w:rsidR="004F5D7C" w:rsidRPr="00741575" w:rsidRDefault="004F5D7C" w:rsidP="004A3F14">
            <w:pPr>
              <w:jc w:val="right"/>
              <w:rPr>
                <w:rFonts w:ascii="Arial" w:hAnsi="Arial" w:cs="Arial"/>
                <w:b/>
                <w:bCs/>
                <w:color w:val="000000"/>
                <w:lang w:eastAsia="en-GB"/>
              </w:rPr>
            </w:pPr>
            <w:r w:rsidRPr="00741575">
              <w:rPr>
                <w:rFonts w:ascii="Arial" w:hAnsi="Arial" w:cs="Arial"/>
                <w:b/>
                <w:bCs/>
                <w:color w:val="000000"/>
                <w:lang w:eastAsia="en-GB"/>
              </w:rPr>
              <w:t>2019</w:t>
            </w:r>
          </w:p>
        </w:tc>
        <w:tc>
          <w:tcPr>
            <w:tcW w:w="2033" w:type="dxa"/>
            <w:tcBorders>
              <w:top w:val="nil"/>
              <w:left w:val="nil"/>
              <w:bottom w:val="single" w:sz="8" w:space="0" w:color="auto"/>
              <w:right w:val="nil"/>
            </w:tcBorders>
            <w:shd w:val="clear" w:color="auto" w:fill="auto"/>
            <w:noWrap/>
            <w:vAlign w:val="bottom"/>
            <w:hideMark/>
          </w:tcPr>
          <w:p w14:paraId="289C9090"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17,006</w:t>
            </w:r>
          </w:p>
        </w:tc>
        <w:tc>
          <w:tcPr>
            <w:tcW w:w="1935" w:type="dxa"/>
            <w:tcBorders>
              <w:top w:val="nil"/>
              <w:left w:val="nil"/>
              <w:bottom w:val="single" w:sz="8" w:space="0" w:color="auto"/>
              <w:right w:val="nil"/>
            </w:tcBorders>
            <w:shd w:val="clear" w:color="auto" w:fill="auto"/>
            <w:noWrap/>
            <w:vAlign w:val="bottom"/>
            <w:hideMark/>
          </w:tcPr>
          <w:p w14:paraId="1962B5FD"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3480</w:t>
            </w:r>
          </w:p>
        </w:tc>
        <w:tc>
          <w:tcPr>
            <w:tcW w:w="1862" w:type="dxa"/>
            <w:tcBorders>
              <w:top w:val="nil"/>
              <w:left w:val="nil"/>
              <w:bottom w:val="single" w:sz="8" w:space="0" w:color="auto"/>
              <w:right w:val="nil"/>
            </w:tcBorders>
            <w:shd w:val="clear" w:color="auto" w:fill="auto"/>
            <w:noWrap/>
            <w:vAlign w:val="bottom"/>
            <w:hideMark/>
          </w:tcPr>
          <w:p w14:paraId="7AEC5DEF"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802</w:t>
            </w:r>
          </w:p>
        </w:tc>
        <w:tc>
          <w:tcPr>
            <w:tcW w:w="2082" w:type="dxa"/>
            <w:tcBorders>
              <w:top w:val="nil"/>
              <w:left w:val="nil"/>
              <w:bottom w:val="single" w:sz="8" w:space="0" w:color="auto"/>
              <w:right w:val="nil"/>
            </w:tcBorders>
            <w:shd w:val="clear" w:color="auto" w:fill="auto"/>
            <w:noWrap/>
            <w:vAlign w:val="bottom"/>
            <w:hideMark/>
          </w:tcPr>
          <w:p w14:paraId="58DC8E69" w14:textId="77777777" w:rsidR="004F5D7C" w:rsidRPr="00741575" w:rsidRDefault="004F5D7C" w:rsidP="004A3F14">
            <w:pPr>
              <w:jc w:val="right"/>
              <w:rPr>
                <w:rFonts w:ascii="Arial" w:hAnsi="Arial" w:cs="Arial"/>
                <w:color w:val="000000"/>
                <w:lang w:eastAsia="en-GB"/>
              </w:rPr>
            </w:pPr>
            <w:r w:rsidRPr="00741575">
              <w:rPr>
                <w:rFonts w:ascii="Arial" w:hAnsi="Arial" w:cs="Arial"/>
                <w:color w:val="000000"/>
                <w:lang w:eastAsia="en-GB"/>
              </w:rPr>
              <w:t>149</w:t>
            </w:r>
          </w:p>
        </w:tc>
      </w:tr>
    </w:tbl>
    <w:p w14:paraId="42578A51" w14:textId="77777777" w:rsidR="004F5D7C" w:rsidRDefault="004F5D7C" w:rsidP="004F5D7C">
      <w:pPr>
        <w:pStyle w:val="NICCYSubline"/>
      </w:pPr>
    </w:p>
    <w:tbl>
      <w:tblPr>
        <w:tblW w:w="9026" w:type="dxa"/>
        <w:tblLook w:val="04A0" w:firstRow="1" w:lastRow="0" w:firstColumn="1" w:lastColumn="0" w:noHBand="0" w:noVBand="1"/>
      </w:tblPr>
      <w:tblGrid>
        <w:gridCol w:w="9026"/>
      </w:tblGrid>
      <w:tr w:rsidR="004F5D7C" w:rsidRPr="00334D86" w14:paraId="57647938" w14:textId="77777777" w:rsidTr="004A3F14">
        <w:trPr>
          <w:trHeight w:val="300"/>
        </w:trPr>
        <w:tc>
          <w:tcPr>
            <w:tcW w:w="9026" w:type="dxa"/>
            <w:tcBorders>
              <w:top w:val="nil"/>
              <w:left w:val="nil"/>
              <w:bottom w:val="nil"/>
              <w:right w:val="nil"/>
            </w:tcBorders>
            <w:shd w:val="clear" w:color="auto" w:fill="auto"/>
            <w:noWrap/>
            <w:vAlign w:val="bottom"/>
            <w:hideMark/>
          </w:tcPr>
          <w:p w14:paraId="3362264F" w14:textId="77777777" w:rsidR="004F5D7C" w:rsidRPr="00334D86" w:rsidRDefault="004F5D7C" w:rsidP="004A3F14">
            <w:pPr>
              <w:rPr>
                <w:rFonts w:ascii="Arial" w:hAnsi="Arial" w:cs="Arial"/>
                <w:color w:val="000000"/>
                <w:sz w:val="18"/>
                <w:szCs w:val="18"/>
                <w:lang w:eastAsia="en-GB"/>
              </w:rPr>
            </w:pPr>
            <w:r w:rsidRPr="004F5D7C">
              <w:rPr>
                <w:rFonts w:ascii="Arial" w:hAnsi="Arial" w:cs="Arial"/>
                <w:color w:val="000000"/>
                <w:sz w:val="18"/>
                <w:szCs w:val="18"/>
                <w:lang w:eastAsia="en-GB"/>
              </w:rPr>
              <w:t xml:space="preserve">NB. </w:t>
            </w:r>
            <w:r w:rsidRPr="00334D86">
              <w:rPr>
                <w:rFonts w:ascii="Arial" w:hAnsi="Arial" w:cs="Arial"/>
                <w:color w:val="000000"/>
                <w:sz w:val="18"/>
                <w:szCs w:val="18"/>
                <w:lang w:eastAsia="en-GB"/>
              </w:rPr>
              <w:t xml:space="preserve">Historically, between 10-20% of all prescription forms in any given month could not be scanned.  Due to this issue all figures provided are estimates only and will be an undercount of the true number of prescriptions prescribed to patients aged under 18 in Northern Ireland. </w:t>
            </w:r>
          </w:p>
        </w:tc>
      </w:tr>
      <w:tr w:rsidR="004F5D7C" w:rsidRPr="00334D86" w14:paraId="2A966AFD" w14:textId="77777777" w:rsidTr="004A3F14">
        <w:trPr>
          <w:trHeight w:val="300"/>
        </w:trPr>
        <w:tc>
          <w:tcPr>
            <w:tcW w:w="9026" w:type="dxa"/>
            <w:tcBorders>
              <w:top w:val="nil"/>
              <w:left w:val="nil"/>
              <w:bottom w:val="nil"/>
              <w:right w:val="nil"/>
            </w:tcBorders>
            <w:shd w:val="clear" w:color="auto" w:fill="auto"/>
            <w:noWrap/>
            <w:vAlign w:val="bottom"/>
            <w:hideMark/>
          </w:tcPr>
          <w:p w14:paraId="448B2EFD" w14:textId="77777777" w:rsidR="004F5D7C" w:rsidRPr="00334D86" w:rsidRDefault="004F5D7C" w:rsidP="004A3F14">
            <w:pPr>
              <w:rPr>
                <w:rFonts w:ascii="Arial" w:hAnsi="Arial" w:cs="Arial"/>
                <w:color w:val="000000"/>
                <w:sz w:val="18"/>
                <w:szCs w:val="18"/>
                <w:lang w:eastAsia="en-GB"/>
              </w:rPr>
            </w:pPr>
            <w:r w:rsidRPr="00334D86">
              <w:rPr>
                <w:rFonts w:ascii="Arial" w:hAnsi="Arial" w:cs="Arial"/>
                <w:color w:val="000000"/>
                <w:sz w:val="18"/>
                <w:szCs w:val="18"/>
                <w:lang w:eastAsia="en-GB"/>
              </w:rPr>
              <w:t>Please also note that the overall proportion of prescriptions for antidepressant items where the patient information was not available was: 2017 [21%]; 2018 [25%]; 2019 [11%].</w:t>
            </w:r>
          </w:p>
        </w:tc>
      </w:tr>
      <w:tr w:rsidR="004F5D7C" w:rsidRPr="00334D86" w14:paraId="17ED682A" w14:textId="77777777" w:rsidTr="004A3F14">
        <w:trPr>
          <w:trHeight w:val="300"/>
        </w:trPr>
        <w:tc>
          <w:tcPr>
            <w:tcW w:w="9026" w:type="dxa"/>
            <w:tcBorders>
              <w:top w:val="nil"/>
              <w:left w:val="nil"/>
              <w:bottom w:val="nil"/>
              <w:right w:val="nil"/>
            </w:tcBorders>
            <w:shd w:val="clear" w:color="auto" w:fill="auto"/>
            <w:noWrap/>
            <w:vAlign w:val="bottom"/>
            <w:hideMark/>
          </w:tcPr>
          <w:p w14:paraId="679345E6" w14:textId="77777777" w:rsidR="004F5D7C" w:rsidRPr="00334D86" w:rsidRDefault="004F5D7C" w:rsidP="004A3F14">
            <w:pPr>
              <w:rPr>
                <w:rFonts w:ascii="Arial" w:hAnsi="Arial" w:cs="Arial"/>
                <w:color w:val="000000"/>
                <w:sz w:val="18"/>
                <w:szCs w:val="18"/>
                <w:lang w:eastAsia="en-GB"/>
              </w:rPr>
            </w:pPr>
            <w:r w:rsidRPr="00334D86">
              <w:rPr>
                <w:rFonts w:ascii="Arial" w:hAnsi="Arial" w:cs="Arial"/>
                <w:color w:val="000000"/>
                <w:sz w:val="18"/>
                <w:szCs w:val="18"/>
                <w:lang w:eastAsia="en-GB"/>
              </w:rPr>
              <w:t xml:space="preserve">There has been a significant improvement in the scanning rates towards the end of 2018 and during 2019 due to a refresh of the scanner’s in BSO.  More patients can now be identified which means </w:t>
            </w:r>
            <w:r w:rsidRPr="004F5D7C">
              <w:rPr>
                <w:rFonts w:ascii="Arial" w:hAnsi="Arial" w:cs="Arial"/>
                <w:color w:val="000000"/>
                <w:sz w:val="18"/>
                <w:szCs w:val="18"/>
                <w:lang w:eastAsia="en-GB"/>
              </w:rPr>
              <w:t>at least some of the</w:t>
            </w:r>
            <w:r w:rsidRPr="00334D86">
              <w:rPr>
                <w:rFonts w:ascii="Arial" w:hAnsi="Arial" w:cs="Arial"/>
                <w:color w:val="000000"/>
                <w:sz w:val="18"/>
                <w:szCs w:val="18"/>
                <w:lang w:eastAsia="en-GB"/>
              </w:rPr>
              <w:t xml:space="preserve"> increase in the volumes between years could be attributed to the increased scan rate. </w:t>
            </w:r>
          </w:p>
        </w:tc>
      </w:tr>
    </w:tbl>
    <w:p w14:paraId="09C1E469" w14:textId="77777777" w:rsidR="004F5D7C" w:rsidRDefault="004F5D7C" w:rsidP="006B1312">
      <w:pPr>
        <w:pStyle w:val="NICCYSubline"/>
      </w:pPr>
    </w:p>
    <w:p w14:paraId="6E6438C1" w14:textId="5319C774" w:rsidR="00C54EED" w:rsidRDefault="00C54EED" w:rsidP="005938BF">
      <w:pPr>
        <w:pStyle w:val="NICCYBodyTest"/>
      </w:pPr>
      <w:r>
        <w:t xml:space="preserve">Antidepressant prescribing data must also be viewed in the context of </w:t>
      </w:r>
      <w:r w:rsidR="005938BF">
        <w:t>other systemic issues affecting care and treatment options for children and young people, this includes</w:t>
      </w:r>
      <w:r>
        <w:t xml:space="preserve"> waiting times for access to psychological therapies</w:t>
      </w:r>
      <w:r w:rsidR="006B2E61">
        <w:t xml:space="preserve"> which is discussed below</w:t>
      </w:r>
      <w:r w:rsidR="00421489">
        <w:t>.</w:t>
      </w:r>
      <w:r w:rsidR="00D5502C">
        <w:t xml:space="preserve">  </w:t>
      </w:r>
    </w:p>
    <w:p w14:paraId="15E22F30" w14:textId="77777777" w:rsidR="00C54EED" w:rsidRDefault="00C54EED" w:rsidP="006B1312">
      <w:pPr>
        <w:pStyle w:val="NICCYSubline"/>
      </w:pPr>
    </w:p>
    <w:p w14:paraId="21390DA5" w14:textId="77777777" w:rsidR="004F5D7C" w:rsidRDefault="004F5D7C" w:rsidP="006B1312">
      <w:pPr>
        <w:pStyle w:val="NICCYSubline"/>
      </w:pPr>
    </w:p>
    <w:p w14:paraId="24CD382D" w14:textId="47D8B319" w:rsidR="006B1312" w:rsidRDefault="004276BD" w:rsidP="006B1312">
      <w:pPr>
        <w:pStyle w:val="NICCYSubline"/>
      </w:pPr>
      <w:bookmarkStart w:id="30" w:name="PT"/>
      <w:bookmarkEnd w:id="30"/>
      <w:r>
        <w:t xml:space="preserve">8.1 </w:t>
      </w:r>
      <w:r w:rsidR="006B1312">
        <w:t xml:space="preserve">Waiting Time for Access to Psychological Therapies </w:t>
      </w:r>
    </w:p>
    <w:p w14:paraId="6FF0E9E4" w14:textId="77777777" w:rsidR="006B1312" w:rsidRDefault="006B1312" w:rsidP="00426F9B">
      <w:pPr>
        <w:pStyle w:val="NICCYBodyTest"/>
      </w:pPr>
    </w:p>
    <w:p w14:paraId="0849BDFA" w14:textId="423B8798" w:rsidR="00C54EED" w:rsidRDefault="00421489" w:rsidP="00435E4C">
      <w:pPr>
        <w:pStyle w:val="NICCYBodyTest"/>
      </w:pPr>
      <w:r>
        <w:t>W</w:t>
      </w:r>
      <w:r w:rsidR="00435E4C">
        <w:t>aiting time</w:t>
      </w:r>
      <w:r w:rsidR="006B2E61">
        <w:t>s</w:t>
      </w:r>
      <w:r w:rsidR="00435E4C">
        <w:t xml:space="preserve"> for access to psychological therapies is </w:t>
      </w:r>
      <w:r w:rsidR="005938BF">
        <w:t>an</w:t>
      </w:r>
      <w:r w:rsidR="00435E4C">
        <w:t xml:space="preserve"> important indicator of how accessible and responsive mental health services are for young people.</w:t>
      </w:r>
      <w:r w:rsidR="005938BF">
        <w:t xml:space="preserve"> </w:t>
      </w:r>
      <w:r>
        <w:t xml:space="preserve">It </w:t>
      </w:r>
      <w:r w:rsidR="006B2E61">
        <w:t>is also a reminder</w:t>
      </w:r>
      <w:r>
        <w:t xml:space="preserve"> that waiting times for a first appointment to CAMHS is </w:t>
      </w:r>
      <w:r w:rsidR="006B2E61">
        <w:t>the first stage in their pathway to accessing treatment / support</w:t>
      </w:r>
      <w:r>
        <w:t xml:space="preserve"> and that young people may face a range of additional ‘internal waits’</w:t>
      </w:r>
      <w:r w:rsidR="006B2E61">
        <w:t xml:space="preserve">. </w:t>
      </w:r>
      <w:r w:rsidR="00AA0ECE">
        <w:t>As stated above, a</w:t>
      </w:r>
      <w:r>
        <w:t>vailability of psychological therapies is very significant in the context of how much medication is prescribed to children and young people</w:t>
      </w:r>
      <w:r w:rsidR="00AA0ECE">
        <w:t>. NICCY</w:t>
      </w:r>
      <w:r w:rsidR="0084720D">
        <w:t>’</w:t>
      </w:r>
      <w:r w:rsidR="00AA0ECE">
        <w:t xml:space="preserve">s Still Waiting Report recommended that the CAMHS Dataset should </w:t>
      </w:r>
      <w:r w:rsidR="00AA0ECE">
        <w:lastRenderedPageBreak/>
        <w:t>include data on waiting times for psychological therapies and types of therapies used with under 18’s (</w:t>
      </w:r>
      <w:r w:rsidR="00AA0ECE" w:rsidRPr="005938BF">
        <w:t>p 258-261</w:t>
      </w:r>
      <w:r w:rsidR="00AA0ECE">
        <w:t>).</w:t>
      </w:r>
      <w:r w:rsidR="006B2E61">
        <w:t xml:space="preserve"> It also recommended that prescribing data was monitored to ensure compliance with NICE guideline and that where medication is prescribed to a young person with a history of alcohol and/or drug problems this should be risk assessed and appropriately supervised (Rec 14, p275).</w:t>
      </w:r>
    </w:p>
    <w:p w14:paraId="1009D3E6" w14:textId="77777777" w:rsidR="006B2E61" w:rsidRDefault="006B2E61" w:rsidP="00435E4C">
      <w:pPr>
        <w:pStyle w:val="NICCYBodyTest"/>
      </w:pPr>
    </w:p>
    <w:p w14:paraId="4271DEAC" w14:textId="23ACEC2D" w:rsidR="00F60279" w:rsidRDefault="0030595B" w:rsidP="00426F9B">
      <w:pPr>
        <w:pStyle w:val="NICCYBodyTest"/>
      </w:pPr>
      <w:r w:rsidRPr="0030595B">
        <w:fldChar w:fldCharType="begin"/>
      </w:r>
      <w:r w:rsidRPr="0030595B">
        <w:instrText xml:space="preserve"> REF _Ref58427245 \h  \* MERGEFORMAT </w:instrText>
      </w:r>
      <w:r w:rsidRPr="0030595B">
        <w:fldChar w:fldCharType="separate"/>
      </w:r>
      <w:r w:rsidRPr="0030595B">
        <w:t xml:space="preserve">Figure </w:t>
      </w:r>
      <w:r w:rsidRPr="0030595B">
        <w:rPr>
          <w:noProof/>
        </w:rPr>
        <w:t>11</w:t>
      </w:r>
      <w:r w:rsidRPr="0030595B">
        <w:fldChar w:fldCharType="end"/>
      </w:r>
      <w:r w:rsidRPr="0030595B">
        <w:t xml:space="preserve"> </w:t>
      </w:r>
      <w:r w:rsidR="00421489" w:rsidRPr="0030595B">
        <w:t>was e</w:t>
      </w:r>
      <w:r w:rsidR="00421489">
        <w:t>xtracted from data provided at HSCB Board meetings and shows the number of under 18’s waiting more than 13 weeks for access to psychological therapies for child psychology and children’s learning disability</w:t>
      </w:r>
      <w:r w:rsidR="00AA0ECE">
        <w:t xml:space="preserve"> are growing at a considerable rate.</w:t>
      </w:r>
      <w:r w:rsidR="00421489">
        <w:t xml:space="preserve">  </w:t>
      </w:r>
      <w:r w:rsidR="00D27F60">
        <w:t xml:space="preserve">We understand that psychological therapies sit within a different work area and the figures are not included as part of the CAMHS </w:t>
      </w:r>
      <w:r w:rsidR="00D27F60" w:rsidRPr="009636CD">
        <w:t>dataset.  NICCY is of the view that this work should link clearly to the CAMHS dat</w:t>
      </w:r>
      <w:r w:rsidR="00B27536" w:rsidRPr="009636CD">
        <w:t>a</w:t>
      </w:r>
      <w:r w:rsidR="00D27F60" w:rsidRPr="009636CD">
        <w:t xml:space="preserve">set and the figures should be included as these therapies are being provided to children and young people. </w:t>
      </w:r>
      <w:r w:rsidR="00AA0ECE" w:rsidRPr="009636CD">
        <w:t>The</w:t>
      </w:r>
      <w:r w:rsidR="00AA0ECE" w:rsidRPr="00421489">
        <w:t xml:space="preserve"> Health and Social Care Board meet with all the Trusts in respect of breaches and the development of service improvement plans to prevent further escalation and to reduce the number of breaches as much as possible.  The accepted view </w:t>
      </w:r>
      <w:r w:rsidR="00AA0ECE">
        <w:t xml:space="preserve">by the HSCB and HSCTs </w:t>
      </w:r>
      <w:r w:rsidR="00AA0ECE" w:rsidRPr="00421489">
        <w:t xml:space="preserve">is that the current problems will not be addressed </w:t>
      </w:r>
      <w:r w:rsidR="00AA0ECE">
        <w:t xml:space="preserve">in a </w:t>
      </w:r>
      <w:r w:rsidR="00AA0ECE" w:rsidRPr="00421489">
        <w:t>sust</w:t>
      </w:r>
      <w:r w:rsidR="00AA0ECE">
        <w:t>ainable way</w:t>
      </w:r>
      <w:r w:rsidR="00AA0ECE" w:rsidRPr="00421489">
        <w:t xml:space="preserve"> without additional recurrent investment.</w:t>
      </w:r>
      <w:r w:rsidR="00AA0ECE" w:rsidRPr="00421489">
        <w:rPr>
          <w:rStyle w:val="FootnoteReference"/>
        </w:rPr>
        <w:footnoteReference w:id="6"/>
      </w:r>
    </w:p>
    <w:p w14:paraId="25783DB5" w14:textId="77777777" w:rsidR="00F60279" w:rsidRDefault="00F60279" w:rsidP="00426F9B">
      <w:pPr>
        <w:pStyle w:val="NICCYBodyTest"/>
      </w:pPr>
    </w:p>
    <w:p w14:paraId="10E41EB3" w14:textId="77777777" w:rsidR="005938BF" w:rsidRPr="009B0EA3" w:rsidRDefault="009B0EA3" w:rsidP="009B0EA3">
      <w:pPr>
        <w:pStyle w:val="NICCYBodyText"/>
        <w:rPr>
          <w:sz w:val="20"/>
          <w:szCs w:val="20"/>
        </w:rPr>
      </w:pPr>
      <w:bookmarkStart w:id="31" w:name="_Ref58427245"/>
      <w:r w:rsidRPr="009B0EA3">
        <w:rPr>
          <w:sz w:val="20"/>
          <w:szCs w:val="20"/>
        </w:rPr>
        <w:t xml:space="preserve">Figure </w:t>
      </w:r>
      <w:r w:rsidRPr="009B0EA3">
        <w:rPr>
          <w:sz w:val="20"/>
          <w:szCs w:val="20"/>
        </w:rPr>
        <w:fldChar w:fldCharType="begin"/>
      </w:r>
      <w:r w:rsidRPr="009B0EA3">
        <w:rPr>
          <w:sz w:val="20"/>
          <w:szCs w:val="20"/>
        </w:rPr>
        <w:instrText xml:space="preserve"> SEQ Figure \* ARABIC </w:instrText>
      </w:r>
      <w:r w:rsidRPr="009B0EA3">
        <w:rPr>
          <w:sz w:val="20"/>
          <w:szCs w:val="20"/>
        </w:rPr>
        <w:fldChar w:fldCharType="separate"/>
      </w:r>
      <w:r w:rsidR="0076451B">
        <w:rPr>
          <w:noProof/>
          <w:sz w:val="20"/>
          <w:szCs w:val="20"/>
        </w:rPr>
        <w:t>11</w:t>
      </w:r>
      <w:r w:rsidRPr="009B0EA3">
        <w:rPr>
          <w:sz w:val="20"/>
          <w:szCs w:val="20"/>
        </w:rPr>
        <w:fldChar w:fldCharType="end"/>
      </w:r>
      <w:bookmarkEnd w:id="31"/>
      <w:r w:rsidRPr="009B0EA3">
        <w:rPr>
          <w:sz w:val="20"/>
          <w:szCs w:val="20"/>
        </w:rPr>
        <w:t>: Number of under 18’s waiting more than 13 wks for access to psychological therapies</w:t>
      </w:r>
    </w:p>
    <w:p w14:paraId="1A7A799E" w14:textId="2EA5E5CE" w:rsidR="0028345C" w:rsidRDefault="005A6C75" w:rsidP="00426F9B">
      <w:pPr>
        <w:pStyle w:val="NICCYBodyTest"/>
      </w:pPr>
      <w:r>
        <w:rPr>
          <w:noProof/>
          <w:lang w:eastAsia="en-GB"/>
        </w:rPr>
        <w:drawing>
          <wp:inline distT="0" distB="0" distL="0" distR="0" wp14:anchorId="2D6DE867" wp14:editId="5BCCE589">
            <wp:extent cx="5107150" cy="3064172"/>
            <wp:effectExtent l="0" t="0" r="17780" b="31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986BE7" w14:textId="77777777" w:rsidR="006B1312" w:rsidRDefault="006B1312" w:rsidP="00426F9B">
      <w:pPr>
        <w:pStyle w:val="NICCYBodyTest"/>
      </w:pPr>
    </w:p>
    <w:p w14:paraId="0824CBF4" w14:textId="783CBDDC" w:rsidR="00313FA5" w:rsidRDefault="004276BD" w:rsidP="00313FA5">
      <w:pPr>
        <w:pStyle w:val="NICCYSubline"/>
      </w:pPr>
      <w:r>
        <w:lastRenderedPageBreak/>
        <w:t xml:space="preserve">9.0 </w:t>
      </w:r>
      <w:r w:rsidR="00313FA5">
        <w:t xml:space="preserve">Under 18 </w:t>
      </w:r>
      <w:r w:rsidR="00C8162E">
        <w:t>admissions</w:t>
      </w:r>
      <w:r w:rsidR="00313FA5">
        <w:t xml:space="preserve"> to </w:t>
      </w:r>
      <w:bookmarkStart w:id="32" w:name="adult_ward"/>
      <w:r w:rsidR="00313FA5">
        <w:t>adult ward</w:t>
      </w:r>
      <w:bookmarkEnd w:id="32"/>
    </w:p>
    <w:p w14:paraId="06B0F868" w14:textId="77777777" w:rsidR="00313FA5" w:rsidRDefault="00313FA5" w:rsidP="00313FA5">
      <w:pPr>
        <w:pStyle w:val="NICCYBodyTest"/>
      </w:pPr>
    </w:p>
    <w:p w14:paraId="4E365A10" w14:textId="1CA0208A" w:rsidR="00185863" w:rsidRPr="0030595B" w:rsidRDefault="000D655D" w:rsidP="00185863">
      <w:pPr>
        <w:pStyle w:val="NICCYBodyTest"/>
      </w:pPr>
      <w:r>
        <w:t xml:space="preserve">Data on under 18 admissions to adult wards was requested from the Regulation and Quality Improvement Authority (RQIA). </w:t>
      </w:r>
      <w:r w:rsidR="00313FA5">
        <w:t xml:space="preserve">The number of under 18’s admitted to adult wards has </w:t>
      </w:r>
      <w:r w:rsidR="00C8162E">
        <w:t xml:space="preserve">remained at 6 per year since 2017 </w:t>
      </w:r>
      <w:r w:rsidR="00C8162E" w:rsidRPr="0030595B">
        <w:t xml:space="preserve">/18 </w:t>
      </w:r>
      <w:r w:rsidR="00741575" w:rsidRPr="0030595B">
        <w:t>(</w:t>
      </w:r>
      <w:r w:rsidR="0030595B" w:rsidRPr="0030595B">
        <w:fldChar w:fldCharType="begin"/>
      </w:r>
      <w:r w:rsidR="0030595B" w:rsidRPr="0030595B">
        <w:instrText xml:space="preserve"> REF _Ref58427281 \h </w:instrText>
      </w:r>
      <w:r w:rsidR="0030595B">
        <w:instrText xml:space="preserve"> \* MERGEFORMAT </w:instrText>
      </w:r>
      <w:r w:rsidR="0030595B" w:rsidRPr="0030595B">
        <w:fldChar w:fldCharType="separate"/>
      </w:r>
      <w:r w:rsidR="0030595B" w:rsidRPr="0030595B">
        <w:t xml:space="preserve">Figure </w:t>
      </w:r>
      <w:r w:rsidR="0030595B" w:rsidRPr="0030595B">
        <w:rPr>
          <w:noProof/>
        </w:rPr>
        <w:t>12</w:t>
      </w:r>
      <w:r w:rsidR="0030595B" w:rsidRPr="0030595B">
        <w:fldChar w:fldCharType="end"/>
      </w:r>
      <w:r w:rsidR="00741575" w:rsidRPr="0030595B">
        <w:t>)</w:t>
      </w:r>
      <w:r w:rsidR="00C8162E" w:rsidRPr="0030595B">
        <w:t xml:space="preserve">. </w:t>
      </w:r>
      <w:r w:rsidR="00185863" w:rsidRPr="0030595B">
        <w:t>Furthermore</w:t>
      </w:r>
      <w:r w:rsidR="00185863">
        <w:t xml:space="preserve">, there has been no repeat admissions recorded since 2016/17, the average length of stay has increased across the reporting period but the maximum length of stay has reduced significantly from 100 to 48 days. </w:t>
      </w:r>
      <w:r w:rsidR="00185863" w:rsidRPr="0030595B">
        <w:t>(</w:t>
      </w:r>
      <w:r w:rsidR="0030595B" w:rsidRPr="0030595B">
        <w:fldChar w:fldCharType="begin"/>
      </w:r>
      <w:r w:rsidR="0030595B" w:rsidRPr="0030595B">
        <w:instrText xml:space="preserve"> REF _Ref58427328 \h </w:instrText>
      </w:r>
      <w:r w:rsidR="0030595B">
        <w:instrText xml:space="preserve"> \* MERGEFORMAT </w:instrText>
      </w:r>
      <w:r w:rsidR="0030595B" w:rsidRPr="0030595B">
        <w:fldChar w:fldCharType="separate"/>
      </w:r>
      <w:r w:rsidR="0030595B" w:rsidRPr="0030595B">
        <w:t xml:space="preserve">Table </w:t>
      </w:r>
      <w:r w:rsidR="0030595B" w:rsidRPr="0030595B">
        <w:rPr>
          <w:noProof/>
        </w:rPr>
        <w:t>10</w:t>
      </w:r>
      <w:r w:rsidR="0030595B" w:rsidRPr="0030595B">
        <w:fldChar w:fldCharType="end"/>
      </w:r>
      <w:r w:rsidR="0030595B" w:rsidRPr="0030595B">
        <w:t>)</w:t>
      </w:r>
    </w:p>
    <w:p w14:paraId="1629FF11" w14:textId="14AD8260" w:rsidR="009B0EA3" w:rsidRDefault="009B0EA3" w:rsidP="00185863">
      <w:pPr>
        <w:pStyle w:val="NICCYBodyTest"/>
      </w:pPr>
    </w:p>
    <w:p w14:paraId="5F6F65C7" w14:textId="7A60BACB" w:rsidR="004276BD" w:rsidRDefault="004276BD" w:rsidP="00185863">
      <w:pPr>
        <w:pStyle w:val="NICCYBodyTest"/>
      </w:pPr>
    </w:p>
    <w:p w14:paraId="6BEAF734" w14:textId="5158B2F5" w:rsidR="004276BD" w:rsidRDefault="004276BD" w:rsidP="00185863">
      <w:pPr>
        <w:pStyle w:val="NICCYBodyTest"/>
      </w:pPr>
    </w:p>
    <w:p w14:paraId="52D639B8" w14:textId="7C4219B9" w:rsidR="004276BD" w:rsidRDefault="004276BD" w:rsidP="00185863">
      <w:pPr>
        <w:pStyle w:val="NICCYBodyTest"/>
      </w:pPr>
    </w:p>
    <w:p w14:paraId="6DF802AE" w14:textId="28F40485" w:rsidR="004276BD" w:rsidRDefault="004276BD" w:rsidP="00185863">
      <w:pPr>
        <w:pStyle w:val="NICCYBodyTest"/>
      </w:pPr>
    </w:p>
    <w:p w14:paraId="345E2082" w14:textId="04A33411" w:rsidR="005A6C75" w:rsidRDefault="005A6C75" w:rsidP="00185863">
      <w:pPr>
        <w:pStyle w:val="NICCYBodyTest"/>
      </w:pPr>
    </w:p>
    <w:p w14:paraId="04111E30" w14:textId="15CF1372" w:rsidR="005A6C75" w:rsidRDefault="005A6C75" w:rsidP="00185863">
      <w:pPr>
        <w:pStyle w:val="NICCYBodyTest"/>
      </w:pPr>
    </w:p>
    <w:p w14:paraId="4429CA90" w14:textId="77777777" w:rsidR="005A6C75" w:rsidRDefault="005A6C75" w:rsidP="00185863">
      <w:pPr>
        <w:pStyle w:val="NICCYBodyTest"/>
      </w:pPr>
    </w:p>
    <w:p w14:paraId="34F4BA0B" w14:textId="77777777" w:rsidR="005A6C75" w:rsidRDefault="005A6C75" w:rsidP="00185863">
      <w:pPr>
        <w:pStyle w:val="NICCYBodyTest"/>
      </w:pPr>
    </w:p>
    <w:p w14:paraId="21CF5ED0" w14:textId="77777777" w:rsidR="004276BD" w:rsidRDefault="004276BD" w:rsidP="00185863">
      <w:pPr>
        <w:pStyle w:val="NICCYBodyTest"/>
      </w:pPr>
    </w:p>
    <w:p w14:paraId="642AEE30" w14:textId="77777777" w:rsidR="00741575" w:rsidRPr="009B0EA3" w:rsidRDefault="009B0EA3" w:rsidP="009B0EA3">
      <w:pPr>
        <w:pStyle w:val="NICCYBodyText"/>
        <w:rPr>
          <w:sz w:val="20"/>
          <w:szCs w:val="20"/>
        </w:rPr>
      </w:pPr>
      <w:bookmarkStart w:id="33" w:name="_Ref58427281"/>
      <w:r w:rsidRPr="009B0EA3">
        <w:rPr>
          <w:sz w:val="20"/>
          <w:szCs w:val="20"/>
        </w:rPr>
        <w:t xml:space="preserve">Figure </w:t>
      </w:r>
      <w:r w:rsidRPr="009B0EA3">
        <w:rPr>
          <w:sz w:val="20"/>
          <w:szCs w:val="20"/>
        </w:rPr>
        <w:fldChar w:fldCharType="begin"/>
      </w:r>
      <w:r w:rsidRPr="009B0EA3">
        <w:rPr>
          <w:sz w:val="20"/>
          <w:szCs w:val="20"/>
        </w:rPr>
        <w:instrText xml:space="preserve"> SEQ Figure \* ARABIC </w:instrText>
      </w:r>
      <w:r w:rsidRPr="009B0EA3">
        <w:rPr>
          <w:sz w:val="20"/>
          <w:szCs w:val="20"/>
        </w:rPr>
        <w:fldChar w:fldCharType="separate"/>
      </w:r>
      <w:r w:rsidR="0076451B">
        <w:rPr>
          <w:noProof/>
          <w:sz w:val="20"/>
          <w:szCs w:val="20"/>
        </w:rPr>
        <w:t>12</w:t>
      </w:r>
      <w:r w:rsidRPr="009B0EA3">
        <w:rPr>
          <w:sz w:val="20"/>
          <w:szCs w:val="20"/>
        </w:rPr>
        <w:fldChar w:fldCharType="end"/>
      </w:r>
      <w:bookmarkEnd w:id="33"/>
      <w:r w:rsidRPr="009B0EA3">
        <w:rPr>
          <w:sz w:val="20"/>
          <w:szCs w:val="20"/>
        </w:rPr>
        <w:t>: Regional Admission to Adult Mental health Wards</w:t>
      </w:r>
    </w:p>
    <w:p w14:paraId="5E009E6C" w14:textId="1CDCC33C" w:rsidR="00313FA5" w:rsidRDefault="005A6C75" w:rsidP="00313FA5">
      <w:pPr>
        <w:pStyle w:val="NICCYBodyTest"/>
      </w:pPr>
      <w:r>
        <w:rPr>
          <w:noProof/>
          <w:lang w:eastAsia="en-GB"/>
        </w:rPr>
        <mc:AlternateContent>
          <mc:Choice Requires="wps">
            <w:drawing>
              <wp:anchor distT="0" distB="0" distL="114300" distR="114300" simplePos="0" relativeHeight="251659264" behindDoc="0" locked="0" layoutInCell="1" allowOverlap="1" wp14:anchorId="5C3A90E3" wp14:editId="362B452D">
                <wp:simplePos x="0" y="0"/>
                <wp:positionH relativeFrom="column">
                  <wp:posOffset>2068830</wp:posOffset>
                </wp:positionH>
                <wp:positionV relativeFrom="paragraph">
                  <wp:posOffset>1986466</wp:posOffset>
                </wp:positionV>
                <wp:extent cx="668511" cy="207443"/>
                <wp:effectExtent l="0" t="0" r="17780" b="21590"/>
                <wp:wrapNone/>
                <wp:docPr id="26" name="TextBox 2"/>
                <wp:cNvGraphicFramePr/>
                <a:graphic xmlns:a="http://schemas.openxmlformats.org/drawingml/2006/main">
                  <a:graphicData uri="http://schemas.microsoft.com/office/word/2010/wordprocessingShape">
                    <wps:wsp>
                      <wps:cNvSpPr txBox="1"/>
                      <wps:spPr>
                        <a:xfrm>
                          <a:off x="0" y="0"/>
                          <a:ext cx="668511" cy="20744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03AC7B7" w14:textId="77777777" w:rsidR="00CB077B" w:rsidRPr="005A6C75" w:rsidRDefault="00CB077B" w:rsidP="005A6C75">
                            <w:pPr>
                              <w:pStyle w:val="NormalWeb"/>
                              <w:spacing w:before="0" w:beforeAutospacing="0" w:after="0" w:afterAutospacing="0"/>
                              <w:rPr>
                                <w:rFonts w:ascii="Arial" w:hAnsi="Arial" w:cs="Arial"/>
                                <w:sz w:val="18"/>
                                <w:szCs w:val="18"/>
                              </w:rPr>
                            </w:pPr>
                            <w:r w:rsidRPr="005A6C75">
                              <w:rPr>
                                <w:rFonts w:ascii="Arial" w:hAnsi="Arial" w:cs="Arial"/>
                                <w:color w:val="000000" w:themeColor="dark1"/>
                                <w:sz w:val="18"/>
                                <w:szCs w:val="18"/>
                              </w:rPr>
                              <w:t>*under 5</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C3A90E3" id="_x0000_t202" coordsize="21600,21600" o:spt="202" path="m,l,21600r21600,l21600,xe">
                <v:stroke joinstyle="miter"/>
                <v:path gradientshapeok="t" o:connecttype="rect"/>
              </v:shapetype>
              <v:shape id="TextBox 2" o:spid="_x0000_s1026" type="#_x0000_t202" style="position:absolute;margin-left:162.9pt;margin-top:156.4pt;width:52.6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" fillcolor="white [3201]" strokecolor="#7f7f7f [1601]">
                <v:textbox>
                  <w:txbxContent>
                    <w:p w14:paraId="203AC7B7" w14:textId="77777777" w:rsidR="00CB077B" w:rsidRPr="005A6C75" w:rsidRDefault="00CB077B" w:rsidP="005A6C75">
                      <w:pPr>
                        <w:pStyle w:val="NormalWeb"/>
                        <w:spacing w:before="0" w:beforeAutospacing="0" w:after="0" w:afterAutospacing="0"/>
                        <w:rPr>
                          <w:rFonts w:ascii="Arial" w:hAnsi="Arial" w:cs="Arial"/>
                          <w:sz w:val="18"/>
                          <w:szCs w:val="18"/>
                        </w:rPr>
                      </w:pPr>
                      <w:r w:rsidRPr="005A6C75">
                        <w:rPr>
                          <w:rFonts w:ascii="Arial" w:hAnsi="Arial" w:cs="Arial"/>
                          <w:color w:val="000000" w:themeColor="dark1"/>
                          <w:sz w:val="18"/>
                          <w:szCs w:val="18"/>
                        </w:rPr>
                        <w:t>*under 5</w:t>
                      </w:r>
                    </w:p>
                  </w:txbxContent>
                </v:textbox>
              </v:shape>
            </w:pict>
          </mc:Fallback>
        </mc:AlternateContent>
      </w:r>
      <w:r w:rsidR="00C8162E">
        <w:rPr>
          <w:noProof/>
          <w:lang w:eastAsia="en-GB"/>
        </w:rPr>
        <w:drawing>
          <wp:inline distT="0" distB="0" distL="0" distR="0" wp14:anchorId="11503F0A" wp14:editId="4E8F28C4">
            <wp:extent cx="4410075" cy="2650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3436" cy="2670606"/>
                    </a:xfrm>
                    <a:prstGeom prst="rect">
                      <a:avLst/>
                    </a:prstGeom>
                    <a:noFill/>
                  </pic:spPr>
                </pic:pic>
              </a:graphicData>
            </a:graphic>
          </wp:inline>
        </w:drawing>
      </w:r>
    </w:p>
    <w:p w14:paraId="58CA8028" w14:textId="77777777" w:rsidR="00741575" w:rsidRPr="0076451B" w:rsidRDefault="00741575" w:rsidP="0076451B">
      <w:pPr>
        <w:pStyle w:val="NICCYBodyText"/>
        <w:rPr>
          <w:sz w:val="20"/>
          <w:szCs w:val="20"/>
        </w:rPr>
      </w:pPr>
    </w:p>
    <w:p w14:paraId="6BA36016" w14:textId="77777777" w:rsidR="00185863" w:rsidRPr="0076451B" w:rsidRDefault="0076451B" w:rsidP="0076451B">
      <w:pPr>
        <w:pStyle w:val="NICCYBodyText"/>
        <w:rPr>
          <w:rFonts w:asciiTheme="minorHAnsi" w:hAnsiTheme="minorHAnsi" w:cstheme="minorBidi"/>
          <w:color w:val="auto"/>
          <w:sz w:val="20"/>
          <w:szCs w:val="20"/>
          <w:lang w:val="en-US"/>
        </w:rPr>
      </w:pPr>
      <w:bookmarkStart w:id="34" w:name="_Ref58427328"/>
      <w:r w:rsidRPr="0076451B">
        <w:rPr>
          <w:sz w:val="20"/>
          <w:szCs w:val="20"/>
        </w:rPr>
        <w:t xml:space="preserve">Table </w:t>
      </w:r>
      <w:r w:rsidRPr="0076451B">
        <w:rPr>
          <w:sz w:val="20"/>
          <w:szCs w:val="20"/>
        </w:rPr>
        <w:fldChar w:fldCharType="begin"/>
      </w:r>
      <w:r w:rsidRPr="0076451B">
        <w:rPr>
          <w:sz w:val="20"/>
          <w:szCs w:val="20"/>
        </w:rPr>
        <w:instrText xml:space="preserve"> SEQ Table \* ARABIC </w:instrText>
      </w:r>
      <w:r w:rsidRPr="0076451B">
        <w:rPr>
          <w:sz w:val="20"/>
          <w:szCs w:val="20"/>
        </w:rPr>
        <w:fldChar w:fldCharType="separate"/>
      </w:r>
      <w:r w:rsidR="00652AC5">
        <w:rPr>
          <w:noProof/>
          <w:sz w:val="20"/>
          <w:szCs w:val="20"/>
        </w:rPr>
        <w:t>10</w:t>
      </w:r>
      <w:r w:rsidRPr="0076451B">
        <w:rPr>
          <w:sz w:val="20"/>
          <w:szCs w:val="20"/>
        </w:rPr>
        <w:fldChar w:fldCharType="end"/>
      </w:r>
      <w:bookmarkEnd w:id="34"/>
      <w:r w:rsidRPr="0076451B">
        <w:rPr>
          <w:sz w:val="20"/>
          <w:szCs w:val="20"/>
        </w:rPr>
        <w:t>: Under 18's in adult mental health wards: length of stay &amp; repeat admissions (regional figs)</w:t>
      </w:r>
    </w:p>
    <w:tbl>
      <w:tblPr>
        <w:tblW w:w="9845" w:type="dxa"/>
        <w:tblLook w:val="04A0" w:firstRow="1" w:lastRow="0" w:firstColumn="1" w:lastColumn="0" w:noHBand="0" w:noVBand="1"/>
      </w:tblPr>
      <w:tblGrid>
        <w:gridCol w:w="3735"/>
        <w:gridCol w:w="1798"/>
        <w:gridCol w:w="105"/>
        <w:gridCol w:w="1871"/>
        <w:gridCol w:w="105"/>
        <w:gridCol w:w="2126"/>
        <w:gridCol w:w="105"/>
      </w:tblGrid>
      <w:tr w:rsidR="00185863" w:rsidRPr="0076451B" w14:paraId="3AC42E69" w14:textId="77777777" w:rsidTr="00185863">
        <w:trPr>
          <w:trHeight w:val="615"/>
        </w:trPr>
        <w:tc>
          <w:tcPr>
            <w:tcW w:w="3735" w:type="dxa"/>
            <w:tcBorders>
              <w:top w:val="single" w:sz="8" w:space="0" w:color="auto"/>
              <w:left w:val="nil"/>
              <w:bottom w:val="single" w:sz="8" w:space="0" w:color="auto"/>
              <w:right w:val="nil"/>
            </w:tcBorders>
            <w:shd w:val="clear" w:color="auto" w:fill="auto"/>
            <w:noWrap/>
            <w:vAlign w:val="bottom"/>
            <w:hideMark/>
          </w:tcPr>
          <w:p w14:paraId="75AA18DC"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 xml:space="preserve">Year </w:t>
            </w:r>
          </w:p>
        </w:tc>
        <w:tc>
          <w:tcPr>
            <w:tcW w:w="1903" w:type="dxa"/>
            <w:gridSpan w:val="2"/>
            <w:tcBorders>
              <w:top w:val="single" w:sz="8" w:space="0" w:color="auto"/>
              <w:left w:val="nil"/>
              <w:bottom w:val="single" w:sz="8" w:space="0" w:color="auto"/>
              <w:right w:val="nil"/>
            </w:tcBorders>
            <w:shd w:val="clear" w:color="auto" w:fill="auto"/>
            <w:vAlign w:val="bottom"/>
            <w:hideMark/>
          </w:tcPr>
          <w:p w14:paraId="1988AD48"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Average length of stay (Days)</w:t>
            </w:r>
          </w:p>
        </w:tc>
        <w:tc>
          <w:tcPr>
            <w:tcW w:w="1976" w:type="dxa"/>
            <w:gridSpan w:val="2"/>
            <w:tcBorders>
              <w:top w:val="single" w:sz="8" w:space="0" w:color="auto"/>
              <w:left w:val="nil"/>
              <w:bottom w:val="single" w:sz="8" w:space="0" w:color="auto"/>
              <w:right w:val="nil"/>
            </w:tcBorders>
            <w:shd w:val="clear" w:color="auto" w:fill="auto"/>
            <w:vAlign w:val="bottom"/>
            <w:hideMark/>
          </w:tcPr>
          <w:p w14:paraId="2B6C524A"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Minimum/ Maximum Stay</w:t>
            </w:r>
          </w:p>
        </w:tc>
        <w:tc>
          <w:tcPr>
            <w:tcW w:w="2231" w:type="dxa"/>
            <w:gridSpan w:val="2"/>
            <w:tcBorders>
              <w:top w:val="single" w:sz="8" w:space="0" w:color="auto"/>
              <w:left w:val="nil"/>
              <w:bottom w:val="single" w:sz="8" w:space="0" w:color="auto"/>
              <w:right w:val="nil"/>
            </w:tcBorders>
            <w:shd w:val="clear" w:color="auto" w:fill="auto"/>
            <w:vAlign w:val="bottom"/>
            <w:hideMark/>
          </w:tcPr>
          <w:p w14:paraId="759D9E05"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 xml:space="preserve">No. of repeat admissions </w:t>
            </w:r>
          </w:p>
        </w:tc>
      </w:tr>
      <w:tr w:rsidR="00185863" w:rsidRPr="0076451B" w14:paraId="20A5D066" w14:textId="77777777" w:rsidTr="00185863">
        <w:trPr>
          <w:trHeight w:val="315"/>
        </w:trPr>
        <w:tc>
          <w:tcPr>
            <w:tcW w:w="3735" w:type="dxa"/>
            <w:tcBorders>
              <w:top w:val="nil"/>
              <w:left w:val="nil"/>
              <w:bottom w:val="nil"/>
              <w:right w:val="nil"/>
            </w:tcBorders>
            <w:shd w:val="clear" w:color="auto" w:fill="auto"/>
            <w:noWrap/>
            <w:vAlign w:val="bottom"/>
            <w:hideMark/>
          </w:tcPr>
          <w:p w14:paraId="13355115"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2014-15</w:t>
            </w:r>
          </w:p>
        </w:tc>
        <w:tc>
          <w:tcPr>
            <w:tcW w:w="1903" w:type="dxa"/>
            <w:gridSpan w:val="2"/>
            <w:tcBorders>
              <w:top w:val="nil"/>
              <w:left w:val="nil"/>
              <w:bottom w:val="nil"/>
              <w:right w:val="nil"/>
            </w:tcBorders>
            <w:shd w:val="clear" w:color="auto" w:fill="auto"/>
            <w:noWrap/>
            <w:vAlign w:val="bottom"/>
            <w:hideMark/>
          </w:tcPr>
          <w:p w14:paraId="7F744B6C"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17</w:t>
            </w:r>
          </w:p>
        </w:tc>
        <w:tc>
          <w:tcPr>
            <w:tcW w:w="1976" w:type="dxa"/>
            <w:gridSpan w:val="2"/>
            <w:tcBorders>
              <w:top w:val="nil"/>
              <w:left w:val="nil"/>
              <w:bottom w:val="nil"/>
              <w:right w:val="nil"/>
            </w:tcBorders>
            <w:shd w:val="clear" w:color="auto" w:fill="auto"/>
            <w:noWrap/>
            <w:vAlign w:val="bottom"/>
            <w:hideMark/>
          </w:tcPr>
          <w:p w14:paraId="2B7E624D"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1- 100 days</w:t>
            </w:r>
          </w:p>
        </w:tc>
        <w:tc>
          <w:tcPr>
            <w:tcW w:w="2231" w:type="dxa"/>
            <w:gridSpan w:val="2"/>
            <w:tcBorders>
              <w:top w:val="nil"/>
              <w:left w:val="nil"/>
              <w:bottom w:val="nil"/>
              <w:right w:val="nil"/>
            </w:tcBorders>
            <w:shd w:val="clear" w:color="auto" w:fill="auto"/>
            <w:noWrap/>
            <w:vAlign w:val="bottom"/>
            <w:hideMark/>
          </w:tcPr>
          <w:p w14:paraId="2A8DE563"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w:t>
            </w:r>
          </w:p>
        </w:tc>
      </w:tr>
      <w:tr w:rsidR="00185863" w:rsidRPr="0076451B" w14:paraId="128D1F35" w14:textId="77777777" w:rsidTr="00185863">
        <w:trPr>
          <w:trHeight w:val="315"/>
        </w:trPr>
        <w:tc>
          <w:tcPr>
            <w:tcW w:w="3735" w:type="dxa"/>
            <w:tcBorders>
              <w:top w:val="nil"/>
              <w:left w:val="nil"/>
              <w:bottom w:val="nil"/>
              <w:right w:val="nil"/>
            </w:tcBorders>
            <w:shd w:val="clear" w:color="auto" w:fill="auto"/>
            <w:noWrap/>
            <w:vAlign w:val="bottom"/>
            <w:hideMark/>
          </w:tcPr>
          <w:p w14:paraId="14388CD5"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lastRenderedPageBreak/>
              <w:t>2015-16</w:t>
            </w:r>
          </w:p>
        </w:tc>
        <w:tc>
          <w:tcPr>
            <w:tcW w:w="1903" w:type="dxa"/>
            <w:gridSpan w:val="2"/>
            <w:tcBorders>
              <w:top w:val="nil"/>
              <w:left w:val="nil"/>
              <w:bottom w:val="nil"/>
              <w:right w:val="nil"/>
            </w:tcBorders>
            <w:shd w:val="clear" w:color="auto" w:fill="auto"/>
            <w:noWrap/>
            <w:vAlign w:val="bottom"/>
            <w:hideMark/>
          </w:tcPr>
          <w:p w14:paraId="587F8E8F"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7</w:t>
            </w:r>
          </w:p>
        </w:tc>
        <w:tc>
          <w:tcPr>
            <w:tcW w:w="1976" w:type="dxa"/>
            <w:gridSpan w:val="2"/>
            <w:tcBorders>
              <w:top w:val="nil"/>
              <w:left w:val="nil"/>
              <w:bottom w:val="nil"/>
              <w:right w:val="nil"/>
            </w:tcBorders>
            <w:shd w:val="clear" w:color="auto" w:fill="auto"/>
            <w:noWrap/>
            <w:vAlign w:val="bottom"/>
            <w:hideMark/>
          </w:tcPr>
          <w:p w14:paraId="308CF338"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2- 26 days</w:t>
            </w:r>
          </w:p>
        </w:tc>
        <w:tc>
          <w:tcPr>
            <w:tcW w:w="2231" w:type="dxa"/>
            <w:gridSpan w:val="2"/>
            <w:tcBorders>
              <w:top w:val="nil"/>
              <w:left w:val="nil"/>
              <w:bottom w:val="nil"/>
              <w:right w:val="nil"/>
            </w:tcBorders>
            <w:shd w:val="clear" w:color="auto" w:fill="auto"/>
            <w:noWrap/>
            <w:vAlign w:val="bottom"/>
            <w:hideMark/>
          </w:tcPr>
          <w:p w14:paraId="2A5B7B12"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6</w:t>
            </w:r>
          </w:p>
        </w:tc>
      </w:tr>
      <w:tr w:rsidR="00185863" w:rsidRPr="0076451B" w14:paraId="6872E4FB" w14:textId="77777777" w:rsidTr="00185863">
        <w:trPr>
          <w:trHeight w:val="315"/>
        </w:trPr>
        <w:tc>
          <w:tcPr>
            <w:tcW w:w="3735" w:type="dxa"/>
            <w:tcBorders>
              <w:top w:val="nil"/>
              <w:left w:val="nil"/>
              <w:bottom w:val="nil"/>
              <w:right w:val="nil"/>
            </w:tcBorders>
            <w:shd w:val="clear" w:color="auto" w:fill="auto"/>
            <w:noWrap/>
            <w:vAlign w:val="bottom"/>
            <w:hideMark/>
          </w:tcPr>
          <w:p w14:paraId="4AF2FA89"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2016-17</w:t>
            </w:r>
          </w:p>
        </w:tc>
        <w:tc>
          <w:tcPr>
            <w:tcW w:w="1903" w:type="dxa"/>
            <w:gridSpan w:val="2"/>
            <w:tcBorders>
              <w:top w:val="nil"/>
              <w:left w:val="nil"/>
              <w:bottom w:val="nil"/>
              <w:right w:val="nil"/>
            </w:tcBorders>
            <w:shd w:val="clear" w:color="auto" w:fill="auto"/>
            <w:noWrap/>
            <w:vAlign w:val="bottom"/>
            <w:hideMark/>
          </w:tcPr>
          <w:p w14:paraId="66824225"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12.5</w:t>
            </w:r>
          </w:p>
        </w:tc>
        <w:tc>
          <w:tcPr>
            <w:tcW w:w="1976" w:type="dxa"/>
            <w:gridSpan w:val="2"/>
            <w:tcBorders>
              <w:top w:val="nil"/>
              <w:left w:val="nil"/>
              <w:bottom w:val="nil"/>
              <w:right w:val="nil"/>
            </w:tcBorders>
            <w:shd w:val="clear" w:color="auto" w:fill="auto"/>
            <w:noWrap/>
            <w:vAlign w:val="bottom"/>
            <w:hideMark/>
          </w:tcPr>
          <w:p w14:paraId="2E306042"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4-21 days</w:t>
            </w:r>
          </w:p>
        </w:tc>
        <w:tc>
          <w:tcPr>
            <w:tcW w:w="2231" w:type="dxa"/>
            <w:gridSpan w:val="2"/>
            <w:tcBorders>
              <w:top w:val="nil"/>
              <w:left w:val="nil"/>
              <w:bottom w:val="nil"/>
              <w:right w:val="nil"/>
            </w:tcBorders>
            <w:shd w:val="clear" w:color="auto" w:fill="auto"/>
            <w:noWrap/>
            <w:vAlign w:val="bottom"/>
            <w:hideMark/>
          </w:tcPr>
          <w:p w14:paraId="10E97D26"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0</w:t>
            </w:r>
          </w:p>
        </w:tc>
      </w:tr>
      <w:tr w:rsidR="00185863" w:rsidRPr="0076451B" w14:paraId="0D1DDE30" w14:textId="77777777" w:rsidTr="00185863">
        <w:trPr>
          <w:trHeight w:val="315"/>
        </w:trPr>
        <w:tc>
          <w:tcPr>
            <w:tcW w:w="3735" w:type="dxa"/>
            <w:tcBorders>
              <w:top w:val="nil"/>
              <w:left w:val="nil"/>
              <w:bottom w:val="nil"/>
              <w:right w:val="nil"/>
            </w:tcBorders>
            <w:shd w:val="clear" w:color="auto" w:fill="auto"/>
            <w:noWrap/>
            <w:vAlign w:val="bottom"/>
            <w:hideMark/>
          </w:tcPr>
          <w:p w14:paraId="1AC76AA5"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2017-18</w:t>
            </w:r>
          </w:p>
        </w:tc>
        <w:tc>
          <w:tcPr>
            <w:tcW w:w="1903" w:type="dxa"/>
            <w:gridSpan w:val="2"/>
            <w:tcBorders>
              <w:top w:val="nil"/>
              <w:left w:val="nil"/>
              <w:bottom w:val="nil"/>
              <w:right w:val="nil"/>
            </w:tcBorders>
            <w:shd w:val="clear" w:color="auto" w:fill="auto"/>
            <w:noWrap/>
            <w:vAlign w:val="bottom"/>
            <w:hideMark/>
          </w:tcPr>
          <w:p w14:paraId="6F530046"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12</w:t>
            </w:r>
          </w:p>
        </w:tc>
        <w:tc>
          <w:tcPr>
            <w:tcW w:w="1976" w:type="dxa"/>
            <w:gridSpan w:val="2"/>
            <w:tcBorders>
              <w:top w:val="nil"/>
              <w:left w:val="nil"/>
              <w:bottom w:val="nil"/>
              <w:right w:val="nil"/>
            </w:tcBorders>
            <w:shd w:val="clear" w:color="auto" w:fill="auto"/>
            <w:noWrap/>
            <w:vAlign w:val="bottom"/>
            <w:hideMark/>
          </w:tcPr>
          <w:p w14:paraId="5E3E7071"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2-25 days</w:t>
            </w:r>
          </w:p>
        </w:tc>
        <w:tc>
          <w:tcPr>
            <w:tcW w:w="2231" w:type="dxa"/>
            <w:gridSpan w:val="2"/>
            <w:tcBorders>
              <w:top w:val="nil"/>
              <w:left w:val="nil"/>
              <w:bottom w:val="nil"/>
              <w:right w:val="nil"/>
            </w:tcBorders>
            <w:shd w:val="clear" w:color="auto" w:fill="auto"/>
            <w:noWrap/>
            <w:vAlign w:val="bottom"/>
            <w:hideMark/>
          </w:tcPr>
          <w:p w14:paraId="1C6C985D"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0</w:t>
            </w:r>
          </w:p>
        </w:tc>
      </w:tr>
      <w:tr w:rsidR="00185863" w:rsidRPr="0076451B" w14:paraId="01235763" w14:textId="77777777" w:rsidTr="00185863">
        <w:trPr>
          <w:trHeight w:val="330"/>
        </w:trPr>
        <w:tc>
          <w:tcPr>
            <w:tcW w:w="3735" w:type="dxa"/>
            <w:tcBorders>
              <w:top w:val="nil"/>
              <w:left w:val="nil"/>
              <w:bottom w:val="single" w:sz="8" w:space="0" w:color="auto"/>
              <w:right w:val="nil"/>
            </w:tcBorders>
            <w:shd w:val="clear" w:color="auto" w:fill="auto"/>
            <w:noWrap/>
            <w:vAlign w:val="bottom"/>
            <w:hideMark/>
          </w:tcPr>
          <w:p w14:paraId="4DE185F8" w14:textId="77777777" w:rsidR="00185863" w:rsidRPr="0076451B" w:rsidRDefault="00185863" w:rsidP="0076451B">
            <w:pPr>
              <w:pStyle w:val="NICCYBodyText"/>
              <w:rPr>
                <w:b/>
                <w:bCs/>
                <w:color w:val="000000"/>
                <w:sz w:val="20"/>
                <w:szCs w:val="20"/>
                <w:lang w:eastAsia="en-GB"/>
              </w:rPr>
            </w:pPr>
            <w:r w:rsidRPr="0076451B">
              <w:rPr>
                <w:b/>
                <w:bCs/>
                <w:color w:val="000000"/>
                <w:sz w:val="20"/>
                <w:szCs w:val="20"/>
                <w:lang w:eastAsia="en-GB"/>
              </w:rPr>
              <w:t>2018-19</w:t>
            </w:r>
          </w:p>
        </w:tc>
        <w:tc>
          <w:tcPr>
            <w:tcW w:w="1903" w:type="dxa"/>
            <w:gridSpan w:val="2"/>
            <w:tcBorders>
              <w:top w:val="nil"/>
              <w:left w:val="nil"/>
              <w:bottom w:val="single" w:sz="8" w:space="0" w:color="auto"/>
              <w:right w:val="nil"/>
            </w:tcBorders>
            <w:shd w:val="clear" w:color="auto" w:fill="auto"/>
            <w:noWrap/>
            <w:vAlign w:val="bottom"/>
            <w:hideMark/>
          </w:tcPr>
          <w:p w14:paraId="5FDD4D37"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23</w:t>
            </w:r>
          </w:p>
        </w:tc>
        <w:tc>
          <w:tcPr>
            <w:tcW w:w="1976" w:type="dxa"/>
            <w:gridSpan w:val="2"/>
            <w:tcBorders>
              <w:top w:val="nil"/>
              <w:left w:val="nil"/>
              <w:bottom w:val="single" w:sz="8" w:space="0" w:color="auto"/>
              <w:right w:val="nil"/>
            </w:tcBorders>
            <w:shd w:val="clear" w:color="auto" w:fill="auto"/>
            <w:noWrap/>
            <w:vAlign w:val="bottom"/>
            <w:hideMark/>
          </w:tcPr>
          <w:p w14:paraId="47E813D1"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8-48 days</w:t>
            </w:r>
          </w:p>
        </w:tc>
        <w:tc>
          <w:tcPr>
            <w:tcW w:w="2231" w:type="dxa"/>
            <w:gridSpan w:val="2"/>
            <w:tcBorders>
              <w:top w:val="nil"/>
              <w:left w:val="nil"/>
              <w:bottom w:val="single" w:sz="8" w:space="0" w:color="auto"/>
              <w:right w:val="nil"/>
            </w:tcBorders>
            <w:shd w:val="clear" w:color="auto" w:fill="auto"/>
            <w:noWrap/>
            <w:vAlign w:val="bottom"/>
            <w:hideMark/>
          </w:tcPr>
          <w:p w14:paraId="2D4D14CA" w14:textId="77777777" w:rsidR="00185863" w:rsidRPr="0076451B" w:rsidRDefault="00185863" w:rsidP="0076451B">
            <w:pPr>
              <w:pStyle w:val="NICCYBodyText"/>
              <w:rPr>
                <w:color w:val="000000"/>
                <w:sz w:val="20"/>
                <w:szCs w:val="20"/>
                <w:lang w:eastAsia="en-GB"/>
              </w:rPr>
            </w:pPr>
            <w:r w:rsidRPr="0076451B">
              <w:rPr>
                <w:color w:val="000000"/>
                <w:sz w:val="20"/>
                <w:szCs w:val="20"/>
                <w:lang w:eastAsia="en-GB"/>
              </w:rPr>
              <w:t>0</w:t>
            </w:r>
          </w:p>
        </w:tc>
      </w:tr>
      <w:tr w:rsidR="00185863" w:rsidRPr="0076451B" w14:paraId="0AB58AC7" w14:textId="77777777" w:rsidTr="005A6C75">
        <w:trPr>
          <w:gridAfter w:val="1"/>
          <w:wAfter w:w="105" w:type="dxa"/>
          <w:trHeight w:val="300"/>
        </w:trPr>
        <w:tc>
          <w:tcPr>
            <w:tcW w:w="3735" w:type="dxa"/>
            <w:tcBorders>
              <w:top w:val="nil"/>
              <w:left w:val="nil"/>
              <w:bottom w:val="nil"/>
              <w:right w:val="nil"/>
            </w:tcBorders>
            <w:shd w:val="clear" w:color="auto" w:fill="auto"/>
            <w:noWrap/>
            <w:vAlign w:val="bottom"/>
            <w:hideMark/>
          </w:tcPr>
          <w:p w14:paraId="43DC27D0" w14:textId="5B3A10C9" w:rsidR="00185863" w:rsidRPr="0076451B" w:rsidRDefault="00185863" w:rsidP="0076451B">
            <w:pPr>
              <w:pStyle w:val="NICCYBodyText"/>
              <w:rPr>
                <w:i/>
                <w:iCs/>
                <w:color w:val="000000"/>
                <w:sz w:val="20"/>
                <w:szCs w:val="20"/>
                <w:lang w:eastAsia="en-GB"/>
              </w:rPr>
            </w:pPr>
            <w:r w:rsidRPr="0076451B">
              <w:rPr>
                <w:i/>
                <w:iCs/>
                <w:color w:val="000000"/>
                <w:sz w:val="20"/>
                <w:szCs w:val="20"/>
                <w:lang w:eastAsia="en-GB"/>
              </w:rPr>
              <w:t>*less than 5</w:t>
            </w:r>
            <w:r w:rsidR="005A6C75">
              <w:rPr>
                <w:i/>
                <w:iCs/>
                <w:color w:val="000000"/>
                <w:sz w:val="20"/>
                <w:szCs w:val="20"/>
                <w:lang w:eastAsia="en-GB"/>
              </w:rPr>
              <w:t xml:space="preserve"> repeat admissions in 14-15</w:t>
            </w:r>
          </w:p>
        </w:tc>
        <w:tc>
          <w:tcPr>
            <w:tcW w:w="1798" w:type="dxa"/>
            <w:tcBorders>
              <w:top w:val="nil"/>
              <w:left w:val="nil"/>
              <w:bottom w:val="nil"/>
              <w:right w:val="nil"/>
            </w:tcBorders>
            <w:shd w:val="clear" w:color="auto" w:fill="auto"/>
            <w:noWrap/>
            <w:vAlign w:val="bottom"/>
            <w:hideMark/>
          </w:tcPr>
          <w:p w14:paraId="6FF02EE7" w14:textId="77777777" w:rsidR="00185863" w:rsidRPr="0076451B" w:rsidRDefault="00185863" w:rsidP="0076451B">
            <w:pPr>
              <w:pStyle w:val="NICCYBodyText"/>
              <w:rPr>
                <w:i/>
                <w:iCs/>
                <w:color w:val="000000"/>
                <w:sz w:val="20"/>
                <w:szCs w:val="20"/>
                <w:lang w:eastAsia="en-GB"/>
              </w:rPr>
            </w:pPr>
          </w:p>
        </w:tc>
        <w:tc>
          <w:tcPr>
            <w:tcW w:w="1976" w:type="dxa"/>
            <w:gridSpan w:val="2"/>
            <w:tcBorders>
              <w:top w:val="nil"/>
              <w:left w:val="nil"/>
              <w:bottom w:val="nil"/>
              <w:right w:val="nil"/>
            </w:tcBorders>
            <w:shd w:val="clear" w:color="auto" w:fill="auto"/>
            <w:noWrap/>
            <w:vAlign w:val="bottom"/>
            <w:hideMark/>
          </w:tcPr>
          <w:p w14:paraId="6C443F23" w14:textId="77777777" w:rsidR="00185863" w:rsidRPr="0076451B" w:rsidRDefault="00185863" w:rsidP="0076451B">
            <w:pPr>
              <w:pStyle w:val="NICCYBodyText"/>
              <w:rPr>
                <w:sz w:val="20"/>
                <w:szCs w:val="20"/>
                <w:lang w:eastAsia="en-GB"/>
              </w:rPr>
            </w:pPr>
          </w:p>
        </w:tc>
        <w:tc>
          <w:tcPr>
            <w:tcW w:w="2231" w:type="dxa"/>
            <w:gridSpan w:val="2"/>
            <w:tcBorders>
              <w:top w:val="nil"/>
              <w:left w:val="nil"/>
              <w:bottom w:val="nil"/>
              <w:right w:val="nil"/>
            </w:tcBorders>
            <w:shd w:val="clear" w:color="auto" w:fill="auto"/>
            <w:noWrap/>
            <w:vAlign w:val="bottom"/>
            <w:hideMark/>
          </w:tcPr>
          <w:p w14:paraId="11371F39" w14:textId="77777777" w:rsidR="00185863" w:rsidRPr="0076451B" w:rsidRDefault="00185863" w:rsidP="0076451B">
            <w:pPr>
              <w:pStyle w:val="NICCYBodyText"/>
              <w:rPr>
                <w:sz w:val="20"/>
                <w:szCs w:val="20"/>
                <w:lang w:eastAsia="en-GB"/>
              </w:rPr>
            </w:pPr>
          </w:p>
        </w:tc>
      </w:tr>
      <w:tr w:rsidR="00185863" w:rsidRPr="0076451B" w14:paraId="2EFC9FC8" w14:textId="77777777" w:rsidTr="00185863">
        <w:trPr>
          <w:trHeight w:val="300"/>
        </w:trPr>
        <w:tc>
          <w:tcPr>
            <w:tcW w:w="9845" w:type="dxa"/>
            <w:gridSpan w:val="7"/>
            <w:tcBorders>
              <w:top w:val="nil"/>
              <w:left w:val="nil"/>
              <w:bottom w:val="nil"/>
              <w:right w:val="nil"/>
            </w:tcBorders>
            <w:shd w:val="clear" w:color="auto" w:fill="auto"/>
            <w:noWrap/>
            <w:vAlign w:val="center"/>
            <w:hideMark/>
          </w:tcPr>
          <w:p w14:paraId="7199A931" w14:textId="77777777" w:rsidR="00185863" w:rsidRPr="0076451B" w:rsidRDefault="00185863" w:rsidP="0076451B">
            <w:pPr>
              <w:pStyle w:val="NICCYBodyText"/>
              <w:rPr>
                <w:i/>
                <w:iCs/>
                <w:sz w:val="20"/>
                <w:szCs w:val="20"/>
                <w:lang w:eastAsia="en-GB"/>
              </w:rPr>
            </w:pPr>
            <w:r w:rsidRPr="0076451B">
              <w:rPr>
                <w:i/>
                <w:iCs/>
                <w:sz w:val="20"/>
                <w:szCs w:val="20"/>
                <w:lang w:eastAsia="en-GB"/>
              </w:rPr>
              <w:t>^ one young person remained in an adult ward for 48 days which raised the average to 23 in 2018/19</w:t>
            </w:r>
          </w:p>
        </w:tc>
      </w:tr>
    </w:tbl>
    <w:p w14:paraId="2C8A938C" w14:textId="77777777" w:rsidR="007662CB" w:rsidRDefault="007662CB" w:rsidP="0076451B">
      <w:pPr>
        <w:pStyle w:val="NICCYBodyText"/>
      </w:pPr>
    </w:p>
    <w:p w14:paraId="4F9A39CF" w14:textId="7B224663" w:rsidR="008579B6" w:rsidRDefault="004276BD" w:rsidP="008579B6">
      <w:pPr>
        <w:pStyle w:val="NICCYSubline"/>
      </w:pPr>
      <w:bookmarkStart w:id="35" w:name="Beechcroft"/>
      <w:r>
        <w:t xml:space="preserve">10.0 </w:t>
      </w:r>
      <w:r w:rsidR="008579B6">
        <w:t xml:space="preserve">Beechcroft </w:t>
      </w:r>
    </w:p>
    <w:bookmarkEnd w:id="35"/>
    <w:p w14:paraId="6AA894EF" w14:textId="77777777" w:rsidR="008579B6" w:rsidRDefault="008579B6" w:rsidP="00313FA5">
      <w:pPr>
        <w:pStyle w:val="NICCYBodyTest"/>
      </w:pPr>
    </w:p>
    <w:p w14:paraId="606693C0" w14:textId="77777777" w:rsidR="00AD6BC9" w:rsidRDefault="0030595B" w:rsidP="00313FA5">
      <w:pPr>
        <w:pStyle w:val="NICCYBodyTest"/>
      </w:pPr>
      <w:r w:rsidRPr="0030595B">
        <w:fldChar w:fldCharType="begin"/>
      </w:r>
      <w:r w:rsidRPr="0030595B">
        <w:instrText xml:space="preserve"> REF _Ref58427361 \h </w:instrText>
      </w:r>
      <w:r>
        <w:instrText xml:space="preserve"> \* MERGEFORMAT </w:instrText>
      </w:r>
      <w:r w:rsidRPr="0030595B">
        <w:fldChar w:fldCharType="separate"/>
      </w:r>
      <w:r w:rsidRPr="0030595B">
        <w:t xml:space="preserve">Figure </w:t>
      </w:r>
      <w:r w:rsidRPr="0030595B">
        <w:rPr>
          <w:noProof/>
        </w:rPr>
        <w:t>13</w:t>
      </w:r>
      <w:r w:rsidRPr="0030595B">
        <w:fldChar w:fldCharType="end"/>
      </w:r>
      <w:r w:rsidRPr="0030595B">
        <w:t xml:space="preserve"> </w:t>
      </w:r>
      <w:r w:rsidR="00AD6BC9" w:rsidRPr="0030595B">
        <w:t>shows th</w:t>
      </w:r>
      <w:r w:rsidR="00AD6BC9">
        <w:t>e annual admission and discharges from Beechcroft between 2013 and 2019</w:t>
      </w:r>
      <w:r w:rsidR="007832FD">
        <w:t>.</w:t>
      </w:r>
      <w:r w:rsidR="006714BD">
        <w:t xml:space="preserve"> </w:t>
      </w:r>
      <w:r w:rsidR="00FE2B31">
        <w:t xml:space="preserve">The figures </w:t>
      </w:r>
      <w:r w:rsidR="00B867D3">
        <w:t xml:space="preserve">show that </w:t>
      </w:r>
      <w:r w:rsidR="00DE4EE2">
        <w:t xml:space="preserve">annual </w:t>
      </w:r>
      <w:r w:rsidR="00B867D3">
        <w:t>admissions</w:t>
      </w:r>
      <w:r w:rsidR="00F94E35">
        <w:t xml:space="preserve"> have increased across the period whilst </w:t>
      </w:r>
      <w:r w:rsidR="00DE4EE2">
        <w:t>annual rates of discharge</w:t>
      </w:r>
      <w:r w:rsidR="00F94E35">
        <w:t xml:space="preserve"> have fallen</w:t>
      </w:r>
      <w:r w:rsidR="00F94E35" w:rsidRPr="0030595B">
        <w:t>.</w:t>
      </w:r>
      <w:r w:rsidR="008B4347" w:rsidRPr="0030595B">
        <w:t xml:space="preserve"> </w:t>
      </w:r>
      <w:r w:rsidRPr="0030595B">
        <w:fldChar w:fldCharType="begin"/>
      </w:r>
      <w:r w:rsidRPr="0030595B">
        <w:instrText xml:space="preserve"> REF _Ref58427389 \h </w:instrText>
      </w:r>
      <w:r>
        <w:instrText xml:space="preserve"> \* MERGEFORMAT </w:instrText>
      </w:r>
      <w:r w:rsidRPr="0030595B">
        <w:fldChar w:fldCharType="separate"/>
      </w:r>
      <w:r w:rsidRPr="0030595B">
        <w:t xml:space="preserve">Table </w:t>
      </w:r>
      <w:r w:rsidRPr="0030595B">
        <w:rPr>
          <w:noProof/>
        </w:rPr>
        <w:t>11</w:t>
      </w:r>
      <w:r w:rsidRPr="0030595B">
        <w:fldChar w:fldCharType="end"/>
      </w:r>
      <w:r w:rsidRPr="0030595B">
        <w:t xml:space="preserve"> </w:t>
      </w:r>
      <w:r w:rsidR="008B4347" w:rsidRPr="0030595B">
        <w:t>provides an</w:t>
      </w:r>
      <w:r w:rsidR="008B4347">
        <w:t xml:space="preserve"> overview of activity in the unit at 31 March</w:t>
      </w:r>
      <w:r w:rsidR="00971F9A">
        <w:t>,</w:t>
      </w:r>
      <w:r w:rsidR="008B4347">
        <w:t xml:space="preserve"> for </w:t>
      </w:r>
      <w:r w:rsidR="00971F9A">
        <w:t xml:space="preserve">the </w:t>
      </w:r>
      <w:r w:rsidR="008B4347">
        <w:t xml:space="preserve">years 2017-2020 and shows that </w:t>
      </w:r>
      <w:r w:rsidR="00543E7F">
        <w:t xml:space="preserve">numbers of young people being cared for in the unit has fallen from 29 on 2017 to 19 in 2020. </w:t>
      </w:r>
    </w:p>
    <w:p w14:paraId="5A3F2169" w14:textId="49BF725D" w:rsidR="00AD6BC9" w:rsidRDefault="00AD6BC9" w:rsidP="0076451B">
      <w:pPr>
        <w:pStyle w:val="NICCYBodyText"/>
        <w:rPr>
          <w:sz w:val="20"/>
          <w:szCs w:val="20"/>
        </w:rPr>
      </w:pPr>
    </w:p>
    <w:p w14:paraId="50932490" w14:textId="329F6189" w:rsidR="00CB077B" w:rsidRDefault="00CB077B" w:rsidP="0076451B">
      <w:pPr>
        <w:pStyle w:val="NICCYBodyText"/>
        <w:rPr>
          <w:sz w:val="20"/>
          <w:szCs w:val="20"/>
        </w:rPr>
      </w:pPr>
    </w:p>
    <w:p w14:paraId="276D8729" w14:textId="77777777" w:rsidR="00CB077B" w:rsidRPr="0076451B" w:rsidRDefault="00CB077B" w:rsidP="0076451B">
      <w:pPr>
        <w:pStyle w:val="NICCYBodyText"/>
        <w:rPr>
          <w:sz w:val="20"/>
          <w:szCs w:val="20"/>
        </w:rPr>
      </w:pPr>
    </w:p>
    <w:p w14:paraId="42F1B23B" w14:textId="77777777" w:rsidR="0076451B" w:rsidRPr="0076451B" w:rsidRDefault="0076451B" w:rsidP="0076451B">
      <w:pPr>
        <w:pStyle w:val="NICCYBodyText"/>
        <w:rPr>
          <w:sz w:val="20"/>
          <w:szCs w:val="20"/>
        </w:rPr>
      </w:pPr>
      <w:bookmarkStart w:id="36" w:name="_Ref58427361"/>
      <w:r w:rsidRPr="0076451B">
        <w:rPr>
          <w:sz w:val="20"/>
          <w:szCs w:val="20"/>
        </w:rPr>
        <w:t xml:space="preserve">Figure </w:t>
      </w:r>
      <w:r w:rsidRPr="0076451B">
        <w:rPr>
          <w:sz w:val="20"/>
          <w:szCs w:val="20"/>
        </w:rPr>
        <w:fldChar w:fldCharType="begin"/>
      </w:r>
      <w:r w:rsidRPr="0076451B">
        <w:rPr>
          <w:sz w:val="20"/>
          <w:szCs w:val="20"/>
        </w:rPr>
        <w:instrText xml:space="preserve"> SEQ Figure \* ARABIC </w:instrText>
      </w:r>
      <w:r w:rsidRPr="0076451B">
        <w:rPr>
          <w:sz w:val="20"/>
          <w:szCs w:val="20"/>
        </w:rPr>
        <w:fldChar w:fldCharType="separate"/>
      </w:r>
      <w:r w:rsidRPr="0076451B">
        <w:rPr>
          <w:noProof/>
          <w:sz w:val="20"/>
          <w:szCs w:val="20"/>
        </w:rPr>
        <w:t>13</w:t>
      </w:r>
      <w:r w:rsidRPr="0076451B">
        <w:rPr>
          <w:sz w:val="20"/>
          <w:szCs w:val="20"/>
        </w:rPr>
        <w:fldChar w:fldCharType="end"/>
      </w:r>
      <w:bookmarkEnd w:id="36"/>
      <w:r w:rsidRPr="0076451B">
        <w:rPr>
          <w:sz w:val="20"/>
          <w:szCs w:val="20"/>
        </w:rPr>
        <w:t>: Beechcroft Admissions and Discharges 2013/14-2019/20</w:t>
      </w:r>
    </w:p>
    <w:p w14:paraId="4D4F494A" w14:textId="77777777" w:rsidR="007662CB" w:rsidRDefault="007662CB" w:rsidP="00313FA5">
      <w:pPr>
        <w:pStyle w:val="NICCYBodyTest"/>
        <w:rPr>
          <w:noProof/>
          <w:lang w:eastAsia="en-GB"/>
        </w:rPr>
      </w:pPr>
      <w:r>
        <w:rPr>
          <w:noProof/>
          <w:lang w:eastAsia="en-GB"/>
        </w:rPr>
        <w:drawing>
          <wp:inline distT="0" distB="0" distL="0" distR="0" wp14:anchorId="651BC1A4" wp14:editId="74E093A1">
            <wp:extent cx="6116320" cy="2572385"/>
            <wp:effectExtent l="0" t="0" r="17780" b="184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BB7D23" w14:textId="77777777" w:rsidR="00741575" w:rsidRDefault="00741575" w:rsidP="00741575">
      <w:pPr>
        <w:pStyle w:val="NICCYBodyTest"/>
      </w:pPr>
    </w:p>
    <w:p w14:paraId="34BC9F14" w14:textId="77777777" w:rsidR="00776224" w:rsidRPr="0076451B" w:rsidRDefault="0076451B" w:rsidP="0076451B">
      <w:pPr>
        <w:pStyle w:val="NICCYBodyText"/>
        <w:rPr>
          <w:sz w:val="20"/>
          <w:szCs w:val="20"/>
        </w:rPr>
      </w:pPr>
      <w:bookmarkStart w:id="37" w:name="_Ref58427389"/>
      <w:r w:rsidRPr="0076451B">
        <w:rPr>
          <w:sz w:val="20"/>
          <w:szCs w:val="20"/>
        </w:rPr>
        <w:t xml:space="preserve">Table </w:t>
      </w:r>
      <w:r w:rsidRPr="0076451B">
        <w:rPr>
          <w:sz w:val="20"/>
          <w:szCs w:val="20"/>
        </w:rPr>
        <w:fldChar w:fldCharType="begin"/>
      </w:r>
      <w:r w:rsidRPr="0076451B">
        <w:rPr>
          <w:sz w:val="20"/>
          <w:szCs w:val="20"/>
        </w:rPr>
        <w:instrText xml:space="preserve"> SEQ Table \* ARABIC </w:instrText>
      </w:r>
      <w:r w:rsidRPr="0076451B">
        <w:rPr>
          <w:sz w:val="20"/>
          <w:szCs w:val="20"/>
        </w:rPr>
        <w:fldChar w:fldCharType="separate"/>
      </w:r>
      <w:r w:rsidR="00652AC5">
        <w:rPr>
          <w:noProof/>
          <w:sz w:val="20"/>
          <w:szCs w:val="20"/>
        </w:rPr>
        <w:t>11</w:t>
      </w:r>
      <w:r w:rsidRPr="0076451B">
        <w:rPr>
          <w:sz w:val="20"/>
          <w:szCs w:val="20"/>
        </w:rPr>
        <w:fldChar w:fldCharType="end"/>
      </w:r>
      <w:bookmarkEnd w:id="37"/>
      <w:r w:rsidRPr="0076451B">
        <w:rPr>
          <w:sz w:val="20"/>
          <w:szCs w:val="20"/>
        </w:rPr>
        <w:t>: In-patient numbers, delayed discharges and length of stay 2017-2019</w:t>
      </w:r>
    </w:p>
    <w:tbl>
      <w:tblPr>
        <w:tblW w:w="7780" w:type="dxa"/>
        <w:tblLook w:val="04A0" w:firstRow="1" w:lastRow="0" w:firstColumn="1" w:lastColumn="0" w:noHBand="0" w:noVBand="1"/>
      </w:tblPr>
      <w:tblGrid>
        <w:gridCol w:w="960"/>
        <w:gridCol w:w="1400"/>
        <w:gridCol w:w="1580"/>
        <w:gridCol w:w="960"/>
        <w:gridCol w:w="960"/>
        <w:gridCol w:w="960"/>
        <w:gridCol w:w="960"/>
      </w:tblGrid>
      <w:tr w:rsidR="006714BD" w:rsidRPr="006714BD" w14:paraId="2F8BFDF9" w14:textId="77777777" w:rsidTr="006714BD">
        <w:trPr>
          <w:trHeight w:val="300"/>
        </w:trPr>
        <w:tc>
          <w:tcPr>
            <w:tcW w:w="960" w:type="dxa"/>
            <w:tcBorders>
              <w:top w:val="single" w:sz="4" w:space="0" w:color="auto"/>
              <w:left w:val="nil"/>
              <w:bottom w:val="nil"/>
              <w:right w:val="nil"/>
            </w:tcBorders>
            <w:shd w:val="clear" w:color="auto" w:fill="auto"/>
            <w:noWrap/>
            <w:vAlign w:val="bottom"/>
            <w:hideMark/>
          </w:tcPr>
          <w:p w14:paraId="432F8361" w14:textId="77777777" w:rsidR="006714BD" w:rsidRPr="006714BD" w:rsidRDefault="006714BD" w:rsidP="006714BD">
            <w:pPr>
              <w:rPr>
                <w:rFonts w:ascii="Arial" w:hAnsi="Arial" w:cs="Arial"/>
                <w:b/>
                <w:bCs/>
                <w:color w:val="000000"/>
                <w:sz w:val="22"/>
                <w:szCs w:val="22"/>
                <w:lang w:eastAsia="en-GB"/>
              </w:rPr>
            </w:pPr>
            <w:r w:rsidRPr="006714BD">
              <w:rPr>
                <w:rFonts w:ascii="Arial" w:hAnsi="Arial" w:cs="Arial"/>
                <w:b/>
                <w:bCs/>
                <w:color w:val="000000"/>
                <w:sz w:val="22"/>
                <w:szCs w:val="22"/>
                <w:lang w:eastAsia="en-GB"/>
              </w:rPr>
              <w:t> </w:t>
            </w:r>
          </w:p>
        </w:tc>
        <w:tc>
          <w:tcPr>
            <w:tcW w:w="1400" w:type="dxa"/>
            <w:tcBorders>
              <w:top w:val="single" w:sz="4" w:space="0" w:color="auto"/>
              <w:left w:val="nil"/>
              <w:bottom w:val="nil"/>
              <w:right w:val="nil"/>
            </w:tcBorders>
            <w:shd w:val="clear" w:color="auto" w:fill="auto"/>
            <w:noWrap/>
            <w:vAlign w:val="bottom"/>
            <w:hideMark/>
          </w:tcPr>
          <w:p w14:paraId="10CFF429" w14:textId="77777777" w:rsidR="006714BD" w:rsidRPr="006714BD" w:rsidRDefault="006714BD" w:rsidP="006714BD">
            <w:pPr>
              <w:rPr>
                <w:rFonts w:ascii="Arial" w:hAnsi="Arial" w:cs="Arial"/>
                <w:b/>
                <w:bCs/>
                <w:color w:val="000000"/>
                <w:sz w:val="22"/>
                <w:szCs w:val="22"/>
                <w:lang w:eastAsia="en-GB"/>
              </w:rPr>
            </w:pPr>
            <w:r w:rsidRPr="006714BD">
              <w:rPr>
                <w:rFonts w:ascii="Arial" w:hAnsi="Arial" w:cs="Arial"/>
                <w:b/>
                <w:bCs/>
                <w:color w:val="000000"/>
                <w:sz w:val="22"/>
                <w:szCs w:val="22"/>
                <w:lang w:eastAsia="en-GB"/>
              </w:rPr>
              <w:t> </w:t>
            </w:r>
          </w:p>
        </w:tc>
        <w:tc>
          <w:tcPr>
            <w:tcW w:w="1580" w:type="dxa"/>
            <w:tcBorders>
              <w:top w:val="single" w:sz="4" w:space="0" w:color="auto"/>
              <w:left w:val="nil"/>
              <w:bottom w:val="nil"/>
              <w:right w:val="nil"/>
            </w:tcBorders>
            <w:shd w:val="clear" w:color="auto" w:fill="auto"/>
            <w:noWrap/>
            <w:vAlign w:val="bottom"/>
            <w:hideMark/>
          </w:tcPr>
          <w:p w14:paraId="14D68D28" w14:textId="77777777" w:rsidR="006714BD" w:rsidRPr="006714BD" w:rsidRDefault="006714BD" w:rsidP="006714BD">
            <w:pPr>
              <w:rPr>
                <w:rFonts w:ascii="Arial" w:hAnsi="Arial" w:cs="Arial"/>
                <w:b/>
                <w:bCs/>
                <w:color w:val="000000"/>
                <w:sz w:val="22"/>
                <w:szCs w:val="22"/>
                <w:lang w:eastAsia="en-GB"/>
              </w:rPr>
            </w:pPr>
            <w:r w:rsidRPr="006714BD">
              <w:rPr>
                <w:rFonts w:ascii="Arial" w:hAnsi="Arial" w:cs="Arial"/>
                <w:b/>
                <w:bCs/>
                <w:color w:val="000000"/>
                <w:sz w:val="22"/>
                <w:szCs w:val="22"/>
                <w:lang w:eastAsia="en-GB"/>
              </w:rPr>
              <w:t> </w:t>
            </w:r>
          </w:p>
        </w:tc>
        <w:tc>
          <w:tcPr>
            <w:tcW w:w="3840" w:type="dxa"/>
            <w:gridSpan w:val="4"/>
            <w:tcBorders>
              <w:top w:val="single" w:sz="4" w:space="0" w:color="auto"/>
              <w:left w:val="nil"/>
              <w:bottom w:val="nil"/>
              <w:right w:val="nil"/>
            </w:tcBorders>
            <w:shd w:val="clear" w:color="auto" w:fill="auto"/>
            <w:noWrap/>
            <w:vAlign w:val="bottom"/>
            <w:hideMark/>
          </w:tcPr>
          <w:p w14:paraId="05F1FD38"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Length of Stay</w:t>
            </w:r>
          </w:p>
        </w:tc>
      </w:tr>
      <w:tr w:rsidR="006714BD" w:rsidRPr="006714BD" w14:paraId="0F005C2E" w14:textId="77777777" w:rsidTr="006714BD">
        <w:trPr>
          <w:trHeight w:val="600"/>
        </w:trPr>
        <w:tc>
          <w:tcPr>
            <w:tcW w:w="960" w:type="dxa"/>
            <w:tcBorders>
              <w:top w:val="nil"/>
              <w:left w:val="nil"/>
              <w:bottom w:val="single" w:sz="4" w:space="0" w:color="auto"/>
              <w:right w:val="nil"/>
            </w:tcBorders>
            <w:shd w:val="clear" w:color="auto" w:fill="auto"/>
            <w:vAlign w:val="bottom"/>
            <w:hideMark/>
          </w:tcPr>
          <w:p w14:paraId="289B0EE1" w14:textId="77777777" w:rsidR="006714BD" w:rsidRPr="006714BD" w:rsidRDefault="008B4347" w:rsidP="006714BD">
            <w:pPr>
              <w:jc w:val="center"/>
              <w:rPr>
                <w:rFonts w:ascii="Arial" w:hAnsi="Arial" w:cs="Arial"/>
                <w:b/>
                <w:bCs/>
                <w:color w:val="000000"/>
                <w:sz w:val="22"/>
                <w:szCs w:val="22"/>
                <w:lang w:eastAsia="en-GB"/>
              </w:rPr>
            </w:pPr>
            <w:r>
              <w:rPr>
                <w:rFonts w:ascii="Arial" w:hAnsi="Arial" w:cs="Arial"/>
                <w:b/>
                <w:bCs/>
                <w:color w:val="000000"/>
                <w:sz w:val="22"/>
                <w:szCs w:val="22"/>
                <w:lang w:eastAsia="en-GB"/>
              </w:rPr>
              <w:t>At 31</w:t>
            </w:r>
            <w:r w:rsidRPr="008B4347">
              <w:rPr>
                <w:rFonts w:ascii="Arial" w:hAnsi="Arial" w:cs="Arial"/>
                <w:b/>
                <w:bCs/>
                <w:color w:val="000000"/>
                <w:sz w:val="22"/>
                <w:szCs w:val="22"/>
                <w:vertAlign w:val="superscript"/>
                <w:lang w:eastAsia="en-GB"/>
              </w:rPr>
              <w:t>st</w:t>
            </w:r>
            <w:r>
              <w:rPr>
                <w:rFonts w:ascii="Arial" w:hAnsi="Arial" w:cs="Arial"/>
                <w:b/>
                <w:bCs/>
                <w:color w:val="000000"/>
                <w:sz w:val="22"/>
                <w:szCs w:val="22"/>
                <w:lang w:eastAsia="en-GB"/>
              </w:rPr>
              <w:t xml:space="preserve"> March</w:t>
            </w:r>
          </w:p>
        </w:tc>
        <w:tc>
          <w:tcPr>
            <w:tcW w:w="1400" w:type="dxa"/>
            <w:tcBorders>
              <w:top w:val="nil"/>
              <w:left w:val="nil"/>
              <w:bottom w:val="single" w:sz="4" w:space="0" w:color="auto"/>
              <w:right w:val="nil"/>
            </w:tcBorders>
            <w:shd w:val="clear" w:color="auto" w:fill="auto"/>
            <w:vAlign w:val="bottom"/>
            <w:hideMark/>
          </w:tcPr>
          <w:p w14:paraId="5F9683E9"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Inpatient Numbers</w:t>
            </w:r>
          </w:p>
        </w:tc>
        <w:tc>
          <w:tcPr>
            <w:tcW w:w="1580" w:type="dxa"/>
            <w:tcBorders>
              <w:top w:val="nil"/>
              <w:left w:val="nil"/>
              <w:bottom w:val="single" w:sz="4" w:space="0" w:color="auto"/>
              <w:right w:val="nil"/>
            </w:tcBorders>
            <w:shd w:val="clear" w:color="auto" w:fill="auto"/>
            <w:vAlign w:val="bottom"/>
            <w:hideMark/>
          </w:tcPr>
          <w:p w14:paraId="2C4F6800"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Delayed Discharges</w:t>
            </w:r>
          </w:p>
        </w:tc>
        <w:tc>
          <w:tcPr>
            <w:tcW w:w="960" w:type="dxa"/>
            <w:tcBorders>
              <w:top w:val="nil"/>
              <w:left w:val="nil"/>
              <w:bottom w:val="single" w:sz="4" w:space="0" w:color="auto"/>
              <w:right w:val="nil"/>
            </w:tcBorders>
            <w:shd w:val="clear" w:color="auto" w:fill="auto"/>
            <w:vAlign w:val="bottom"/>
            <w:hideMark/>
          </w:tcPr>
          <w:p w14:paraId="7D55801E"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 xml:space="preserve"> 0-7 days</w:t>
            </w:r>
          </w:p>
        </w:tc>
        <w:tc>
          <w:tcPr>
            <w:tcW w:w="960" w:type="dxa"/>
            <w:tcBorders>
              <w:top w:val="nil"/>
              <w:left w:val="nil"/>
              <w:bottom w:val="single" w:sz="4" w:space="0" w:color="auto"/>
              <w:right w:val="nil"/>
            </w:tcBorders>
            <w:shd w:val="clear" w:color="auto" w:fill="auto"/>
            <w:vAlign w:val="bottom"/>
            <w:hideMark/>
          </w:tcPr>
          <w:p w14:paraId="542100F9"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8-90 days</w:t>
            </w:r>
          </w:p>
        </w:tc>
        <w:tc>
          <w:tcPr>
            <w:tcW w:w="960" w:type="dxa"/>
            <w:tcBorders>
              <w:top w:val="nil"/>
              <w:left w:val="nil"/>
              <w:bottom w:val="single" w:sz="4" w:space="0" w:color="auto"/>
              <w:right w:val="nil"/>
            </w:tcBorders>
            <w:shd w:val="clear" w:color="auto" w:fill="auto"/>
            <w:vAlign w:val="bottom"/>
            <w:hideMark/>
          </w:tcPr>
          <w:p w14:paraId="112F36E3"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91-365 days</w:t>
            </w:r>
          </w:p>
        </w:tc>
        <w:tc>
          <w:tcPr>
            <w:tcW w:w="960" w:type="dxa"/>
            <w:tcBorders>
              <w:top w:val="nil"/>
              <w:left w:val="nil"/>
              <w:bottom w:val="single" w:sz="4" w:space="0" w:color="auto"/>
              <w:right w:val="nil"/>
            </w:tcBorders>
            <w:shd w:val="clear" w:color="auto" w:fill="auto"/>
            <w:vAlign w:val="bottom"/>
            <w:hideMark/>
          </w:tcPr>
          <w:p w14:paraId="5B59618E" w14:textId="77777777" w:rsidR="006714BD" w:rsidRPr="006714BD" w:rsidRDefault="006714BD" w:rsidP="006714BD">
            <w:pPr>
              <w:jc w:val="center"/>
              <w:rPr>
                <w:rFonts w:ascii="Arial" w:hAnsi="Arial" w:cs="Arial"/>
                <w:b/>
                <w:bCs/>
                <w:color w:val="000000"/>
                <w:sz w:val="22"/>
                <w:szCs w:val="22"/>
                <w:lang w:eastAsia="en-GB"/>
              </w:rPr>
            </w:pPr>
            <w:r w:rsidRPr="006714BD">
              <w:rPr>
                <w:rFonts w:ascii="Arial" w:hAnsi="Arial" w:cs="Arial"/>
                <w:b/>
                <w:bCs/>
                <w:color w:val="000000"/>
                <w:sz w:val="22"/>
                <w:szCs w:val="22"/>
                <w:lang w:eastAsia="en-GB"/>
              </w:rPr>
              <w:t>&gt;365 days</w:t>
            </w:r>
          </w:p>
        </w:tc>
      </w:tr>
      <w:tr w:rsidR="006714BD" w:rsidRPr="006714BD" w14:paraId="4A86EB22" w14:textId="77777777" w:rsidTr="006714BD">
        <w:trPr>
          <w:trHeight w:val="300"/>
        </w:trPr>
        <w:tc>
          <w:tcPr>
            <w:tcW w:w="960" w:type="dxa"/>
            <w:tcBorders>
              <w:top w:val="nil"/>
              <w:left w:val="nil"/>
              <w:bottom w:val="nil"/>
              <w:right w:val="nil"/>
            </w:tcBorders>
            <w:shd w:val="clear" w:color="auto" w:fill="auto"/>
            <w:noWrap/>
            <w:vAlign w:val="bottom"/>
            <w:hideMark/>
          </w:tcPr>
          <w:p w14:paraId="1BDD1127"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2017</w:t>
            </w:r>
          </w:p>
        </w:tc>
        <w:tc>
          <w:tcPr>
            <w:tcW w:w="1400" w:type="dxa"/>
            <w:tcBorders>
              <w:top w:val="nil"/>
              <w:left w:val="nil"/>
              <w:bottom w:val="nil"/>
              <w:right w:val="nil"/>
            </w:tcBorders>
            <w:shd w:val="clear" w:color="auto" w:fill="auto"/>
            <w:noWrap/>
            <w:vAlign w:val="bottom"/>
            <w:hideMark/>
          </w:tcPr>
          <w:p w14:paraId="0AE7C0BD"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29</w:t>
            </w:r>
          </w:p>
        </w:tc>
        <w:tc>
          <w:tcPr>
            <w:tcW w:w="1580" w:type="dxa"/>
            <w:tcBorders>
              <w:top w:val="nil"/>
              <w:left w:val="nil"/>
              <w:bottom w:val="nil"/>
              <w:right w:val="nil"/>
            </w:tcBorders>
            <w:shd w:val="clear" w:color="auto" w:fill="auto"/>
            <w:noWrap/>
            <w:vAlign w:val="bottom"/>
            <w:hideMark/>
          </w:tcPr>
          <w:p w14:paraId="77D9D5A5"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1</w:t>
            </w:r>
          </w:p>
        </w:tc>
        <w:tc>
          <w:tcPr>
            <w:tcW w:w="960" w:type="dxa"/>
            <w:tcBorders>
              <w:top w:val="nil"/>
              <w:left w:val="nil"/>
              <w:bottom w:val="nil"/>
              <w:right w:val="nil"/>
            </w:tcBorders>
            <w:shd w:val="clear" w:color="auto" w:fill="auto"/>
            <w:noWrap/>
            <w:vAlign w:val="bottom"/>
            <w:hideMark/>
          </w:tcPr>
          <w:p w14:paraId="7AE6039D"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6</w:t>
            </w:r>
          </w:p>
        </w:tc>
        <w:tc>
          <w:tcPr>
            <w:tcW w:w="960" w:type="dxa"/>
            <w:tcBorders>
              <w:top w:val="nil"/>
              <w:left w:val="nil"/>
              <w:bottom w:val="nil"/>
              <w:right w:val="nil"/>
            </w:tcBorders>
            <w:shd w:val="clear" w:color="auto" w:fill="auto"/>
            <w:noWrap/>
            <w:vAlign w:val="bottom"/>
            <w:hideMark/>
          </w:tcPr>
          <w:p w14:paraId="652594CB"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14</w:t>
            </w:r>
          </w:p>
        </w:tc>
        <w:tc>
          <w:tcPr>
            <w:tcW w:w="960" w:type="dxa"/>
            <w:tcBorders>
              <w:top w:val="nil"/>
              <w:left w:val="nil"/>
              <w:bottom w:val="nil"/>
              <w:right w:val="nil"/>
            </w:tcBorders>
            <w:shd w:val="clear" w:color="auto" w:fill="auto"/>
            <w:noWrap/>
            <w:vAlign w:val="bottom"/>
            <w:hideMark/>
          </w:tcPr>
          <w:p w14:paraId="6DCA2C33"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6</w:t>
            </w:r>
          </w:p>
        </w:tc>
        <w:tc>
          <w:tcPr>
            <w:tcW w:w="960" w:type="dxa"/>
            <w:tcBorders>
              <w:top w:val="nil"/>
              <w:left w:val="nil"/>
              <w:bottom w:val="nil"/>
              <w:right w:val="nil"/>
            </w:tcBorders>
            <w:shd w:val="clear" w:color="auto" w:fill="auto"/>
            <w:noWrap/>
            <w:vAlign w:val="bottom"/>
            <w:hideMark/>
          </w:tcPr>
          <w:p w14:paraId="000E956B"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3</w:t>
            </w:r>
          </w:p>
        </w:tc>
      </w:tr>
      <w:tr w:rsidR="006714BD" w:rsidRPr="006714BD" w14:paraId="5615D84F" w14:textId="77777777" w:rsidTr="006714BD">
        <w:trPr>
          <w:trHeight w:val="300"/>
        </w:trPr>
        <w:tc>
          <w:tcPr>
            <w:tcW w:w="960" w:type="dxa"/>
            <w:tcBorders>
              <w:top w:val="nil"/>
              <w:left w:val="nil"/>
              <w:bottom w:val="nil"/>
              <w:right w:val="nil"/>
            </w:tcBorders>
            <w:shd w:val="clear" w:color="auto" w:fill="auto"/>
            <w:noWrap/>
            <w:vAlign w:val="bottom"/>
            <w:hideMark/>
          </w:tcPr>
          <w:p w14:paraId="34F75936"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2018</w:t>
            </w:r>
          </w:p>
        </w:tc>
        <w:tc>
          <w:tcPr>
            <w:tcW w:w="1400" w:type="dxa"/>
            <w:tcBorders>
              <w:top w:val="nil"/>
              <w:left w:val="nil"/>
              <w:bottom w:val="nil"/>
              <w:right w:val="nil"/>
            </w:tcBorders>
            <w:shd w:val="clear" w:color="auto" w:fill="auto"/>
            <w:noWrap/>
            <w:vAlign w:val="bottom"/>
            <w:hideMark/>
          </w:tcPr>
          <w:p w14:paraId="10263646"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29</w:t>
            </w:r>
          </w:p>
        </w:tc>
        <w:tc>
          <w:tcPr>
            <w:tcW w:w="1580" w:type="dxa"/>
            <w:tcBorders>
              <w:top w:val="nil"/>
              <w:left w:val="nil"/>
              <w:bottom w:val="nil"/>
              <w:right w:val="nil"/>
            </w:tcBorders>
            <w:shd w:val="clear" w:color="auto" w:fill="auto"/>
            <w:noWrap/>
            <w:vAlign w:val="bottom"/>
            <w:hideMark/>
          </w:tcPr>
          <w:p w14:paraId="24FCE41D"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1</w:t>
            </w:r>
          </w:p>
        </w:tc>
        <w:tc>
          <w:tcPr>
            <w:tcW w:w="960" w:type="dxa"/>
            <w:tcBorders>
              <w:top w:val="nil"/>
              <w:left w:val="nil"/>
              <w:bottom w:val="nil"/>
              <w:right w:val="nil"/>
            </w:tcBorders>
            <w:shd w:val="clear" w:color="auto" w:fill="auto"/>
            <w:noWrap/>
            <w:vAlign w:val="bottom"/>
            <w:hideMark/>
          </w:tcPr>
          <w:p w14:paraId="14C7E75B"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5</w:t>
            </w:r>
          </w:p>
        </w:tc>
        <w:tc>
          <w:tcPr>
            <w:tcW w:w="960" w:type="dxa"/>
            <w:tcBorders>
              <w:top w:val="nil"/>
              <w:left w:val="nil"/>
              <w:bottom w:val="nil"/>
              <w:right w:val="nil"/>
            </w:tcBorders>
            <w:shd w:val="clear" w:color="auto" w:fill="auto"/>
            <w:noWrap/>
            <w:vAlign w:val="bottom"/>
            <w:hideMark/>
          </w:tcPr>
          <w:p w14:paraId="54035816"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13</w:t>
            </w:r>
          </w:p>
        </w:tc>
        <w:tc>
          <w:tcPr>
            <w:tcW w:w="960" w:type="dxa"/>
            <w:tcBorders>
              <w:top w:val="nil"/>
              <w:left w:val="nil"/>
              <w:bottom w:val="nil"/>
              <w:right w:val="nil"/>
            </w:tcBorders>
            <w:shd w:val="clear" w:color="auto" w:fill="auto"/>
            <w:noWrap/>
            <w:vAlign w:val="bottom"/>
            <w:hideMark/>
          </w:tcPr>
          <w:p w14:paraId="1F572F84"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9</w:t>
            </w:r>
          </w:p>
        </w:tc>
        <w:tc>
          <w:tcPr>
            <w:tcW w:w="960" w:type="dxa"/>
            <w:tcBorders>
              <w:top w:val="nil"/>
              <w:left w:val="nil"/>
              <w:bottom w:val="nil"/>
              <w:right w:val="nil"/>
            </w:tcBorders>
            <w:shd w:val="clear" w:color="auto" w:fill="auto"/>
            <w:noWrap/>
            <w:vAlign w:val="bottom"/>
            <w:hideMark/>
          </w:tcPr>
          <w:p w14:paraId="6EC6A787"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2</w:t>
            </w:r>
          </w:p>
        </w:tc>
      </w:tr>
      <w:tr w:rsidR="006714BD" w:rsidRPr="006714BD" w14:paraId="572E47F1" w14:textId="77777777" w:rsidTr="009636CD">
        <w:trPr>
          <w:trHeight w:val="300"/>
        </w:trPr>
        <w:tc>
          <w:tcPr>
            <w:tcW w:w="960" w:type="dxa"/>
            <w:tcBorders>
              <w:top w:val="nil"/>
              <w:left w:val="nil"/>
              <w:bottom w:val="nil"/>
              <w:right w:val="nil"/>
            </w:tcBorders>
            <w:shd w:val="clear" w:color="auto" w:fill="auto"/>
            <w:noWrap/>
            <w:vAlign w:val="bottom"/>
            <w:hideMark/>
          </w:tcPr>
          <w:p w14:paraId="1F1828B1"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lastRenderedPageBreak/>
              <w:t>2019</w:t>
            </w:r>
          </w:p>
        </w:tc>
        <w:tc>
          <w:tcPr>
            <w:tcW w:w="1400" w:type="dxa"/>
            <w:tcBorders>
              <w:top w:val="nil"/>
              <w:left w:val="nil"/>
              <w:bottom w:val="nil"/>
              <w:right w:val="nil"/>
            </w:tcBorders>
            <w:shd w:val="clear" w:color="auto" w:fill="FFFFFF" w:themeFill="background1"/>
            <w:noWrap/>
            <w:vAlign w:val="bottom"/>
            <w:hideMark/>
          </w:tcPr>
          <w:p w14:paraId="7CDDC78B" w14:textId="77777777" w:rsidR="006714BD" w:rsidRPr="00D5502C" w:rsidRDefault="006714BD" w:rsidP="006714BD">
            <w:pPr>
              <w:jc w:val="right"/>
              <w:rPr>
                <w:rFonts w:ascii="Arial" w:hAnsi="Arial" w:cs="Arial"/>
                <w:color w:val="000000"/>
                <w:sz w:val="22"/>
                <w:szCs w:val="22"/>
                <w:lang w:eastAsia="en-GB"/>
              </w:rPr>
            </w:pPr>
            <w:r w:rsidRPr="00D5502C">
              <w:rPr>
                <w:rFonts w:ascii="Arial" w:hAnsi="Arial" w:cs="Arial"/>
                <w:color w:val="000000"/>
                <w:sz w:val="22"/>
                <w:szCs w:val="22"/>
                <w:lang w:eastAsia="en-GB"/>
              </w:rPr>
              <w:t>276</w:t>
            </w:r>
          </w:p>
        </w:tc>
        <w:tc>
          <w:tcPr>
            <w:tcW w:w="1580" w:type="dxa"/>
            <w:tcBorders>
              <w:top w:val="nil"/>
              <w:left w:val="nil"/>
              <w:bottom w:val="nil"/>
              <w:right w:val="nil"/>
            </w:tcBorders>
            <w:shd w:val="clear" w:color="auto" w:fill="FFFFFF" w:themeFill="background1"/>
            <w:noWrap/>
            <w:vAlign w:val="bottom"/>
            <w:hideMark/>
          </w:tcPr>
          <w:p w14:paraId="633D1701" w14:textId="77777777" w:rsidR="006714BD" w:rsidRPr="00D5502C" w:rsidRDefault="006714BD" w:rsidP="006714BD">
            <w:pPr>
              <w:jc w:val="right"/>
              <w:rPr>
                <w:rFonts w:ascii="Arial" w:hAnsi="Arial" w:cs="Arial"/>
                <w:color w:val="000000"/>
                <w:sz w:val="22"/>
                <w:szCs w:val="22"/>
                <w:lang w:eastAsia="en-GB"/>
              </w:rPr>
            </w:pPr>
            <w:r w:rsidRPr="00D5502C">
              <w:rPr>
                <w:rFonts w:ascii="Arial" w:hAnsi="Arial" w:cs="Arial"/>
                <w:color w:val="000000"/>
                <w:sz w:val="22"/>
                <w:szCs w:val="22"/>
                <w:lang w:eastAsia="en-GB"/>
              </w:rPr>
              <w:t>5</w:t>
            </w:r>
          </w:p>
        </w:tc>
        <w:tc>
          <w:tcPr>
            <w:tcW w:w="960" w:type="dxa"/>
            <w:tcBorders>
              <w:top w:val="nil"/>
              <w:left w:val="nil"/>
              <w:bottom w:val="nil"/>
              <w:right w:val="nil"/>
            </w:tcBorders>
            <w:shd w:val="clear" w:color="auto" w:fill="FFFFFF" w:themeFill="background1"/>
            <w:noWrap/>
            <w:vAlign w:val="bottom"/>
            <w:hideMark/>
          </w:tcPr>
          <w:p w14:paraId="39A876C7" w14:textId="77777777" w:rsidR="006714BD" w:rsidRPr="00D5502C" w:rsidRDefault="006714BD" w:rsidP="006714BD">
            <w:pPr>
              <w:jc w:val="right"/>
              <w:rPr>
                <w:rFonts w:ascii="Arial" w:hAnsi="Arial" w:cs="Arial"/>
                <w:color w:val="000000"/>
                <w:sz w:val="22"/>
                <w:szCs w:val="22"/>
                <w:lang w:eastAsia="en-GB"/>
              </w:rPr>
            </w:pPr>
            <w:r w:rsidRPr="00D5502C">
              <w:rPr>
                <w:rFonts w:ascii="Arial" w:hAnsi="Arial" w:cs="Arial"/>
                <w:color w:val="000000"/>
                <w:sz w:val="22"/>
                <w:szCs w:val="22"/>
                <w:lang w:eastAsia="en-GB"/>
              </w:rPr>
              <w:t>24</w:t>
            </w:r>
          </w:p>
        </w:tc>
        <w:tc>
          <w:tcPr>
            <w:tcW w:w="960" w:type="dxa"/>
            <w:tcBorders>
              <w:top w:val="nil"/>
              <w:left w:val="nil"/>
              <w:bottom w:val="nil"/>
              <w:right w:val="nil"/>
            </w:tcBorders>
            <w:shd w:val="clear" w:color="auto" w:fill="FFFFFF" w:themeFill="background1"/>
            <w:noWrap/>
            <w:vAlign w:val="bottom"/>
            <w:hideMark/>
          </w:tcPr>
          <w:p w14:paraId="0EE17BF9" w14:textId="77777777" w:rsidR="006714BD" w:rsidRPr="00D5502C" w:rsidRDefault="006714BD" w:rsidP="006714BD">
            <w:pPr>
              <w:jc w:val="right"/>
              <w:rPr>
                <w:rFonts w:ascii="Arial" w:hAnsi="Arial" w:cs="Arial"/>
                <w:color w:val="000000"/>
                <w:sz w:val="22"/>
                <w:szCs w:val="22"/>
                <w:lang w:eastAsia="en-GB"/>
              </w:rPr>
            </w:pPr>
            <w:r w:rsidRPr="00D5502C">
              <w:rPr>
                <w:rFonts w:ascii="Arial" w:hAnsi="Arial" w:cs="Arial"/>
                <w:color w:val="000000"/>
                <w:sz w:val="22"/>
                <w:szCs w:val="22"/>
                <w:lang w:eastAsia="en-GB"/>
              </w:rPr>
              <w:t>150</w:t>
            </w:r>
          </w:p>
        </w:tc>
        <w:tc>
          <w:tcPr>
            <w:tcW w:w="960" w:type="dxa"/>
            <w:tcBorders>
              <w:top w:val="nil"/>
              <w:left w:val="nil"/>
              <w:bottom w:val="nil"/>
              <w:right w:val="nil"/>
            </w:tcBorders>
            <w:shd w:val="clear" w:color="auto" w:fill="FFFFFF" w:themeFill="background1"/>
            <w:noWrap/>
            <w:vAlign w:val="bottom"/>
            <w:hideMark/>
          </w:tcPr>
          <w:p w14:paraId="7B5DC476" w14:textId="77777777" w:rsidR="006714BD" w:rsidRPr="00D5502C" w:rsidRDefault="006714BD" w:rsidP="006714BD">
            <w:pPr>
              <w:jc w:val="right"/>
              <w:rPr>
                <w:rFonts w:ascii="Arial" w:hAnsi="Arial" w:cs="Arial"/>
                <w:color w:val="000000"/>
                <w:sz w:val="22"/>
                <w:szCs w:val="22"/>
                <w:lang w:eastAsia="en-GB"/>
              </w:rPr>
            </w:pPr>
            <w:r w:rsidRPr="00D5502C">
              <w:rPr>
                <w:rFonts w:ascii="Arial" w:hAnsi="Arial" w:cs="Arial"/>
                <w:color w:val="000000"/>
                <w:sz w:val="22"/>
                <w:szCs w:val="22"/>
                <w:lang w:eastAsia="en-GB"/>
              </w:rPr>
              <w:t>77</w:t>
            </w:r>
          </w:p>
        </w:tc>
        <w:tc>
          <w:tcPr>
            <w:tcW w:w="960" w:type="dxa"/>
            <w:tcBorders>
              <w:top w:val="nil"/>
              <w:left w:val="nil"/>
              <w:bottom w:val="nil"/>
              <w:right w:val="nil"/>
            </w:tcBorders>
            <w:shd w:val="clear" w:color="auto" w:fill="FFFFFF" w:themeFill="background1"/>
            <w:noWrap/>
            <w:vAlign w:val="bottom"/>
            <w:hideMark/>
          </w:tcPr>
          <w:p w14:paraId="5746EE3C" w14:textId="77777777" w:rsidR="006714BD" w:rsidRPr="00D5502C" w:rsidRDefault="006714BD" w:rsidP="006714BD">
            <w:pPr>
              <w:jc w:val="right"/>
              <w:rPr>
                <w:rFonts w:ascii="Arial" w:hAnsi="Arial" w:cs="Arial"/>
                <w:color w:val="000000"/>
                <w:sz w:val="22"/>
                <w:szCs w:val="22"/>
                <w:lang w:eastAsia="en-GB"/>
              </w:rPr>
            </w:pPr>
            <w:r w:rsidRPr="00D5502C">
              <w:rPr>
                <w:rFonts w:ascii="Arial" w:hAnsi="Arial" w:cs="Arial"/>
                <w:color w:val="000000"/>
                <w:sz w:val="22"/>
                <w:szCs w:val="22"/>
                <w:lang w:eastAsia="en-GB"/>
              </w:rPr>
              <w:t>25</w:t>
            </w:r>
          </w:p>
        </w:tc>
      </w:tr>
      <w:tr w:rsidR="006714BD" w:rsidRPr="006714BD" w14:paraId="52C1E74D" w14:textId="77777777" w:rsidTr="006714BD">
        <w:trPr>
          <w:trHeight w:val="300"/>
        </w:trPr>
        <w:tc>
          <w:tcPr>
            <w:tcW w:w="960" w:type="dxa"/>
            <w:tcBorders>
              <w:top w:val="nil"/>
              <w:left w:val="nil"/>
              <w:bottom w:val="single" w:sz="4" w:space="0" w:color="auto"/>
              <w:right w:val="nil"/>
            </w:tcBorders>
            <w:shd w:val="clear" w:color="auto" w:fill="auto"/>
            <w:noWrap/>
            <w:vAlign w:val="bottom"/>
            <w:hideMark/>
          </w:tcPr>
          <w:p w14:paraId="258AC1B8"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2020</w:t>
            </w:r>
          </w:p>
        </w:tc>
        <w:tc>
          <w:tcPr>
            <w:tcW w:w="1400" w:type="dxa"/>
            <w:tcBorders>
              <w:top w:val="nil"/>
              <w:left w:val="nil"/>
              <w:bottom w:val="single" w:sz="4" w:space="0" w:color="auto"/>
              <w:right w:val="nil"/>
            </w:tcBorders>
            <w:shd w:val="clear" w:color="auto" w:fill="auto"/>
            <w:noWrap/>
            <w:vAlign w:val="bottom"/>
            <w:hideMark/>
          </w:tcPr>
          <w:p w14:paraId="5736692A"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19</w:t>
            </w:r>
          </w:p>
        </w:tc>
        <w:tc>
          <w:tcPr>
            <w:tcW w:w="1580" w:type="dxa"/>
            <w:tcBorders>
              <w:top w:val="nil"/>
              <w:left w:val="nil"/>
              <w:bottom w:val="single" w:sz="4" w:space="0" w:color="auto"/>
              <w:right w:val="nil"/>
            </w:tcBorders>
            <w:shd w:val="clear" w:color="auto" w:fill="auto"/>
            <w:noWrap/>
            <w:vAlign w:val="bottom"/>
            <w:hideMark/>
          </w:tcPr>
          <w:p w14:paraId="5D6D485F"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0</w:t>
            </w:r>
          </w:p>
        </w:tc>
        <w:tc>
          <w:tcPr>
            <w:tcW w:w="960" w:type="dxa"/>
            <w:tcBorders>
              <w:top w:val="nil"/>
              <w:left w:val="nil"/>
              <w:bottom w:val="single" w:sz="4" w:space="0" w:color="auto"/>
              <w:right w:val="nil"/>
            </w:tcBorders>
            <w:shd w:val="clear" w:color="auto" w:fill="auto"/>
            <w:noWrap/>
            <w:vAlign w:val="bottom"/>
            <w:hideMark/>
          </w:tcPr>
          <w:p w14:paraId="447E55BA"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0</w:t>
            </w:r>
          </w:p>
        </w:tc>
        <w:tc>
          <w:tcPr>
            <w:tcW w:w="960" w:type="dxa"/>
            <w:tcBorders>
              <w:top w:val="nil"/>
              <w:left w:val="nil"/>
              <w:bottom w:val="single" w:sz="4" w:space="0" w:color="auto"/>
              <w:right w:val="nil"/>
            </w:tcBorders>
            <w:shd w:val="clear" w:color="auto" w:fill="auto"/>
            <w:noWrap/>
            <w:vAlign w:val="bottom"/>
            <w:hideMark/>
          </w:tcPr>
          <w:p w14:paraId="3DABAC05"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12</w:t>
            </w:r>
          </w:p>
        </w:tc>
        <w:tc>
          <w:tcPr>
            <w:tcW w:w="960" w:type="dxa"/>
            <w:tcBorders>
              <w:top w:val="nil"/>
              <w:left w:val="nil"/>
              <w:bottom w:val="single" w:sz="4" w:space="0" w:color="auto"/>
              <w:right w:val="nil"/>
            </w:tcBorders>
            <w:shd w:val="clear" w:color="auto" w:fill="auto"/>
            <w:noWrap/>
            <w:vAlign w:val="bottom"/>
            <w:hideMark/>
          </w:tcPr>
          <w:p w14:paraId="7DF3016C"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0</w:t>
            </w:r>
          </w:p>
        </w:tc>
        <w:tc>
          <w:tcPr>
            <w:tcW w:w="960" w:type="dxa"/>
            <w:tcBorders>
              <w:top w:val="nil"/>
              <w:left w:val="nil"/>
              <w:bottom w:val="single" w:sz="4" w:space="0" w:color="auto"/>
              <w:right w:val="nil"/>
            </w:tcBorders>
            <w:shd w:val="clear" w:color="auto" w:fill="auto"/>
            <w:noWrap/>
            <w:vAlign w:val="bottom"/>
            <w:hideMark/>
          </w:tcPr>
          <w:p w14:paraId="6E8A829E" w14:textId="77777777" w:rsidR="006714BD" w:rsidRPr="006714BD" w:rsidRDefault="006714BD" w:rsidP="006714BD">
            <w:pPr>
              <w:jc w:val="right"/>
              <w:rPr>
                <w:rFonts w:ascii="Arial" w:hAnsi="Arial" w:cs="Arial"/>
                <w:color w:val="000000"/>
                <w:sz w:val="22"/>
                <w:szCs w:val="22"/>
                <w:lang w:eastAsia="en-GB"/>
              </w:rPr>
            </w:pPr>
            <w:r w:rsidRPr="006714BD">
              <w:rPr>
                <w:rFonts w:ascii="Arial" w:hAnsi="Arial" w:cs="Arial"/>
                <w:color w:val="000000"/>
                <w:sz w:val="22"/>
                <w:szCs w:val="22"/>
                <w:lang w:eastAsia="en-GB"/>
              </w:rPr>
              <w:t>0</w:t>
            </w:r>
          </w:p>
        </w:tc>
      </w:tr>
    </w:tbl>
    <w:p w14:paraId="73D35135" w14:textId="77777777" w:rsidR="00B87840" w:rsidRDefault="008B4347" w:rsidP="00313FA5">
      <w:pPr>
        <w:pStyle w:val="NICCYSubline"/>
        <w:rPr>
          <w:rFonts w:eastAsia="Times New Roman"/>
          <w:b w:val="0"/>
          <w:i/>
          <w:iCs/>
          <w:color w:val="414042"/>
          <w:sz w:val="22"/>
          <w:szCs w:val="22"/>
          <w:lang w:eastAsia="en-GB"/>
        </w:rPr>
      </w:pPr>
      <w:r w:rsidRPr="008B4347">
        <w:rPr>
          <w:rFonts w:eastAsia="Times New Roman"/>
          <w:b w:val="0"/>
          <w:i/>
          <w:iCs/>
          <w:color w:val="414042"/>
          <w:sz w:val="22"/>
          <w:szCs w:val="22"/>
          <w:lang w:eastAsia="en-GB"/>
        </w:rPr>
        <w:t>NB: Please note individual values may not sum to column/ row totals due to suppression in line with disclosure protocol.</w:t>
      </w:r>
    </w:p>
    <w:p w14:paraId="78A86A2F" w14:textId="77777777" w:rsidR="00D946E4" w:rsidRPr="008B4347" w:rsidRDefault="00D946E4" w:rsidP="00313FA5">
      <w:pPr>
        <w:pStyle w:val="NICCYSubline"/>
        <w:rPr>
          <w:rFonts w:eastAsia="Times New Roman"/>
          <w:b w:val="0"/>
          <w:i/>
          <w:iCs/>
          <w:color w:val="414042"/>
          <w:sz w:val="22"/>
          <w:szCs w:val="22"/>
          <w:lang w:eastAsia="en-GB"/>
        </w:rPr>
      </w:pPr>
    </w:p>
    <w:p w14:paraId="0CDF4F19" w14:textId="1A8A1E15" w:rsidR="00E35880" w:rsidRPr="00D946E4" w:rsidRDefault="00D946E4" w:rsidP="00313FA5">
      <w:pPr>
        <w:pStyle w:val="NICCYSubline"/>
        <w:rPr>
          <w:color w:val="auto"/>
        </w:rPr>
      </w:pPr>
      <w:r w:rsidRPr="00D946E4">
        <w:rPr>
          <w:color w:val="auto"/>
          <w:sz w:val="20"/>
          <w:szCs w:val="20"/>
        </w:rPr>
        <w:t xml:space="preserve">Table </w:t>
      </w:r>
      <w:r w:rsidRPr="00D946E4">
        <w:rPr>
          <w:color w:val="auto"/>
          <w:sz w:val="20"/>
          <w:szCs w:val="20"/>
        </w:rPr>
        <w:fldChar w:fldCharType="begin"/>
      </w:r>
      <w:r w:rsidRPr="00D946E4">
        <w:rPr>
          <w:color w:val="auto"/>
          <w:sz w:val="20"/>
          <w:szCs w:val="20"/>
        </w:rPr>
        <w:instrText xml:space="preserve"> SEQ Table \* ARABIC </w:instrText>
      </w:r>
      <w:r w:rsidRPr="00D946E4">
        <w:rPr>
          <w:color w:val="auto"/>
          <w:sz w:val="20"/>
          <w:szCs w:val="20"/>
        </w:rPr>
        <w:fldChar w:fldCharType="separate"/>
      </w:r>
      <w:r w:rsidRPr="00D946E4">
        <w:rPr>
          <w:noProof/>
          <w:color w:val="auto"/>
          <w:sz w:val="20"/>
          <w:szCs w:val="20"/>
        </w:rPr>
        <w:t>11</w:t>
      </w:r>
      <w:r w:rsidRPr="00D946E4">
        <w:rPr>
          <w:color w:val="auto"/>
          <w:sz w:val="20"/>
          <w:szCs w:val="20"/>
        </w:rPr>
        <w:fldChar w:fldCharType="end"/>
      </w:r>
      <w:r w:rsidRPr="00D946E4">
        <w:rPr>
          <w:color w:val="auto"/>
          <w:sz w:val="20"/>
          <w:szCs w:val="20"/>
        </w:rPr>
        <w:t>: In-patient numbers, delayed discharges and length of stay 2017-2019</w:t>
      </w:r>
    </w:p>
    <w:tbl>
      <w:tblPr>
        <w:tblW w:w="7780" w:type="dxa"/>
        <w:tblCellMar>
          <w:left w:w="0" w:type="dxa"/>
          <w:right w:w="0" w:type="dxa"/>
        </w:tblCellMar>
        <w:tblLook w:val="04A0" w:firstRow="1" w:lastRow="0" w:firstColumn="1" w:lastColumn="0" w:noHBand="0" w:noVBand="1"/>
      </w:tblPr>
      <w:tblGrid>
        <w:gridCol w:w="960"/>
        <w:gridCol w:w="1400"/>
        <w:gridCol w:w="1580"/>
        <w:gridCol w:w="960"/>
        <w:gridCol w:w="960"/>
        <w:gridCol w:w="960"/>
        <w:gridCol w:w="960"/>
      </w:tblGrid>
      <w:tr w:rsidR="00D946E4" w14:paraId="7EF4CA01" w14:textId="77777777" w:rsidTr="00D946E4">
        <w:trPr>
          <w:trHeight w:val="300"/>
        </w:trPr>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14:paraId="309456C7" w14:textId="77777777" w:rsidR="00D946E4" w:rsidRDefault="00D946E4">
            <w:pPr>
              <w:rPr>
                <w:rFonts w:ascii="Arial" w:eastAsiaTheme="minorHAnsi" w:hAnsi="Arial" w:cs="Arial"/>
                <w:b/>
                <w:bCs/>
                <w:color w:val="000000"/>
                <w:sz w:val="22"/>
                <w:szCs w:val="22"/>
                <w:lang w:val="en-US" w:eastAsia="en-GB"/>
              </w:rPr>
            </w:pPr>
            <w:r>
              <w:rPr>
                <w:rFonts w:ascii="Arial" w:hAnsi="Arial" w:cs="Arial"/>
                <w:b/>
                <w:bCs/>
                <w:color w:val="000000"/>
                <w:lang w:val="en-US" w:eastAsia="en-GB"/>
              </w:rPr>
              <w:t> </w:t>
            </w:r>
          </w:p>
        </w:tc>
        <w:tc>
          <w:tcPr>
            <w:tcW w:w="1400" w:type="dxa"/>
            <w:tcBorders>
              <w:top w:val="single" w:sz="8" w:space="0" w:color="auto"/>
              <w:left w:val="nil"/>
              <w:bottom w:val="nil"/>
              <w:right w:val="nil"/>
            </w:tcBorders>
            <w:noWrap/>
            <w:tcMar>
              <w:top w:w="0" w:type="dxa"/>
              <w:left w:w="108" w:type="dxa"/>
              <w:bottom w:w="0" w:type="dxa"/>
              <w:right w:w="108" w:type="dxa"/>
            </w:tcMar>
            <w:vAlign w:val="bottom"/>
            <w:hideMark/>
          </w:tcPr>
          <w:p w14:paraId="45D1E88F" w14:textId="77777777" w:rsidR="00D946E4" w:rsidRDefault="00D946E4">
            <w:pPr>
              <w:rPr>
                <w:rFonts w:ascii="Arial" w:eastAsiaTheme="minorHAnsi" w:hAnsi="Arial" w:cs="Arial"/>
                <w:b/>
                <w:bCs/>
                <w:color w:val="000000"/>
                <w:sz w:val="22"/>
                <w:szCs w:val="22"/>
                <w:lang w:val="en-US" w:eastAsia="en-GB"/>
              </w:rPr>
            </w:pPr>
            <w:r>
              <w:rPr>
                <w:rFonts w:ascii="Arial" w:hAnsi="Arial" w:cs="Arial"/>
                <w:b/>
                <w:bCs/>
                <w:color w:val="000000"/>
                <w:lang w:val="en-US" w:eastAsia="en-GB"/>
              </w:rPr>
              <w:t> </w:t>
            </w:r>
          </w:p>
        </w:tc>
        <w:tc>
          <w:tcPr>
            <w:tcW w:w="1580" w:type="dxa"/>
            <w:tcBorders>
              <w:top w:val="single" w:sz="8" w:space="0" w:color="auto"/>
              <w:left w:val="nil"/>
              <w:bottom w:val="nil"/>
              <w:right w:val="nil"/>
            </w:tcBorders>
            <w:noWrap/>
            <w:tcMar>
              <w:top w:w="0" w:type="dxa"/>
              <w:left w:w="108" w:type="dxa"/>
              <w:bottom w:w="0" w:type="dxa"/>
              <w:right w:w="108" w:type="dxa"/>
            </w:tcMar>
            <w:vAlign w:val="bottom"/>
            <w:hideMark/>
          </w:tcPr>
          <w:p w14:paraId="20D38EBE" w14:textId="77777777" w:rsidR="00D946E4" w:rsidRDefault="00D946E4">
            <w:pPr>
              <w:rPr>
                <w:rFonts w:ascii="Arial" w:eastAsiaTheme="minorHAnsi" w:hAnsi="Arial" w:cs="Arial"/>
                <w:b/>
                <w:bCs/>
                <w:color w:val="000000"/>
                <w:sz w:val="22"/>
                <w:szCs w:val="22"/>
                <w:lang w:val="en-US" w:eastAsia="en-GB"/>
              </w:rPr>
            </w:pPr>
            <w:r>
              <w:rPr>
                <w:rFonts w:ascii="Arial" w:hAnsi="Arial" w:cs="Arial"/>
                <w:b/>
                <w:bCs/>
                <w:color w:val="000000"/>
                <w:lang w:val="en-US" w:eastAsia="en-GB"/>
              </w:rPr>
              <w:t> </w:t>
            </w:r>
          </w:p>
        </w:tc>
        <w:tc>
          <w:tcPr>
            <w:tcW w:w="3840" w:type="dxa"/>
            <w:gridSpan w:val="4"/>
            <w:tcBorders>
              <w:top w:val="single" w:sz="8" w:space="0" w:color="auto"/>
              <w:left w:val="nil"/>
              <w:bottom w:val="nil"/>
              <w:right w:val="nil"/>
            </w:tcBorders>
            <w:noWrap/>
            <w:tcMar>
              <w:top w:w="0" w:type="dxa"/>
              <w:left w:w="108" w:type="dxa"/>
              <w:bottom w:w="0" w:type="dxa"/>
              <w:right w:w="108" w:type="dxa"/>
            </w:tcMar>
            <w:vAlign w:val="bottom"/>
            <w:hideMark/>
          </w:tcPr>
          <w:p w14:paraId="6F17CBDD"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Length of Stay</w:t>
            </w:r>
          </w:p>
        </w:tc>
      </w:tr>
      <w:tr w:rsidR="00D946E4" w14:paraId="0C2BA8AE" w14:textId="77777777" w:rsidTr="00D946E4">
        <w:trPr>
          <w:trHeight w:val="600"/>
        </w:trPr>
        <w:tc>
          <w:tcPr>
            <w:tcW w:w="960" w:type="dxa"/>
            <w:tcBorders>
              <w:top w:val="nil"/>
              <w:left w:val="nil"/>
              <w:bottom w:val="single" w:sz="8" w:space="0" w:color="auto"/>
              <w:right w:val="nil"/>
            </w:tcBorders>
            <w:tcMar>
              <w:top w:w="0" w:type="dxa"/>
              <w:left w:w="108" w:type="dxa"/>
              <w:bottom w:w="0" w:type="dxa"/>
              <w:right w:w="108" w:type="dxa"/>
            </w:tcMar>
            <w:vAlign w:val="bottom"/>
            <w:hideMark/>
          </w:tcPr>
          <w:p w14:paraId="0FF677C9"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At 31</w:t>
            </w:r>
            <w:r>
              <w:rPr>
                <w:rFonts w:ascii="Arial" w:hAnsi="Arial" w:cs="Arial"/>
                <w:b/>
                <w:bCs/>
                <w:color w:val="000000"/>
                <w:vertAlign w:val="superscript"/>
                <w:lang w:val="en-US" w:eastAsia="en-GB"/>
              </w:rPr>
              <w:t>st</w:t>
            </w:r>
            <w:r>
              <w:rPr>
                <w:rFonts w:ascii="Arial" w:hAnsi="Arial" w:cs="Arial"/>
                <w:b/>
                <w:bCs/>
                <w:color w:val="000000"/>
                <w:lang w:val="en-US" w:eastAsia="en-GB"/>
              </w:rPr>
              <w:t xml:space="preserve"> March</w:t>
            </w:r>
          </w:p>
        </w:tc>
        <w:tc>
          <w:tcPr>
            <w:tcW w:w="1400" w:type="dxa"/>
            <w:tcBorders>
              <w:top w:val="nil"/>
              <w:left w:val="nil"/>
              <w:bottom w:val="single" w:sz="8" w:space="0" w:color="auto"/>
              <w:right w:val="nil"/>
            </w:tcBorders>
            <w:tcMar>
              <w:top w:w="0" w:type="dxa"/>
              <w:left w:w="108" w:type="dxa"/>
              <w:bottom w:w="0" w:type="dxa"/>
              <w:right w:w="108" w:type="dxa"/>
            </w:tcMar>
            <w:vAlign w:val="bottom"/>
            <w:hideMark/>
          </w:tcPr>
          <w:p w14:paraId="7D5E1163"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Inpatient Numbers</w:t>
            </w:r>
          </w:p>
        </w:tc>
        <w:tc>
          <w:tcPr>
            <w:tcW w:w="1580" w:type="dxa"/>
            <w:tcBorders>
              <w:top w:val="nil"/>
              <w:left w:val="nil"/>
              <w:bottom w:val="single" w:sz="8" w:space="0" w:color="auto"/>
              <w:right w:val="nil"/>
            </w:tcBorders>
            <w:tcMar>
              <w:top w:w="0" w:type="dxa"/>
              <w:left w:w="108" w:type="dxa"/>
              <w:bottom w:w="0" w:type="dxa"/>
              <w:right w:w="108" w:type="dxa"/>
            </w:tcMar>
            <w:vAlign w:val="bottom"/>
            <w:hideMark/>
          </w:tcPr>
          <w:p w14:paraId="1CCE0C16"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Delayed Discharges</w:t>
            </w:r>
          </w:p>
        </w:tc>
        <w:tc>
          <w:tcPr>
            <w:tcW w:w="960" w:type="dxa"/>
            <w:tcBorders>
              <w:top w:val="nil"/>
              <w:left w:val="nil"/>
              <w:bottom w:val="single" w:sz="8" w:space="0" w:color="auto"/>
              <w:right w:val="nil"/>
            </w:tcBorders>
            <w:tcMar>
              <w:top w:w="0" w:type="dxa"/>
              <w:left w:w="108" w:type="dxa"/>
              <w:bottom w:w="0" w:type="dxa"/>
              <w:right w:w="108" w:type="dxa"/>
            </w:tcMar>
            <w:vAlign w:val="bottom"/>
            <w:hideMark/>
          </w:tcPr>
          <w:p w14:paraId="27B26AE8"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0-7 days</w:t>
            </w:r>
          </w:p>
        </w:tc>
        <w:tc>
          <w:tcPr>
            <w:tcW w:w="960" w:type="dxa"/>
            <w:tcBorders>
              <w:top w:val="nil"/>
              <w:left w:val="nil"/>
              <w:bottom w:val="single" w:sz="8" w:space="0" w:color="auto"/>
              <w:right w:val="nil"/>
            </w:tcBorders>
            <w:tcMar>
              <w:top w:w="0" w:type="dxa"/>
              <w:left w:w="108" w:type="dxa"/>
              <w:bottom w:w="0" w:type="dxa"/>
              <w:right w:w="108" w:type="dxa"/>
            </w:tcMar>
            <w:vAlign w:val="bottom"/>
            <w:hideMark/>
          </w:tcPr>
          <w:p w14:paraId="02BC01A1"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8-90 days</w:t>
            </w:r>
          </w:p>
        </w:tc>
        <w:tc>
          <w:tcPr>
            <w:tcW w:w="960" w:type="dxa"/>
            <w:tcBorders>
              <w:top w:val="nil"/>
              <w:left w:val="nil"/>
              <w:bottom w:val="single" w:sz="8" w:space="0" w:color="auto"/>
              <w:right w:val="nil"/>
            </w:tcBorders>
            <w:tcMar>
              <w:top w:w="0" w:type="dxa"/>
              <w:left w:w="108" w:type="dxa"/>
              <w:bottom w:w="0" w:type="dxa"/>
              <w:right w:w="108" w:type="dxa"/>
            </w:tcMar>
            <w:vAlign w:val="bottom"/>
            <w:hideMark/>
          </w:tcPr>
          <w:p w14:paraId="01972B93"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91-365 days</w:t>
            </w:r>
          </w:p>
        </w:tc>
        <w:tc>
          <w:tcPr>
            <w:tcW w:w="960" w:type="dxa"/>
            <w:tcBorders>
              <w:top w:val="nil"/>
              <w:left w:val="nil"/>
              <w:bottom w:val="single" w:sz="8" w:space="0" w:color="auto"/>
              <w:right w:val="nil"/>
            </w:tcBorders>
            <w:tcMar>
              <w:top w:w="0" w:type="dxa"/>
              <w:left w:w="108" w:type="dxa"/>
              <w:bottom w:w="0" w:type="dxa"/>
              <w:right w:w="108" w:type="dxa"/>
            </w:tcMar>
            <w:vAlign w:val="bottom"/>
            <w:hideMark/>
          </w:tcPr>
          <w:p w14:paraId="1F6F4EB8" w14:textId="77777777" w:rsidR="00D946E4" w:rsidRDefault="00D946E4">
            <w:pPr>
              <w:jc w:val="center"/>
              <w:rPr>
                <w:rFonts w:ascii="Arial" w:eastAsiaTheme="minorHAnsi" w:hAnsi="Arial" w:cs="Arial"/>
                <w:b/>
                <w:bCs/>
                <w:color w:val="000000"/>
                <w:sz w:val="22"/>
                <w:szCs w:val="22"/>
                <w:lang w:val="en-US" w:eastAsia="en-GB"/>
              </w:rPr>
            </w:pPr>
            <w:r>
              <w:rPr>
                <w:rFonts w:ascii="Arial" w:hAnsi="Arial" w:cs="Arial"/>
                <w:b/>
                <w:bCs/>
                <w:color w:val="000000"/>
                <w:lang w:val="en-US" w:eastAsia="en-GB"/>
              </w:rPr>
              <w:t>&gt;365 days</w:t>
            </w:r>
          </w:p>
        </w:tc>
      </w:tr>
      <w:tr w:rsidR="00D946E4" w14:paraId="6AAA8EE6" w14:textId="77777777" w:rsidTr="00D946E4">
        <w:trPr>
          <w:trHeight w:val="300"/>
        </w:trPr>
        <w:tc>
          <w:tcPr>
            <w:tcW w:w="960" w:type="dxa"/>
            <w:noWrap/>
            <w:tcMar>
              <w:top w:w="0" w:type="dxa"/>
              <w:left w:w="108" w:type="dxa"/>
              <w:bottom w:w="0" w:type="dxa"/>
              <w:right w:w="108" w:type="dxa"/>
            </w:tcMar>
            <w:vAlign w:val="bottom"/>
            <w:hideMark/>
          </w:tcPr>
          <w:p w14:paraId="01F2D8A8"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2017</w:t>
            </w:r>
          </w:p>
        </w:tc>
        <w:tc>
          <w:tcPr>
            <w:tcW w:w="1400" w:type="dxa"/>
            <w:noWrap/>
            <w:tcMar>
              <w:top w:w="0" w:type="dxa"/>
              <w:left w:w="108" w:type="dxa"/>
              <w:bottom w:w="0" w:type="dxa"/>
              <w:right w:w="108" w:type="dxa"/>
            </w:tcMar>
            <w:vAlign w:val="bottom"/>
            <w:hideMark/>
          </w:tcPr>
          <w:p w14:paraId="5C6E5668"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29</w:t>
            </w:r>
          </w:p>
        </w:tc>
        <w:tc>
          <w:tcPr>
            <w:tcW w:w="1580" w:type="dxa"/>
            <w:noWrap/>
            <w:tcMar>
              <w:top w:w="0" w:type="dxa"/>
              <w:left w:w="108" w:type="dxa"/>
              <w:bottom w:w="0" w:type="dxa"/>
              <w:right w:w="108" w:type="dxa"/>
            </w:tcMar>
            <w:vAlign w:val="bottom"/>
            <w:hideMark/>
          </w:tcPr>
          <w:p w14:paraId="0FF5C886"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1</w:t>
            </w:r>
          </w:p>
        </w:tc>
        <w:tc>
          <w:tcPr>
            <w:tcW w:w="960" w:type="dxa"/>
            <w:noWrap/>
            <w:tcMar>
              <w:top w:w="0" w:type="dxa"/>
              <w:left w:w="108" w:type="dxa"/>
              <w:bottom w:w="0" w:type="dxa"/>
              <w:right w:w="108" w:type="dxa"/>
            </w:tcMar>
            <w:vAlign w:val="bottom"/>
            <w:hideMark/>
          </w:tcPr>
          <w:p w14:paraId="631A8702"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6</w:t>
            </w:r>
          </w:p>
        </w:tc>
        <w:tc>
          <w:tcPr>
            <w:tcW w:w="960" w:type="dxa"/>
            <w:noWrap/>
            <w:tcMar>
              <w:top w:w="0" w:type="dxa"/>
              <w:left w:w="108" w:type="dxa"/>
              <w:bottom w:w="0" w:type="dxa"/>
              <w:right w:w="108" w:type="dxa"/>
            </w:tcMar>
            <w:vAlign w:val="bottom"/>
            <w:hideMark/>
          </w:tcPr>
          <w:p w14:paraId="0BBA38C3"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14</w:t>
            </w:r>
          </w:p>
        </w:tc>
        <w:tc>
          <w:tcPr>
            <w:tcW w:w="960" w:type="dxa"/>
            <w:noWrap/>
            <w:tcMar>
              <w:top w:w="0" w:type="dxa"/>
              <w:left w:w="108" w:type="dxa"/>
              <w:bottom w:w="0" w:type="dxa"/>
              <w:right w:w="108" w:type="dxa"/>
            </w:tcMar>
            <w:vAlign w:val="bottom"/>
            <w:hideMark/>
          </w:tcPr>
          <w:p w14:paraId="02204CF0"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6</w:t>
            </w:r>
          </w:p>
        </w:tc>
        <w:tc>
          <w:tcPr>
            <w:tcW w:w="960" w:type="dxa"/>
            <w:noWrap/>
            <w:tcMar>
              <w:top w:w="0" w:type="dxa"/>
              <w:left w:w="108" w:type="dxa"/>
              <w:bottom w:w="0" w:type="dxa"/>
              <w:right w:w="108" w:type="dxa"/>
            </w:tcMar>
            <w:vAlign w:val="bottom"/>
            <w:hideMark/>
          </w:tcPr>
          <w:p w14:paraId="2C343A3A"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3</w:t>
            </w:r>
          </w:p>
        </w:tc>
      </w:tr>
      <w:tr w:rsidR="00D946E4" w14:paraId="73AD8E28" w14:textId="77777777" w:rsidTr="00D946E4">
        <w:trPr>
          <w:trHeight w:val="300"/>
        </w:trPr>
        <w:tc>
          <w:tcPr>
            <w:tcW w:w="960" w:type="dxa"/>
            <w:noWrap/>
            <w:tcMar>
              <w:top w:w="0" w:type="dxa"/>
              <w:left w:w="108" w:type="dxa"/>
              <w:bottom w:w="0" w:type="dxa"/>
              <w:right w:w="108" w:type="dxa"/>
            </w:tcMar>
            <w:vAlign w:val="bottom"/>
            <w:hideMark/>
          </w:tcPr>
          <w:p w14:paraId="2C38F781"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2018</w:t>
            </w:r>
          </w:p>
        </w:tc>
        <w:tc>
          <w:tcPr>
            <w:tcW w:w="1400" w:type="dxa"/>
            <w:noWrap/>
            <w:tcMar>
              <w:top w:w="0" w:type="dxa"/>
              <w:left w:w="108" w:type="dxa"/>
              <w:bottom w:w="0" w:type="dxa"/>
              <w:right w:w="108" w:type="dxa"/>
            </w:tcMar>
            <w:vAlign w:val="bottom"/>
            <w:hideMark/>
          </w:tcPr>
          <w:p w14:paraId="207BE38F"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29</w:t>
            </w:r>
          </w:p>
        </w:tc>
        <w:tc>
          <w:tcPr>
            <w:tcW w:w="1580" w:type="dxa"/>
            <w:noWrap/>
            <w:tcMar>
              <w:top w:w="0" w:type="dxa"/>
              <w:left w:w="108" w:type="dxa"/>
              <w:bottom w:w="0" w:type="dxa"/>
              <w:right w:w="108" w:type="dxa"/>
            </w:tcMar>
            <w:vAlign w:val="bottom"/>
            <w:hideMark/>
          </w:tcPr>
          <w:p w14:paraId="4BD5BAAB"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1</w:t>
            </w:r>
          </w:p>
        </w:tc>
        <w:tc>
          <w:tcPr>
            <w:tcW w:w="960" w:type="dxa"/>
            <w:noWrap/>
            <w:tcMar>
              <w:top w:w="0" w:type="dxa"/>
              <w:left w:w="108" w:type="dxa"/>
              <w:bottom w:w="0" w:type="dxa"/>
              <w:right w:w="108" w:type="dxa"/>
            </w:tcMar>
            <w:vAlign w:val="bottom"/>
            <w:hideMark/>
          </w:tcPr>
          <w:p w14:paraId="6167042A"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5</w:t>
            </w:r>
          </w:p>
        </w:tc>
        <w:tc>
          <w:tcPr>
            <w:tcW w:w="960" w:type="dxa"/>
            <w:noWrap/>
            <w:tcMar>
              <w:top w:w="0" w:type="dxa"/>
              <w:left w:w="108" w:type="dxa"/>
              <w:bottom w:w="0" w:type="dxa"/>
              <w:right w:w="108" w:type="dxa"/>
            </w:tcMar>
            <w:vAlign w:val="bottom"/>
            <w:hideMark/>
          </w:tcPr>
          <w:p w14:paraId="4817BB7D"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13</w:t>
            </w:r>
          </w:p>
        </w:tc>
        <w:tc>
          <w:tcPr>
            <w:tcW w:w="960" w:type="dxa"/>
            <w:noWrap/>
            <w:tcMar>
              <w:top w:w="0" w:type="dxa"/>
              <w:left w:w="108" w:type="dxa"/>
              <w:bottom w:w="0" w:type="dxa"/>
              <w:right w:w="108" w:type="dxa"/>
            </w:tcMar>
            <w:vAlign w:val="bottom"/>
            <w:hideMark/>
          </w:tcPr>
          <w:p w14:paraId="51808A64"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9</w:t>
            </w:r>
          </w:p>
        </w:tc>
        <w:tc>
          <w:tcPr>
            <w:tcW w:w="960" w:type="dxa"/>
            <w:noWrap/>
            <w:tcMar>
              <w:top w:w="0" w:type="dxa"/>
              <w:left w:w="108" w:type="dxa"/>
              <w:bottom w:w="0" w:type="dxa"/>
              <w:right w:w="108" w:type="dxa"/>
            </w:tcMar>
            <w:vAlign w:val="bottom"/>
            <w:hideMark/>
          </w:tcPr>
          <w:p w14:paraId="4B4A1251"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w:t>
            </w:r>
          </w:p>
        </w:tc>
      </w:tr>
      <w:tr w:rsidR="00D946E4" w14:paraId="1C54CB98" w14:textId="77777777" w:rsidTr="009636CD">
        <w:trPr>
          <w:trHeight w:val="300"/>
        </w:trPr>
        <w:tc>
          <w:tcPr>
            <w:tcW w:w="960" w:type="dxa"/>
            <w:noWrap/>
            <w:tcMar>
              <w:top w:w="0" w:type="dxa"/>
              <w:left w:w="108" w:type="dxa"/>
              <w:bottom w:w="0" w:type="dxa"/>
              <w:right w:w="108" w:type="dxa"/>
            </w:tcMar>
            <w:vAlign w:val="bottom"/>
            <w:hideMark/>
          </w:tcPr>
          <w:p w14:paraId="6433817A"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2019</w:t>
            </w:r>
          </w:p>
        </w:tc>
        <w:tc>
          <w:tcPr>
            <w:tcW w:w="1400" w:type="dxa"/>
            <w:shd w:val="clear" w:color="auto" w:fill="FFFFFF" w:themeFill="background1"/>
            <w:noWrap/>
            <w:tcMar>
              <w:top w:w="0" w:type="dxa"/>
              <w:left w:w="108" w:type="dxa"/>
              <w:bottom w:w="0" w:type="dxa"/>
              <w:right w:w="108" w:type="dxa"/>
            </w:tcMar>
            <w:vAlign w:val="bottom"/>
            <w:hideMark/>
          </w:tcPr>
          <w:p w14:paraId="26FB0335"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29</w:t>
            </w:r>
          </w:p>
        </w:tc>
        <w:tc>
          <w:tcPr>
            <w:tcW w:w="1580" w:type="dxa"/>
            <w:shd w:val="clear" w:color="auto" w:fill="FFFFFF" w:themeFill="background1"/>
            <w:noWrap/>
            <w:tcMar>
              <w:top w:w="0" w:type="dxa"/>
              <w:left w:w="108" w:type="dxa"/>
              <w:bottom w:w="0" w:type="dxa"/>
              <w:right w:w="108" w:type="dxa"/>
            </w:tcMar>
            <w:vAlign w:val="bottom"/>
            <w:hideMark/>
          </w:tcPr>
          <w:p w14:paraId="06B6D296"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5</w:t>
            </w:r>
          </w:p>
        </w:tc>
        <w:tc>
          <w:tcPr>
            <w:tcW w:w="960" w:type="dxa"/>
            <w:shd w:val="clear" w:color="auto" w:fill="FFFFFF" w:themeFill="background1"/>
            <w:noWrap/>
            <w:tcMar>
              <w:top w:w="0" w:type="dxa"/>
              <w:left w:w="108" w:type="dxa"/>
              <w:bottom w:w="0" w:type="dxa"/>
              <w:right w:w="108" w:type="dxa"/>
            </w:tcMar>
            <w:vAlign w:val="bottom"/>
            <w:hideMark/>
          </w:tcPr>
          <w:p w14:paraId="2EB97F2A"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w:t>
            </w:r>
          </w:p>
        </w:tc>
        <w:tc>
          <w:tcPr>
            <w:tcW w:w="960" w:type="dxa"/>
            <w:shd w:val="clear" w:color="auto" w:fill="FFFFFF" w:themeFill="background1"/>
            <w:noWrap/>
            <w:tcMar>
              <w:top w:w="0" w:type="dxa"/>
              <w:left w:w="108" w:type="dxa"/>
              <w:bottom w:w="0" w:type="dxa"/>
              <w:right w:w="108" w:type="dxa"/>
            </w:tcMar>
            <w:vAlign w:val="bottom"/>
            <w:hideMark/>
          </w:tcPr>
          <w:p w14:paraId="1D502A5A"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20</w:t>
            </w:r>
          </w:p>
        </w:tc>
        <w:tc>
          <w:tcPr>
            <w:tcW w:w="960" w:type="dxa"/>
            <w:shd w:val="clear" w:color="auto" w:fill="FFFFFF" w:themeFill="background1"/>
            <w:noWrap/>
            <w:tcMar>
              <w:top w:w="0" w:type="dxa"/>
              <w:left w:w="108" w:type="dxa"/>
              <w:bottom w:w="0" w:type="dxa"/>
              <w:right w:w="108" w:type="dxa"/>
            </w:tcMar>
            <w:vAlign w:val="bottom"/>
            <w:hideMark/>
          </w:tcPr>
          <w:p w14:paraId="27758C19"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5</w:t>
            </w:r>
          </w:p>
        </w:tc>
        <w:tc>
          <w:tcPr>
            <w:tcW w:w="960" w:type="dxa"/>
            <w:shd w:val="clear" w:color="auto" w:fill="FFFFFF" w:themeFill="background1"/>
            <w:noWrap/>
            <w:tcMar>
              <w:top w:w="0" w:type="dxa"/>
              <w:left w:w="108" w:type="dxa"/>
              <w:bottom w:w="0" w:type="dxa"/>
              <w:right w:w="108" w:type="dxa"/>
            </w:tcMar>
            <w:vAlign w:val="bottom"/>
            <w:hideMark/>
          </w:tcPr>
          <w:p w14:paraId="638C66E8"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w:t>
            </w:r>
          </w:p>
        </w:tc>
      </w:tr>
      <w:tr w:rsidR="00D946E4" w14:paraId="091B71EB" w14:textId="77777777" w:rsidTr="00D946E4">
        <w:trPr>
          <w:trHeight w:val="300"/>
        </w:trPr>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7C133C9D"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2020</w:t>
            </w:r>
          </w:p>
        </w:tc>
        <w:tc>
          <w:tcPr>
            <w:tcW w:w="1400" w:type="dxa"/>
            <w:tcBorders>
              <w:top w:val="nil"/>
              <w:left w:val="nil"/>
              <w:bottom w:val="single" w:sz="8" w:space="0" w:color="auto"/>
              <w:right w:val="nil"/>
            </w:tcBorders>
            <w:noWrap/>
            <w:tcMar>
              <w:top w:w="0" w:type="dxa"/>
              <w:left w:w="108" w:type="dxa"/>
              <w:bottom w:w="0" w:type="dxa"/>
              <w:right w:w="108" w:type="dxa"/>
            </w:tcMar>
            <w:vAlign w:val="bottom"/>
            <w:hideMark/>
          </w:tcPr>
          <w:p w14:paraId="09094E4C"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19</w:t>
            </w:r>
          </w:p>
        </w:tc>
        <w:tc>
          <w:tcPr>
            <w:tcW w:w="1580" w:type="dxa"/>
            <w:tcBorders>
              <w:top w:val="nil"/>
              <w:left w:val="nil"/>
              <w:bottom w:val="single" w:sz="8" w:space="0" w:color="auto"/>
              <w:right w:val="nil"/>
            </w:tcBorders>
            <w:noWrap/>
            <w:tcMar>
              <w:top w:w="0" w:type="dxa"/>
              <w:left w:w="108" w:type="dxa"/>
              <w:bottom w:w="0" w:type="dxa"/>
              <w:right w:w="108" w:type="dxa"/>
            </w:tcMar>
            <w:vAlign w:val="bottom"/>
            <w:hideMark/>
          </w:tcPr>
          <w:p w14:paraId="450D6571"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0</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2DF983DB"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0</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5844404C"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12</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4D639859"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0</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00D86806" w14:textId="77777777" w:rsidR="00D946E4" w:rsidRDefault="00D946E4">
            <w:pPr>
              <w:jc w:val="right"/>
              <w:rPr>
                <w:rFonts w:ascii="Arial" w:eastAsiaTheme="minorHAnsi" w:hAnsi="Arial" w:cs="Arial"/>
                <w:color w:val="000000"/>
                <w:sz w:val="22"/>
                <w:szCs w:val="22"/>
                <w:lang w:val="en-US" w:eastAsia="en-GB"/>
              </w:rPr>
            </w:pPr>
            <w:r>
              <w:rPr>
                <w:rFonts w:ascii="Arial" w:hAnsi="Arial" w:cs="Arial"/>
                <w:color w:val="000000"/>
                <w:lang w:val="en-US" w:eastAsia="en-GB"/>
              </w:rPr>
              <w:t>0</w:t>
            </w:r>
          </w:p>
        </w:tc>
      </w:tr>
    </w:tbl>
    <w:p w14:paraId="7050EF6C" w14:textId="1F0448C0" w:rsidR="0070760C" w:rsidRDefault="0070760C" w:rsidP="00313FA5">
      <w:pPr>
        <w:pStyle w:val="NICCYSubline"/>
      </w:pPr>
    </w:p>
    <w:p w14:paraId="0267BBC1" w14:textId="77777777" w:rsidR="0070760C" w:rsidRDefault="0070760C" w:rsidP="00313FA5">
      <w:pPr>
        <w:pStyle w:val="NICCYSubline"/>
      </w:pPr>
    </w:p>
    <w:p w14:paraId="3417409B" w14:textId="77777777" w:rsidR="00724DE8" w:rsidRDefault="00724DE8" w:rsidP="00313FA5">
      <w:pPr>
        <w:pStyle w:val="NICCYSubline"/>
        <w:rPr>
          <w:color w:val="FF0000"/>
        </w:rPr>
      </w:pPr>
    </w:p>
    <w:p w14:paraId="5FD53B00" w14:textId="46C3377A" w:rsidR="00724DE8" w:rsidRDefault="00724DE8" w:rsidP="00313FA5">
      <w:pPr>
        <w:pStyle w:val="NICCYSubline"/>
        <w:rPr>
          <w:color w:val="FF0000"/>
        </w:rPr>
      </w:pPr>
    </w:p>
    <w:p w14:paraId="328239BB" w14:textId="262D1758" w:rsidR="00352FC8" w:rsidRDefault="00352FC8" w:rsidP="00313FA5">
      <w:pPr>
        <w:pStyle w:val="NICCYSubline"/>
        <w:rPr>
          <w:color w:val="000000" w:themeColor="text1"/>
        </w:rPr>
      </w:pPr>
      <w:r>
        <w:rPr>
          <w:color w:val="FF0000"/>
        </w:rPr>
        <w:t>11.0 Iveagh</w:t>
      </w:r>
      <w:r w:rsidR="00724DE8">
        <w:rPr>
          <w:color w:val="FF0000"/>
        </w:rPr>
        <w:t xml:space="preserve"> Centre</w:t>
      </w:r>
    </w:p>
    <w:p w14:paraId="6B88690A" w14:textId="7B765897" w:rsidR="00352FC8" w:rsidRDefault="00352FC8" w:rsidP="00313FA5">
      <w:pPr>
        <w:pStyle w:val="NICCYSubline"/>
        <w:rPr>
          <w:color w:val="000000" w:themeColor="text1"/>
        </w:rPr>
      </w:pPr>
    </w:p>
    <w:p w14:paraId="1A6D63DB" w14:textId="77777777" w:rsidR="00724DE8" w:rsidRDefault="00724DE8" w:rsidP="00724DE8">
      <w:pPr>
        <w:rPr>
          <w:rFonts w:ascii="Arial" w:eastAsiaTheme="minorEastAsia" w:hAnsi="Arial" w:cs="Arial"/>
          <w:color w:val="414042"/>
          <w:sz w:val="24"/>
          <w:szCs w:val="24"/>
        </w:rPr>
      </w:pPr>
      <w:r w:rsidRPr="009368D5">
        <w:rPr>
          <w:rFonts w:ascii="Arial" w:eastAsiaTheme="minorEastAsia" w:hAnsi="Arial" w:cs="Arial"/>
          <w:color w:val="414042"/>
          <w:sz w:val="24"/>
          <w:szCs w:val="24"/>
        </w:rPr>
        <w:t xml:space="preserve">As of </w:t>
      </w:r>
      <w:r>
        <w:rPr>
          <w:rFonts w:ascii="Arial" w:eastAsiaTheme="minorEastAsia" w:hAnsi="Arial" w:cs="Arial"/>
          <w:color w:val="414042"/>
          <w:sz w:val="24"/>
          <w:szCs w:val="24"/>
        </w:rPr>
        <w:t xml:space="preserve">28 </w:t>
      </w:r>
      <w:r w:rsidRPr="009368D5">
        <w:rPr>
          <w:rFonts w:ascii="Arial" w:eastAsiaTheme="minorEastAsia" w:hAnsi="Arial" w:cs="Arial"/>
          <w:color w:val="414042"/>
          <w:sz w:val="24"/>
          <w:szCs w:val="24"/>
        </w:rPr>
        <w:t>A</w:t>
      </w:r>
      <w:r>
        <w:rPr>
          <w:rFonts w:ascii="Arial" w:eastAsiaTheme="minorEastAsia" w:hAnsi="Arial" w:cs="Arial"/>
          <w:color w:val="414042"/>
          <w:sz w:val="24"/>
          <w:szCs w:val="24"/>
        </w:rPr>
        <w:t>ugust 2019</w:t>
      </w:r>
      <w:r w:rsidRPr="009368D5">
        <w:rPr>
          <w:rFonts w:ascii="Arial" w:eastAsiaTheme="minorEastAsia" w:hAnsi="Arial" w:cs="Arial"/>
          <w:color w:val="414042"/>
          <w:sz w:val="24"/>
          <w:szCs w:val="24"/>
        </w:rPr>
        <w:t xml:space="preserve">, 3 young people </w:t>
      </w:r>
      <w:r>
        <w:rPr>
          <w:rFonts w:ascii="Arial" w:eastAsiaTheme="minorEastAsia" w:hAnsi="Arial" w:cs="Arial"/>
          <w:color w:val="414042"/>
          <w:sz w:val="24"/>
          <w:szCs w:val="24"/>
        </w:rPr>
        <w:t>were</w:t>
      </w:r>
      <w:r w:rsidRPr="009368D5">
        <w:rPr>
          <w:rFonts w:ascii="Arial" w:eastAsiaTheme="minorEastAsia" w:hAnsi="Arial" w:cs="Arial"/>
          <w:color w:val="414042"/>
          <w:sz w:val="24"/>
          <w:szCs w:val="24"/>
        </w:rPr>
        <w:t xml:space="preserve"> on </w:t>
      </w:r>
      <w:r>
        <w:rPr>
          <w:rFonts w:ascii="Arial" w:eastAsiaTheme="minorEastAsia" w:hAnsi="Arial" w:cs="Arial"/>
          <w:color w:val="414042"/>
          <w:sz w:val="24"/>
          <w:szCs w:val="24"/>
        </w:rPr>
        <w:t>a waiting list to be admitted to Iveagh from two HSCT areas. Please note that this figure is likely to be a significant under-representation of the real situation as referral agents are not likely to make a referral if it is known that no beds are available.</w:t>
      </w:r>
      <w:r>
        <w:rPr>
          <w:rStyle w:val="FootnoteReference"/>
          <w:rFonts w:ascii="Arial" w:eastAsiaTheme="minorEastAsia" w:hAnsi="Arial" w:cs="Arial"/>
          <w:color w:val="414042"/>
          <w:sz w:val="24"/>
          <w:szCs w:val="24"/>
        </w:rPr>
        <w:footnoteReference w:id="7"/>
      </w:r>
      <w:r>
        <w:rPr>
          <w:rFonts w:ascii="Arial" w:eastAsiaTheme="minorEastAsia" w:hAnsi="Arial" w:cs="Arial"/>
          <w:color w:val="414042"/>
          <w:sz w:val="24"/>
          <w:szCs w:val="24"/>
        </w:rPr>
        <w:t xml:space="preserve"> </w:t>
      </w:r>
    </w:p>
    <w:p w14:paraId="719C8C24" w14:textId="77777777" w:rsidR="00724DE8" w:rsidRDefault="00724DE8" w:rsidP="00724DE8">
      <w:pPr>
        <w:rPr>
          <w:rFonts w:ascii="Arial" w:eastAsiaTheme="minorEastAsia" w:hAnsi="Arial" w:cs="Arial"/>
          <w:color w:val="414042"/>
          <w:sz w:val="24"/>
          <w:szCs w:val="24"/>
        </w:rPr>
      </w:pPr>
    </w:p>
    <w:p w14:paraId="492B4FA8" w14:textId="33ED1289" w:rsidR="009E5121" w:rsidRDefault="00724DE8" w:rsidP="009E5121">
      <w:pPr>
        <w:pStyle w:val="CommentText"/>
      </w:pPr>
      <w:r>
        <w:rPr>
          <w:rFonts w:ascii="Arial" w:eastAsiaTheme="minorEastAsia" w:hAnsi="Arial" w:cs="Arial"/>
          <w:color w:val="414042"/>
          <w:sz w:val="24"/>
          <w:szCs w:val="24"/>
        </w:rPr>
        <w:t>It is also the case that on occasion young people more suitable for Iveagh are being placed in Beechcroft</w:t>
      </w:r>
      <w:r w:rsidRPr="00B33E9C">
        <w:rPr>
          <w:rFonts w:ascii="Arial" w:eastAsiaTheme="minorEastAsia" w:hAnsi="Arial" w:cs="Arial"/>
          <w:color w:val="414042"/>
          <w:sz w:val="24"/>
          <w:szCs w:val="24"/>
        </w:rPr>
        <w:t xml:space="preserve"> </w:t>
      </w:r>
      <w:r>
        <w:rPr>
          <w:rFonts w:ascii="Arial" w:eastAsiaTheme="minorEastAsia" w:hAnsi="Arial" w:cs="Arial"/>
          <w:color w:val="414042"/>
          <w:sz w:val="24"/>
          <w:szCs w:val="24"/>
        </w:rPr>
        <w:t>due to a lack of capacity at Iveagh although a small number of young people appear to be affected by this i.e. 1-2 per year</w:t>
      </w:r>
      <w:r>
        <w:rPr>
          <w:rStyle w:val="FootnoteReference"/>
          <w:rFonts w:ascii="Arial" w:eastAsiaTheme="minorEastAsia" w:hAnsi="Arial" w:cs="Arial"/>
          <w:color w:val="414042"/>
          <w:sz w:val="24"/>
          <w:szCs w:val="24"/>
        </w:rPr>
        <w:footnoteReference w:id="8"/>
      </w:r>
      <w:r>
        <w:rPr>
          <w:rFonts w:ascii="Arial" w:eastAsiaTheme="minorEastAsia" w:hAnsi="Arial" w:cs="Arial"/>
          <w:color w:val="414042"/>
          <w:sz w:val="24"/>
          <w:szCs w:val="24"/>
        </w:rPr>
        <w:t>, it is concerning that this is happening and that t</w:t>
      </w:r>
      <w:r w:rsidRPr="00B33E9C">
        <w:rPr>
          <w:rFonts w:ascii="Arial" w:eastAsiaTheme="minorEastAsia" w:hAnsi="Arial" w:cs="Arial"/>
          <w:color w:val="414042"/>
          <w:sz w:val="24"/>
          <w:szCs w:val="24"/>
        </w:rPr>
        <w:t>here is no statutory oblig</w:t>
      </w:r>
      <w:r>
        <w:rPr>
          <w:rFonts w:ascii="Arial" w:eastAsiaTheme="minorEastAsia" w:hAnsi="Arial" w:cs="Arial"/>
          <w:color w:val="414042"/>
          <w:sz w:val="24"/>
          <w:szCs w:val="24"/>
        </w:rPr>
        <w:t xml:space="preserve">ation for a HSCT to inform RQIA </w:t>
      </w:r>
      <w:r w:rsidRPr="00B33E9C">
        <w:rPr>
          <w:rFonts w:ascii="Arial" w:eastAsiaTheme="minorEastAsia" w:hAnsi="Arial" w:cs="Arial"/>
          <w:color w:val="414042"/>
          <w:sz w:val="24"/>
          <w:szCs w:val="24"/>
        </w:rPr>
        <w:t>when a young person is assessed as requiring admission to the I</w:t>
      </w:r>
      <w:r>
        <w:rPr>
          <w:rFonts w:ascii="Arial" w:eastAsiaTheme="minorEastAsia" w:hAnsi="Arial" w:cs="Arial"/>
          <w:color w:val="414042"/>
          <w:sz w:val="24"/>
          <w:szCs w:val="24"/>
        </w:rPr>
        <w:t xml:space="preserve">veagh Centre but </w:t>
      </w:r>
      <w:r w:rsidRPr="00537D7F">
        <w:rPr>
          <w:rFonts w:ascii="Arial" w:eastAsiaTheme="minorEastAsia" w:hAnsi="Arial" w:cs="Arial"/>
          <w:color w:val="414042"/>
          <w:sz w:val="24"/>
          <w:szCs w:val="24"/>
        </w:rPr>
        <w:t>is admitted to Beechcroft.</w:t>
      </w:r>
      <w:r w:rsidR="009E5121">
        <w:rPr>
          <w:rFonts w:ascii="Arial" w:eastAsiaTheme="minorEastAsia" w:hAnsi="Arial" w:cs="Arial"/>
          <w:color w:val="414042"/>
          <w:sz w:val="24"/>
          <w:szCs w:val="24"/>
        </w:rPr>
        <w:t xml:space="preserve"> However, we have been informed that </w:t>
      </w:r>
      <w:r w:rsidR="009E5121" w:rsidRPr="009E5121">
        <w:rPr>
          <w:rFonts w:ascii="Arial" w:eastAsiaTheme="minorEastAsia" w:hAnsi="Arial" w:cs="Arial"/>
          <w:color w:val="414042"/>
          <w:sz w:val="24"/>
          <w:szCs w:val="24"/>
        </w:rPr>
        <w:t>co-working arrangements</w:t>
      </w:r>
      <w:r w:rsidR="009E5121">
        <w:rPr>
          <w:rFonts w:ascii="Arial" w:eastAsiaTheme="minorEastAsia" w:hAnsi="Arial" w:cs="Arial"/>
          <w:color w:val="414042"/>
          <w:sz w:val="24"/>
          <w:szCs w:val="24"/>
        </w:rPr>
        <w:t xml:space="preserve"> are</w:t>
      </w:r>
      <w:r w:rsidR="009E5121" w:rsidRPr="009E5121">
        <w:rPr>
          <w:rFonts w:ascii="Arial" w:eastAsiaTheme="minorEastAsia" w:hAnsi="Arial" w:cs="Arial"/>
          <w:color w:val="414042"/>
          <w:sz w:val="24"/>
          <w:szCs w:val="24"/>
        </w:rPr>
        <w:t xml:space="preserve"> in place to ensure that any young person admitted to Beechcroft, who receives community I</w:t>
      </w:r>
      <w:r w:rsidR="009E5121">
        <w:rPr>
          <w:rFonts w:ascii="Arial" w:eastAsiaTheme="minorEastAsia" w:hAnsi="Arial" w:cs="Arial"/>
          <w:color w:val="414042"/>
          <w:sz w:val="24"/>
          <w:szCs w:val="24"/>
        </w:rPr>
        <w:t xml:space="preserve">ntellectual </w:t>
      </w:r>
      <w:r w:rsidR="009E5121" w:rsidRPr="009E5121">
        <w:rPr>
          <w:rFonts w:ascii="Arial" w:eastAsiaTheme="minorEastAsia" w:hAnsi="Arial" w:cs="Arial"/>
          <w:color w:val="414042"/>
          <w:sz w:val="24"/>
          <w:szCs w:val="24"/>
        </w:rPr>
        <w:t>D</w:t>
      </w:r>
      <w:r w:rsidR="009E5121">
        <w:rPr>
          <w:rFonts w:ascii="Arial" w:eastAsiaTheme="minorEastAsia" w:hAnsi="Arial" w:cs="Arial"/>
          <w:color w:val="414042"/>
          <w:sz w:val="24"/>
          <w:szCs w:val="24"/>
        </w:rPr>
        <w:t>isability</w:t>
      </w:r>
      <w:r w:rsidR="009E5121" w:rsidRPr="009E5121">
        <w:rPr>
          <w:rFonts w:ascii="Arial" w:eastAsiaTheme="minorEastAsia" w:hAnsi="Arial" w:cs="Arial"/>
          <w:color w:val="414042"/>
          <w:sz w:val="24"/>
          <w:szCs w:val="24"/>
        </w:rPr>
        <w:t xml:space="preserve"> services, is cared for jointly by the Consultant Psychiatrist covering Iveagh and Consultant Psychiatrist covering Beechcroft.</w:t>
      </w:r>
    </w:p>
    <w:p w14:paraId="50526207" w14:textId="2AE5289B" w:rsidR="00724DE8" w:rsidRDefault="00724DE8" w:rsidP="00724DE8">
      <w:pPr>
        <w:autoSpaceDE w:val="0"/>
        <w:autoSpaceDN w:val="0"/>
        <w:adjustRightInd w:val="0"/>
        <w:spacing w:line="276" w:lineRule="auto"/>
        <w:rPr>
          <w:b/>
          <w:color w:val="414042"/>
        </w:rPr>
      </w:pPr>
    </w:p>
    <w:p w14:paraId="33F87B45" w14:textId="77777777" w:rsidR="00724DE8" w:rsidRDefault="00724DE8" w:rsidP="00724DE8">
      <w:pPr>
        <w:pStyle w:val="NICCYSubtitle0"/>
        <w:spacing w:line="276" w:lineRule="auto"/>
        <w:rPr>
          <w:b w:val="0"/>
          <w:color w:val="414042"/>
        </w:rPr>
      </w:pPr>
      <w:r>
        <w:rPr>
          <w:b w:val="0"/>
          <w:color w:val="414042"/>
        </w:rPr>
        <w:t xml:space="preserve">At 27 August 2019, there were 7 young people being treated in Iveagh, and four of the young people were experiencing extreme delayed discharge, the average delayed discharge was 378 days (over a year) and ranged between 280 days to 546 days (1 ½ </w:t>
      </w:r>
      <w:r>
        <w:rPr>
          <w:b w:val="0"/>
          <w:color w:val="414042"/>
        </w:rPr>
        <w:lastRenderedPageBreak/>
        <w:t xml:space="preserve">yrs). In all cases the reason for delayed discharge was due to a domiciliary care package in community not being in place and / or a lack of community intensive support. </w:t>
      </w:r>
    </w:p>
    <w:p w14:paraId="3E1D9E85" w14:textId="77777777" w:rsidR="00724DE8" w:rsidRDefault="00724DE8" w:rsidP="00724DE8">
      <w:pPr>
        <w:pStyle w:val="NICCYSubtitle0"/>
        <w:spacing w:line="276" w:lineRule="auto"/>
        <w:rPr>
          <w:color w:val="414042"/>
        </w:rPr>
      </w:pPr>
    </w:p>
    <w:p w14:paraId="11571CC6" w14:textId="77777777" w:rsidR="00724DE8" w:rsidRPr="0011458E" w:rsidRDefault="00724DE8" w:rsidP="00724DE8">
      <w:pPr>
        <w:pStyle w:val="NICCYSubtitle0"/>
        <w:spacing w:line="276" w:lineRule="auto"/>
        <w:rPr>
          <w:b w:val="0"/>
          <w:color w:val="414042"/>
        </w:rPr>
      </w:pPr>
      <w:r>
        <w:rPr>
          <w:b w:val="0"/>
          <w:color w:val="414042"/>
        </w:rPr>
        <w:t>Table 1.0</w:t>
      </w:r>
      <w:r w:rsidRPr="0011458E">
        <w:rPr>
          <w:b w:val="0"/>
          <w:color w:val="414042"/>
        </w:rPr>
        <w:t xml:space="preserve"> outlines the minimum, maximum and average length of </w:t>
      </w:r>
      <w:r>
        <w:rPr>
          <w:b w:val="0"/>
          <w:color w:val="414042"/>
        </w:rPr>
        <w:t>stay</w:t>
      </w:r>
      <w:r w:rsidRPr="0011458E">
        <w:rPr>
          <w:b w:val="0"/>
          <w:color w:val="414042"/>
        </w:rPr>
        <w:t xml:space="preserve"> between 2017 and 2019 and shows that </w:t>
      </w:r>
      <w:r>
        <w:rPr>
          <w:b w:val="0"/>
          <w:color w:val="414042"/>
        </w:rPr>
        <w:t>the minimum length of stay was 7 days, maximum stay 870 days (well over 2 years) and the average length of stay was 1 year (351 days).</w:t>
      </w:r>
    </w:p>
    <w:p w14:paraId="55F7A435" w14:textId="77777777" w:rsidR="00724DE8" w:rsidRPr="0011458E" w:rsidRDefault="00724DE8" w:rsidP="00724DE8">
      <w:pPr>
        <w:pStyle w:val="NICCYSubtitle0"/>
        <w:spacing w:line="276" w:lineRule="auto"/>
        <w:rPr>
          <w:b w:val="0"/>
          <w:color w:val="414042"/>
        </w:rPr>
      </w:pPr>
    </w:p>
    <w:p w14:paraId="18635BA6" w14:textId="77777777" w:rsidR="00724DE8" w:rsidRDefault="00724DE8" w:rsidP="00724DE8">
      <w:pPr>
        <w:pStyle w:val="NICCYSubtitle0"/>
        <w:spacing w:line="276" w:lineRule="auto"/>
        <w:rPr>
          <w:b w:val="0"/>
          <w:color w:val="414042"/>
        </w:rPr>
      </w:pPr>
      <w:r>
        <w:rPr>
          <w:b w:val="0"/>
          <w:color w:val="414042"/>
        </w:rPr>
        <w:t xml:space="preserve">It is important to note that the Iveagh Centre is a hospital therefore stays of 1 -2 years are completely out of line with its service specification. </w:t>
      </w:r>
    </w:p>
    <w:p w14:paraId="36BFB357" w14:textId="77777777" w:rsidR="00724DE8" w:rsidRDefault="00724DE8" w:rsidP="00724DE8">
      <w:pPr>
        <w:pStyle w:val="NICCYSubtitle0"/>
        <w:spacing w:line="276" w:lineRule="auto"/>
        <w:rPr>
          <w:b w:val="0"/>
          <w:color w:val="414042"/>
        </w:rPr>
      </w:pPr>
    </w:p>
    <w:p w14:paraId="734FE7BF" w14:textId="0811F41A" w:rsidR="00724DE8" w:rsidRPr="00724DE8" w:rsidRDefault="00724DE8" w:rsidP="00724DE8">
      <w:pPr>
        <w:pStyle w:val="NICCYSubtitle0"/>
        <w:spacing w:line="276" w:lineRule="auto"/>
        <w:rPr>
          <w:color w:val="414042"/>
        </w:rPr>
      </w:pPr>
      <w:r w:rsidRPr="00724DE8">
        <w:rPr>
          <w:color w:val="414042"/>
        </w:rPr>
        <w:t>Table 12</w:t>
      </w:r>
    </w:p>
    <w:tbl>
      <w:tblPr>
        <w:tblW w:w="6580" w:type="dxa"/>
        <w:tblLook w:val="04A0" w:firstRow="1" w:lastRow="0" w:firstColumn="1" w:lastColumn="0" w:noHBand="0" w:noVBand="1"/>
      </w:tblPr>
      <w:tblGrid>
        <w:gridCol w:w="2380"/>
        <w:gridCol w:w="1406"/>
        <w:gridCol w:w="1500"/>
        <w:gridCol w:w="1294"/>
      </w:tblGrid>
      <w:tr w:rsidR="00724DE8" w:rsidRPr="0011458E" w14:paraId="02D0E679" w14:textId="77777777" w:rsidTr="00CB077B">
        <w:trPr>
          <w:trHeight w:val="300"/>
        </w:trPr>
        <w:tc>
          <w:tcPr>
            <w:tcW w:w="6580" w:type="dxa"/>
            <w:gridSpan w:val="4"/>
            <w:tcBorders>
              <w:top w:val="nil"/>
              <w:left w:val="nil"/>
              <w:bottom w:val="nil"/>
              <w:right w:val="nil"/>
            </w:tcBorders>
            <w:shd w:val="clear" w:color="auto" w:fill="auto"/>
            <w:noWrap/>
            <w:vAlign w:val="bottom"/>
            <w:hideMark/>
          </w:tcPr>
          <w:p w14:paraId="5B7A6DBE" w14:textId="77777777" w:rsidR="00724DE8" w:rsidRPr="0011458E" w:rsidRDefault="00724DE8" w:rsidP="00CB077B">
            <w:pPr>
              <w:rPr>
                <w:rFonts w:ascii="Arial" w:hAnsi="Arial" w:cs="Arial"/>
                <w:color w:val="000000"/>
                <w:sz w:val="24"/>
                <w:szCs w:val="24"/>
                <w:lang w:eastAsia="en-GB"/>
              </w:rPr>
            </w:pPr>
            <w:r w:rsidRPr="0011458E">
              <w:rPr>
                <w:rFonts w:ascii="Arial" w:hAnsi="Arial" w:cs="Arial"/>
                <w:color w:val="000000"/>
                <w:sz w:val="24"/>
                <w:szCs w:val="24"/>
                <w:lang w:eastAsia="en-GB"/>
              </w:rPr>
              <w:t>Length of Stay at Iveagh (in days)</w:t>
            </w:r>
            <w:r>
              <w:rPr>
                <w:rFonts w:ascii="Arial" w:hAnsi="Arial" w:cs="Arial"/>
                <w:color w:val="000000"/>
                <w:sz w:val="24"/>
                <w:szCs w:val="24"/>
                <w:lang w:eastAsia="en-GB"/>
              </w:rPr>
              <w:t xml:space="preserve"> between 2017-2019</w:t>
            </w:r>
          </w:p>
        </w:tc>
      </w:tr>
      <w:tr w:rsidR="00724DE8" w:rsidRPr="0011458E" w14:paraId="34E0C7EC" w14:textId="77777777" w:rsidTr="00CB077B">
        <w:trPr>
          <w:trHeight w:val="300"/>
        </w:trPr>
        <w:tc>
          <w:tcPr>
            <w:tcW w:w="2380" w:type="dxa"/>
            <w:tcBorders>
              <w:top w:val="single" w:sz="4" w:space="0" w:color="auto"/>
              <w:left w:val="nil"/>
              <w:bottom w:val="single" w:sz="4" w:space="0" w:color="auto"/>
              <w:right w:val="nil"/>
            </w:tcBorders>
            <w:shd w:val="clear" w:color="auto" w:fill="auto"/>
            <w:noWrap/>
            <w:vAlign w:val="bottom"/>
            <w:hideMark/>
          </w:tcPr>
          <w:p w14:paraId="23265845" w14:textId="77777777" w:rsidR="00724DE8" w:rsidRPr="0011458E" w:rsidRDefault="00724DE8" w:rsidP="00CB077B">
            <w:pPr>
              <w:rPr>
                <w:rFonts w:ascii="Arial" w:hAnsi="Arial" w:cs="Arial"/>
                <w:color w:val="000000"/>
                <w:sz w:val="24"/>
                <w:szCs w:val="24"/>
                <w:lang w:eastAsia="en-GB"/>
              </w:rPr>
            </w:pPr>
            <w:r w:rsidRPr="0011458E">
              <w:rPr>
                <w:rFonts w:ascii="Arial" w:hAnsi="Arial" w:cs="Arial"/>
                <w:color w:val="000000"/>
                <w:sz w:val="24"/>
                <w:szCs w:val="24"/>
                <w:lang w:eastAsia="en-GB"/>
              </w:rPr>
              <w:t> </w:t>
            </w:r>
          </w:p>
        </w:tc>
        <w:tc>
          <w:tcPr>
            <w:tcW w:w="1406" w:type="dxa"/>
            <w:tcBorders>
              <w:top w:val="single" w:sz="4" w:space="0" w:color="auto"/>
              <w:left w:val="nil"/>
              <w:bottom w:val="single" w:sz="4" w:space="0" w:color="auto"/>
              <w:right w:val="nil"/>
            </w:tcBorders>
            <w:shd w:val="clear" w:color="auto" w:fill="auto"/>
            <w:noWrap/>
            <w:vAlign w:val="bottom"/>
            <w:hideMark/>
          </w:tcPr>
          <w:p w14:paraId="11151E45" w14:textId="77777777" w:rsidR="00724DE8" w:rsidRPr="0011458E" w:rsidRDefault="00724DE8" w:rsidP="00CB077B">
            <w:pPr>
              <w:rPr>
                <w:rFonts w:ascii="Arial" w:hAnsi="Arial" w:cs="Arial"/>
                <w:color w:val="000000"/>
                <w:sz w:val="24"/>
                <w:szCs w:val="24"/>
                <w:lang w:eastAsia="en-GB"/>
              </w:rPr>
            </w:pPr>
            <w:r w:rsidRPr="0011458E">
              <w:rPr>
                <w:rFonts w:ascii="Arial" w:hAnsi="Arial" w:cs="Arial"/>
                <w:color w:val="000000"/>
                <w:sz w:val="24"/>
                <w:szCs w:val="24"/>
                <w:lang w:eastAsia="en-GB"/>
              </w:rPr>
              <w:t xml:space="preserve">Minimum </w:t>
            </w:r>
          </w:p>
        </w:tc>
        <w:tc>
          <w:tcPr>
            <w:tcW w:w="1500" w:type="dxa"/>
            <w:tcBorders>
              <w:top w:val="single" w:sz="4" w:space="0" w:color="auto"/>
              <w:left w:val="nil"/>
              <w:bottom w:val="single" w:sz="4" w:space="0" w:color="auto"/>
              <w:right w:val="nil"/>
            </w:tcBorders>
            <w:shd w:val="clear" w:color="auto" w:fill="auto"/>
            <w:noWrap/>
            <w:vAlign w:val="bottom"/>
            <w:hideMark/>
          </w:tcPr>
          <w:p w14:paraId="72370751" w14:textId="77777777" w:rsidR="00724DE8" w:rsidRPr="0011458E" w:rsidRDefault="00724DE8" w:rsidP="00CB077B">
            <w:pPr>
              <w:rPr>
                <w:rFonts w:ascii="Arial" w:hAnsi="Arial" w:cs="Arial"/>
                <w:color w:val="000000"/>
                <w:sz w:val="24"/>
                <w:szCs w:val="24"/>
                <w:lang w:eastAsia="en-GB"/>
              </w:rPr>
            </w:pPr>
            <w:r w:rsidRPr="0011458E">
              <w:rPr>
                <w:rFonts w:ascii="Arial" w:hAnsi="Arial" w:cs="Arial"/>
                <w:color w:val="000000"/>
                <w:sz w:val="24"/>
                <w:szCs w:val="24"/>
                <w:lang w:eastAsia="en-GB"/>
              </w:rPr>
              <w:t xml:space="preserve">Maximum </w:t>
            </w:r>
          </w:p>
        </w:tc>
        <w:tc>
          <w:tcPr>
            <w:tcW w:w="1294" w:type="dxa"/>
            <w:tcBorders>
              <w:top w:val="single" w:sz="4" w:space="0" w:color="auto"/>
              <w:left w:val="nil"/>
              <w:bottom w:val="single" w:sz="4" w:space="0" w:color="auto"/>
              <w:right w:val="nil"/>
            </w:tcBorders>
            <w:shd w:val="clear" w:color="auto" w:fill="auto"/>
            <w:noWrap/>
            <w:vAlign w:val="bottom"/>
            <w:hideMark/>
          </w:tcPr>
          <w:p w14:paraId="4420AEDA" w14:textId="77777777" w:rsidR="00724DE8" w:rsidRPr="0011458E" w:rsidRDefault="00724DE8" w:rsidP="00CB077B">
            <w:pPr>
              <w:rPr>
                <w:rFonts w:ascii="Arial" w:hAnsi="Arial" w:cs="Arial"/>
                <w:color w:val="000000"/>
                <w:sz w:val="24"/>
                <w:szCs w:val="24"/>
                <w:lang w:eastAsia="en-GB"/>
              </w:rPr>
            </w:pPr>
            <w:r w:rsidRPr="0011458E">
              <w:rPr>
                <w:rFonts w:ascii="Arial" w:hAnsi="Arial" w:cs="Arial"/>
                <w:color w:val="000000"/>
                <w:sz w:val="24"/>
                <w:szCs w:val="24"/>
                <w:lang w:eastAsia="en-GB"/>
              </w:rPr>
              <w:t xml:space="preserve">Average </w:t>
            </w:r>
          </w:p>
        </w:tc>
      </w:tr>
      <w:tr w:rsidR="00724DE8" w:rsidRPr="0011458E" w14:paraId="6896AC3E" w14:textId="77777777" w:rsidTr="00CB077B">
        <w:trPr>
          <w:trHeight w:val="300"/>
        </w:trPr>
        <w:tc>
          <w:tcPr>
            <w:tcW w:w="2380" w:type="dxa"/>
            <w:tcBorders>
              <w:top w:val="nil"/>
              <w:left w:val="nil"/>
              <w:bottom w:val="single" w:sz="4" w:space="0" w:color="auto"/>
              <w:right w:val="nil"/>
            </w:tcBorders>
            <w:shd w:val="clear" w:color="auto" w:fill="auto"/>
            <w:noWrap/>
            <w:vAlign w:val="bottom"/>
            <w:hideMark/>
          </w:tcPr>
          <w:p w14:paraId="2E6283B3" w14:textId="77777777" w:rsidR="00724DE8" w:rsidRPr="0011458E" w:rsidRDefault="00724DE8" w:rsidP="00CB077B">
            <w:pPr>
              <w:rPr>
                <w:rFonts w:ascii="Arial" w:hAnsi="Arial" w:cs="Arial"/>
                <w:color w:val="000000"/>
                <w:sz w:val="24"/>
                <w:szCs w:val="24"/>
                <w:lang w:eastAsia="en-GB"/>
              </w:rPr>
            </w:pPr>
            <w:r>
              <w:rPr>
                <w:rFonts w:ascii="Arial" w:hAnsi="Arial" w:cs="Arial"/>
                <w:color w:val="000000"/>
                <w:sz w:val="24"/>
                <w:szCs w:val="24"/>
                <w:lang w:eastAsia="en-GB"/>
              </w:rPr>
              <w:t>Days</w:t>
            </w:r>
          </w:p>
        </w:tc>
        <w:tc>
          <w:tcPr>
            <w:tcW w:w="1406" w:type="dxa"/>
            <w:tcBorders>
              <w:top w:val="nil"/>
              <w:left w:val="nil"/>
              <w:bottom w:val="single" w:sz="4" w:space="0" w:color="auto"/>
              <w:right w:val="nil"/>
            </w:tcBorders>
            <w:shd w:val="clear" w:color="auto" w:fill="auto"/>
            <w:noWrap/>
            <w:vAlign w:val="bottom"/>
            <w:hideMark/>
          </w:tcPr>
          <w:p w14:paraId="14633123" w14:textId="77777777" w:rsidR="00724DE8" w:rsidRPr="0011458E" w:rsidRDefault="00724DE8" w:rsidP="00CB077B">
            <w:pPr>
              <w:jc w:val="right"/>
              <w:rPr>
                <w:rFonts w:ascii="Arial" w:hAnsi="Arial" w:cs="Arial"/>
                <w:color w:val="000000"/>
                <w:sz w:val="24"/>
                <w:szCs w:val="24"/>
                <w:lang w:eastAsia="en-GB"/>
              </w:rPr>
            </w:pPr>
            <w:r w:rsidRPr="0011458E">
              <w:rPr>
                <w:rFonts w:ascii="Arial" w:hAnsi="Arial" w:cs="Arial"/>
                <w:color w:val="000000"/>
                <w:sz w:val="24"/>
                <w:szCs w:val="24"/>
                <w:lang w:eastAsia="en-GB"/>
              </w:rPr>
              <w:t>7</w:t>
            </w:r>
          </w:p>
        </w:tc>
        <w:tc>
          <w:tcPr>
            <w:tcW w:w="1500" w:type="dxa"/>
            <w:tcBorders>
              <w:top w:val="nil"/>
              <w:left w:val="nil"/>
              <w:bottom w:val="single" w:sz="4" w:space="0" w:color="auto"/>
              <w:right w:val="nil"/>
            </w:tcBorders>
            <w:shd w:val="clear" w:color="auto" w:fill="auto"/>
            <w:noWrap/>
            <w:vAlign w:val="bottom"/>
            <w:hideMark/>
          </w:tcPr>
          <w:p w14:paraId="3C60CDA7" w14:textId="77777777" w:rsidR="00724DE8" w:rsidRPr="0011458E" w:rsidRDefault="00724DE8" w:rsidP="00CB077B">
            <w:pPr>
              <w:jc w:val="right"/>
              <w:rPr>
                <w:rFonts w:ascii="Arial" w:hAnsi="Arial" w:cs="Arial"/>
                <w:color w:val="000000"/>
                <w:sz w:val="24"/>
                <w:szCs w:val="24"/>
                <w:lang w:eastAsia="en-GB"/>
              </w:rPr>
            </w:pPr>
            <w:r w:rsidRPr="0011458E">
              <w:rPr>
                <w:rFonts w:ascii="Arial" w:hAnsi="Arial" w:cs="Arial"/>
                <w:color w:val="000000"/>
                <w:sz w:val="24"/>
                <w:szCs w:val="24"/>
                <w:lang w:eastAsia="en-GB"/>
              </w:rPr>
              <w:t>870</w:t>
            </w:r>
          </w:p>
        </w:tc>
        <w:tc>
          <w:tcPr>
            <w:tcW w:w="1294" w:type="dxa"/>
            <w:tcBorders>
              <w:top w:val="nil"/>
              <w:left w:val="nil"/>
              <w:bottom w:val="single" w:sz="4" w:space="0" w:color="auto"/>
              <w:right w:val="nil"/>
            </w:tcBorders>
            <w:shd w:val="clear" w:color="auto" w:fill="auto"/>
            <w:noWrap/>
            <w:vAlign w:val="bottom"/>
            <w:hideMark/>
          </w:tcPr>
          <w:p w14:paraId="68BE5383" w14:textId="77777777" w:rsidR="00724DE8" w:rsidRPr="0011458E" w:rsidRDefault="00724DE8" w:rsidP="00CB077B">
            <w:pPr>
              <w:jc w:val="right"/>
              <w:rPr>
                <w:rFonts w:ascii="Arial" w:hAnsi="Arial" w:cs="Arial"/>
                <w:color w:val="000000"/>
                <w:sz w:val="24"/>
                <w:szCs w:val="24"/>
                <w:lang w:eastAsia="en-GB"/>
              </w:rPr>
            </w:pPr>
            <w:r w:rsidRPr="0011458E">
              <w:rPr>
                <w:rFonts w:ascii="Arial" w:hAnsi="Arial" w:cs="Arial"/>
                <w:color w:val="000000"/>
                <w:sz w:val="24"/>
                <w:szCs w:val="24"/>
                <w:lang w:eastAsia="en-GB"/>
              </w:rPr>
              <w:t>351</w:t>
            </w:r>
          </w:p>
        </w:tc>
      </w:tr>
    </w:tbl>
    <w:p w14:paraId="60C23D75" w14:textId="6D79319F" w:rsidR="00724DE8" w:rsidRDefault="00724DE8" w:rsidP="00313FA5">
      <w:pPr>
        <w:pStyle w:val="NICCYSubline"/>
      </w:pPr>
    </w:p>
    <w:p w14:paraId="5D718431" w14:textId="5F3663A9" w:rsidR="009636CD" w:rsidRDefault="009636CD" w:rsidP="00313FA5">
      <w:pPr>
        <w:pStyle w:val="NICCYSubline"/>
      </w:pPr>
    </w:p>
    <w:p w14:paraId="449A2668" w14:textId="101B2838" w:rsidR="009636CD" w:rsidRDefault="009636CD" w:rsidP="00313FA5">
      <w:pPr>
        <w:pStyle w:val="NICCYSubline"/>
      </w:pPr>
    </w:p>
    <w:p w14:paraId="7CE2AE34" w14:textId="77777777" w:rsidR="009636CD" w:rsidRDefault="009636CD" w:rsidP="00313FA5">
      <w:pPr>
        <w:pStyle w:val="NICCYSubline"/>
      </w:pPr>
    </w:p>
    <w:p w14:paraId="4DE00BE4" w14:textId="2E392160" w:rsidR="00313FA5" w:rsidRDefault="004276BD" w:rsidP="00313FA5">
      <w:pPr>
        <w:pStyle w:val="NICCYSubline"/>
      </w:pPr>
      <w:r>
        <w:t>1</w:t>
      </w:r>
      <w:r w:rsidR="00724DE8">
        <w:t>2</w:t>
      </w:r>
      <w:r>
        <w:t xml:space="preserve">.0 </w:t>
      </w:r>
      <w:r w:rsidR="00313FA5">
        <w:t xml:space="preserve">Extra Contractual Referrals </w:t>
      </w:r>
      <w:r w:rsidR="00B42F22">
        <w:t>(</w:t>
      </w:r>
      <w:bookmarkStart w:id="38" w:name="ECR"/>
      <w:r w:rsidR="00B42F22">
        <w:t>ECR</w:t>
      </w:r>
      <w:bookmarkEnd w:id="38"/>
      <w:r w:rsidR="00B42F22">
        <w:t>s)</w:t>
      </w:r>
    </w:p>
    <w:p w14:paraId="27351640" w14:textId="77777777" w:rsidR="00313FA5" w:rsidRDefault="00313FA5" w:rsidP="00313FA5">
      <w:pPr>
        <w:pStyle w:val="NICCYBodyTest"/>
      </w:pPr>
    </w:p>
    <w:p w14:paraId="3AA368B9" w14:textId="4AAB9FFA" w:rsidR="006A3821" w:rsidRDefault="00E2543F" w:rsidP="00C47CDB">
      <w:pPr>
        <w:pStyle w:val="NICCYBodyTest"/>
      </w:pPr>
      <w:r>
        <w:t>An</w:t>
      </w:r>
      <w:r w:rsidR="00F41850">
        <w:t xml:space="preserve"> Extra Contractual Referral (ECR) occurs when a child or young person is transferred to an inpatient facility outside of Northern Ireland for </w:t>
      </w:r>
      <w:r w:rsidR="00F41850" w:rsidRPr="00B42F22">
        <w:t>specia</w:t>
      </w:r>
      <w:r w:rsidR="00543E7F">
        <w:t>list clinical treatment</w:t>
      </w:r>
      <w:r w:rsidR="00F41850" w:rsidRPr="00B42F22">
        <w:t xml:space="preserve"> or therapeutic care/ interventions which are not available in N</w:t>
      </w:r>
      <w:r w:rsidR="00F41850">
        <w:t xml:space="preserve">orthern </w:t>
      </w:r>
      <w:r w:rsidR="00F41850" w:rsidRPr="00B42F22">
        <w:t>I</w:t>
      </w:r>
      <w:r w:rsidR="00F41850">
        <w:t>reland</w:t>
      </w:r>
      <w:r w:rsidR="00F41850" w:rsidRPr="00B42F22">
        <w:t>.</w:t>
      </w:r>
      <w:r w:rsidR="00F41850">
        <w:t xml:space="preserve"> Under an ECR, young people are usually provided with healthcare as an inpatient in Brit</w:t>
      </w:r>
      <w:r w:rsidR="00C47CDB">
        <w:t xml:space="preserve">ain or the Republic of Ireland. </w:t>
      </w:r>
      <w:r w:rsidR="00416CCF">
        <w:t xml:space="preserve">The data below </w:t>
      </w:r>
      <w:r w:rsidR="007E7062">
        <w:t xml:space="preserve">was provided by the HSCB and </w:t>
      </w:r>
      <w:r w:rsidR="00416CCF">
        <w:t xml:space="preserve">refers to all </w:t>
      </w:r>
      <w:r w:rsidR="007E7062">
        <w:t>ECR applications received by them between 2014/15 and 2019/20</w:t>
      </w:r>
      <w:r w:rsidR="00416CCF">
        <w:t>.</w:t>
      </w:r>
      <w:r w:rsidR="00A8765C">
        <w:rPr>
          <w:rStyle w:val="FootnoteReference"/>
        </w:rPr>
        <w:footnoteReference w:id="9"/>
      </w:r>
      <w:r w:rsidR="00416CCF">
        <w:t xml:space="preserve"> </w:t>
      </w:r>
      <w:r w:rsidR="00416CCF" w:rsidRPr="00F41850">
        <w:t xml:space="preserve">The number of ECRs year to year can vary and are usually in single figures. </w:t>
      </w:r>
      <w:r w:rsidR="00F41850" w:rsidRPr="00F41850">
        <w:t>Given the small numbers involved a</w:t>
      </w:r>
      <w:r w:rsidR="00F41850">
        <w:t xml:space="preserve">nd the potential for identification of individual children, the data below is an </w:t>
      </w:r>
      <w:r w:rsidR="00416CCF">
        <w:t>aggregation</w:t>
      </w:r>
      <w:r w:rsidR="00F41850">
        <w:t xml:space="preserve"> of key </w:t>
      </w:r>
      <w:r w:rsidR="00416CCF">
        <w:t>information from 2014-2020</w:t>
      </w:r>
      <w:r w:rsidR="00F41850" w:rsidRPr="00F41850">
        <w:t>.</w:t>
      </w:r>
      <w:r w:rsidR="00C47CDB">
        <w:t xml:space="preserve"> </w:t>
      </w:r>
      <w:r w:rsidR="00416CCF">
        <w:t>NICCY</w:t>
      </w:r>
      <w:r w:rsidR="009E68C1">
        <w:t>’s</w:t>
      </w:r>
      <w:r w:rsidR="00416CCF">
        <w:t xml:space="preserve"> original request asked for a breakdown of young people transferred from in-patient, community settings and between HSCTs. However, t</w:t>
      </w:r>
      <w:r w:rsidR="00F41850" w:rsidRPr="00F41850">
        <w:t xml:space="preserve">he </w:t>
      </w:r>
      <w:r w:rsidR="00416CCF">
        <w:t xml:space="preserve">HSCB stated that they do </w:t>
      </w:r>
      <w:r w:rsidR="00F41850" w:rsidRPr="00F41850">
        <w:t xml:space="preserve">not record </w:t>
      </w:r>
      <w:r w:rsidR="00416CCF">
        <w:t>this level of information</w:t>
      </w:r>
      <w:r w:rsidR="007E3474" w:rsidRPr="007E3474">
        <w:t xml:space="preserve"> </w:t>
      </w:r>
      <w:r w:rsidR="007E3474" w:rsidRPr="00F41850">
        <w:t>centrally</w:t>
      </w:r>
      <w:r w:rsidR="00416CCF">
        <w:t xml:space="preserve">. </w:t>
      </w:r>
    </w:p>
    <w:p w14:paraId="29F54206" w14:textId="77777777" w:rsidR="00416CCF" w:rsidRPr="0030595B" w:rsidRDefault="00416CCF" w:rsidP="00313FA5">
      <w:pPr>
        <w:pStyle w:val="NICCYBodyTest"/>
      </w:pPr>
    </w:p>
    <w:p w14:paraId="40F2983A" w14:textId="77777777" w:rsidR="00E2543F" w:rsidRDefault="0030595B" w:rsidP="00313FA5">
      <w:pPr>
        <w:pStyle w:val="NICCYBodyTest"/>
      </w:pPr>
      <w:r w:rsidRPr="0030595B">
        <w:fldChar w:fldCharType="begin"/>
      </w:r>
      <w:r w:rsidRPr="0030595B">
        <w:instrText xml:space="preserve"> REF _Ref58427416 \h </w:instrText>
      </w:r>
      <w:r>
        <w:instrText xml:space="preserve"> \* MERGEFORMAT </w:instrText>
      </w:r>
      <w:r w:rsidRPr="0030595B">
        <w:fldChar w:fldCharType="separate"/>
      </w:r>
      <w:r w:rsidRPr="0030595B">
        <w:t xml:space="preserve">Table </w:t>
      </w:r>
      <w:r w:rsidRPr="0030595B">
        <w:rPr>
          <w:noProof/>
        </w:rPr>
        <w:t>12</w:t>
      </w:r>
      <w:r w:rsidRPr="0030595B">
        <w:fldChar w:fldCharType="end"/>
      </w:r>
      <w:r w:rsidRPr="0030595B">
        <w:t xml:space="preserve"> </w:t>
      </w:r>
      <w:r w:rsidR="00E2543F" w:rsidRPr="0030595B">
        <w:t xml:space="preserve">below shows </w:t>
      </w:r>
      <w:r w:rsidR="00E2543F">
        <w:t xml:space="preserve">the number of new cases and ongoing children and young people subject to an ECR across a 6-year period, between 2014/15 and 2019/20. </w:t>
      </w:r>
      <w:r w:rsidR="007E3474">
        <w:t xml:space="preserve">It shows that </w:t>
      </w:r>
      <w:r w:rsidR="00A327A6">
        <w:t xml:space="preserve">the number of children that have been transferred to an in-patient facility outside of NI has </w:t>
      </w:r>
      <w:r w:rsidR="00A327A6">
        <w:lastRenderedPageBreak/>
        <w:t>ranged between 20 and 14, and 2019/20 recorded the lowest numbe</w:t>
      </w:r>
      <w:r w:rsidR="00C47CDB">
        <w:t>r of placements at</w:t>
      </w:r>
      <w:r w:rsidR="00A327A6">
        <w:t xml:space="preserve"> 14. The table also shows that annually, since 2014/ 15, </w:t>
      </w:r>
      <w:r w:rsidR="00C47CDB">
        <w:t>there have been</w:t>
      </w:r>
      <w:r w:rsidR="00A327A6">
        <w:t xml:space="preserve"> 1-9 </w:t>
      </w:r>
      <w:r w:rsidR="00C47CDB">
        <w:t>in-year admissions</w:t>
      </w:r>
      <w:r w:rsidR="00A327A6">
        <w:t xml:space="preserve"> to a facility outside of NI under </w:t>
      </w:r>
      <w:r w:rsidR="00C47CDB">
        <w:t xml:space="preserve">ECR. The total </w:t>
      </w:r>
      <w:r w:rsidR="002E1DE9">
        <w:t>cost</w:t>
      </w:r>
      <w:r w:rsidR="00C47CDB">
        <w:t xml:space="preserve"> of ECRs across the 6 years was</w:t>
      </w:r>
      <w:r w:rsidR="002E1DE9">
        <w:t xml:space="preserve"> £</w:t>
      </w:r>
      <w:r w:rsidR="00C47CDB">
        <w:t>26 million, ranging between £2.5 million and 7 million.</w:t>
      </w:r>
    </w:p>
    <w:p w14:paraId="35C6BDD1" w14:textId="77777777" w:rsidR="00E2543F" w:rsidRDefault="00E2543F" w:rsidP="00313FA5">
      <w:pPr>
        <w:pStyle w:val="NICCYBodyTest"/>
      </w:pPr>
    </w:p>
    <w:p w14:paraId="246CBF1D" w14:textId="77777777" w:rsidR="00E2543F" w:rsidRPr="00652AC5" w:rsidRDefault="00652AC5" w:rsidP="00652AC5">
      <w:pPr>
        <w:pStyle w:val="NICCYBodyText"/>
        <w:rPr>
          <w:color w:val="FF0000"/>
          <w:sz w:val="20"/>
          <w:szCs w:val="20"/>
        </w:rPr>
      </w:pPr>
      <w:bookmarkStart w:id="39" w:name="_Ref58427416"/>
      <w:r w:rsidRPr="00652AC5">
        <w:rPr>
          <w:sz w:val="20"/>
          <w:szCs w:val="20"/>
        </w:rPr>
        <w:t xml:space="preserve">Table </w:t>
      </w:r>
      <w:r w:rsidRPr="00652AC5">
        <w:rPr>
          <w:sz w:val="20"/>
          <w:szCs w:val="20"/>
        </w:rPr>
        <w:fldChar w:fldCharType="begin"/>
      </w:r>
      <w:r w:rsidRPr="00652AC5">
        <w:rPr>
          <w:sz w:val="20"/>
          <w:szCs w:val="20"/>
        </w:rPr>
        <w:instrText xml:space="preserve"> SEQ Table \* ARABIC </w:instrText>
      </w:r>
      <w:r w:rsidRPr="00652AC5">
        <w:rPr>
          <w:sz w:val="20"/>
          <w:szCs w:val="20"/>
        </w:rPr>
        <w:fldChar w:fldCharType="separate"/>
      </w:r>
      <w:r>
        <w:rPr>
          <w:noProof/>
          <w:sz w:val="20"/>
          <w:szCs w:val="20"/>
        </w:rPr>
        <w:t>12</w:t>
      </w:r>
      <w:r w:rsidRPr="00652AC5">
        <w:rPr>
          <w:sz w:val="20"/>
          <w:szCs w:val="20"/>
        </w:rPr>
        <w:fldChar w:fldCharType="end"/>
      </w:r>
      <w:bookmarkEnd w:id="39"/>
      <w:r w:rsidRPr="00652AC5">
        <w:rPr>
          <w:sz w:val="20"/>
          <w:szCs w:val="20"/>
        </w:rPr>
        <w:t>: Non Acute Family and Child Care ECRs included for 2014/15-2019-20</w:t>
      </w:r>
    </w:p>
    <w:tbl>
      <w:tblPr>
        <w:tblW w:w="7240" w:type="dxa"/>
        <w:tblInd w:w="88" w:type="dxa"/>
        <w:tblLook w:val="04A0" w:firstRow="1" w:lastRow="0" w:firstColumn="1" w:lastColumn="0" w:noHBand="0" w:noVBand="1"/>
      </w:tblPr>
      <w:tblGrid>
        <w:gridCol w:w="2180"/>
        <w:gridCol w:w="2000"/>
        <w:gridCol w:w="1463"/>
        <w:gridCol w:w="1660"/>
      </w:tblGrid>
      <w:tr w:rsidR="00416CCF" w:rsidRPr="00E83E34" w14:paraId="28235680" w14:textId="77777777" w:rsidTr="00E2543F">
        <w:trPr>
          <w:trHeight w:val="885"/>
        </w:trPr>
        <w:tc>
          <w:tcPr>
            <w:tcW w:w="218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AEC7A3F" w14:textId="77777777" w:rsidR="00416CCF" w:rsidRPr="00E83E34" w:rsidRDefault="00416CCF" w:rsidP="00416CCF">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Year</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14:paraId="5D1AC45D" w14:textId="77777777" w:rsidR="00416CCF" w:rsidRPr="00E83E34" w:rsidRDefault="00416CCF" w:rsidP="00B867D3">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No. of ECR Placements</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14:paraId="66EBF8D4" w14:textId="77777777" w:rsidR="00416CCF" w:rsidRPr="00E83E34" w:rsidRDefault="00416CCF" w:rsidP="00416CCF">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No. of In Year Admissions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14:paraId="05B5BD14" w14:textId="77777777" w:rsidR="00416CCF" w:rsidRPr="00E83E34" w:rsidRDefault="00416CCF" w:rsidP="00416CCF">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Total Cost</w:t>
            </w:r>
          </w:p>
        </w:tc>
      </w:tr>
      <w:tr w:rsidR="00416CCF" w:rsidRPr="00E83E34" w14:paraId="38EE6A37" w14:textId="77777777" w:rsidTr="00E2543F">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BA22BF"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2014/15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5D3E6B4"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18</w:t>
            </w:r>
          </w:p>
        </w:tc>
        <w:tc>
          <w:tcPr>
            <w:tcW w:w="1400" w:type="dxa"/>
            <w:tcBorders>
              <w:top w:val="nil"/>
              <w:left w:val="nil"/>
              <w:bottom w:val="single" w:sz="4" w:space="0" w:color="auto"/>
              <w:right w:val="single" w:sz="4" w:space="0" w:color="auto"/>
            </w:tcBorders>
            <w:shd w:val="clear" w:color="auto" w:fill="auto"/>
            <w:noWrap/>
            <w:vAlign w:val="center"/>
            <w:hideMark/>
          </w:tcPr>
          <w:p w14:paraId="5D468831"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&gt;10</w:t>
            </w:r>
          </w:p>
        </w:tc>
        <w:tc>
          <w:tcPr>
            <w:tcW w:w="1660" w:type="dxa"/>
            <w:tcBorders>
              <w:top w:val="nil"/>
              <w:left w:val="nil"/>
              <w:bottom w:val="single" w:sz="4" w:space="0" w:color="auto"/>
              <w:right w:val="single" w:sz="4" w:space="0" w:color="auto"/>
            </w:tcBorders>
            <w:shd w:val="clear" w:color="auto" w:fill="auto"/>
            <w:noWrap/>
            <w:vAlign w:val="center"/>
            <w:hideMark/>
          </w:tcPr>
          <w:p w14:paraId="75E3A2EE"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£3,696,110</w:t>
            </w:r>
          </w:p>
        </w:tc>
      </w:tr>
      <w:tr w:rsidR="00416CCF" w:rsidRPr="00E83E34" w14:paraId="49650B27" w14:textId="77777777" w:rsidTr="00E2543F">
        <w:trPr>
          <w:trHeight w:val="300"/>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14:paraId="2D6D8D3C"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2015/16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5ECFF4B0"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w:t>
            </w:r>
          </w:p>
        </w:tc>
        <w:tc>
          <w:tcPr>
            <w:tcW w:w="1400" w:type="dxa"/>
            <w:tcBorders>
              <w:top w:val="nil"/>
              <w:left w:val="nil"/>
              <w:bottom w:val="single" w:sz="4" w:space="0" w:color="auto"/>
              <w:right w:val="single" w:sz="4" w:space="0" w:color="auto"/>
            </w:tcBorders>
            <w:shd w:val="clear" w:color="auto" w:fill="auto"/>
            <w:noWrap/>
            <w:hideMark/>
          </w:tcPr>
          <w:p w14:paraId="6AEADF1F" w14:textId="77777777" w:rsidR="00416CCF" w:rsidRPr="00E83E34" w:rsidRDefault="00416CCF" w:rsidP="00416CCF">
            <w:pPr>
              <w:jc w:val="center"/>
              <w:rPr>
                <w:rFonts w:ascii="Arial" w:eastAsia="Calibri" w:hAnsi="Arial" w:cs="Arial"/>
                <w:sz w:val="22"/>
                <w:szCs w:val="22"/>
              </w:rPr>
            </w:pPr>
            <w:r w:rsidRPr="00E83E34">
              <w:rPr>
                <w:rFonts w:ascii="Arial" w:eastAsia="Calibri" w:hAnsi="Arial" w:cs="Arial"/>
                <w:color w:val="000000"/>
                <w:sz w:val="22"/>
                <w:szCs w:val="22"/>
              </w:rPr>
              <w:t>&gt;10</w:t>
            </w:r>
          </w:p>
        </w:tc>
        <w:tc>
          <w:tcPr>
            <w:tcW w:w="1660" w:type="dxa"/>
            <w:tcBorders>
              <w:top w:val="nil"/>
              <w:left w:val="nil"/>
              <w:bottom w:val="single" w:sz="4" w:space="0" w:color="auto"/>
              <w:right w:val="single" w:sz="4" w:space="0" w:color="auto"/>
            </w:tcBorders>
            <w:shd w:val="clear" w:color="auto" w:fill="auto"/>
            <w:noWrap/>
            <w:vAlign w:val="center"/>
            <w:hideMark/>
          </w:tcPr>
          <w:p w14:paraId="4F7EAAA3"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£3,390,734</w:t>
            </w:r>
          </w:p>
        </w:tc>
      </w:tr>
      <w:tr w:rsidR="00416CCF" w:rsidRPr="00E83E34" w14:paraId="233EF059" w14:textId="77777777" w:rsidTr="00E2543F">
        <w:trPr>
          <w:trHeight w:val="300"/>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14:paraId="4469AC23"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2016/17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24FD93CE"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15</w:t>
            </w:r>
          </w:p>
        </w:tc>
        <w:tc>
          <w:tcPr>
            <w:tcW w:w="1400" w:type="dxa"/>
            <w:tcBorders>
              <w:top w:val="nil"/>
              <w:left w:val="nil"/>
              <w:bottom w:val="single" w:sz="4" w:space="0" w:color="auto"/>
              <w:right w:val="single" w:sz="4" w:space="0" w:color="auto"/>
            </w:tcBorders>
            <w:shd w:val="clear" w:color="auto" w:fill="auto"/>
            <w:noWrap/>
            <w:hideMark/>
          </w:tcPr>
          <w:p w14:paraId="2F1C1E8D" w14:textId="77777777" w:rsidR="00416CCF" w:rsidRPr="00E83E34" w:rsidRDefault="00416CCF" w:rsidP="00416CCF">
            <w:pPr>
              <w:jc w:val="center"/>
              <w:rPr>
                <w:rFonts w:ascii="Arial" w:eastAsia="Calibri" w:hAnsi="Arial" w:cs="Arial"/>
                <w:sz w:val="22"/>
                <w:szCs w:val="22"/>
              </w:rPr>
            </w:pPr>
            <w:r w:rsidRPr="00E83E34">
              <w:rPr>
                <w:rFonts w:ascii="Arial" w:eastAsia="Calibri" w:hAnsi="Arial" w:cs="Arial"/>
                <w:color w:val="000000"/>
                <w:sz w:val="22"/>
                <w:szCs w:val="22"/>
              </w:rPr>
              <w:t>&gt;10</w:t>
            </w:r>
          </w:p>
        </w:tc>
        <w:tc>
          <w:tcPr>
            <w:tcW w:w="1660" w:type="dxa"/>
            <w:tcBorders>
              <w:top w:val="nil"/>
              <w:left w:val="nil"/>
              <w:bottom w:val="single" w:sz="4" w:space="0" w:color="auto"/>
              <w:right w:val="single" w:sz="4" w:space="0" w:color="auto"/>
            </w:tcBorders>
            <w:shd w:val="clear" w:color="auto" w:fill="auto"/>
            <w:noWrap/>
            <w:vAlign w:val="center"/>
            <w:hideMark/>
          </w:tcPr>
          <w:p w14:paraId="64CCE375"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£2,387,103</w:t>
            </w:r>
          </w:p>
        </w:tc>
      </w:tr>
      <w:tr w:rsidR="00416CCF" w:rsidRPr="00E83E34" w14:paraId="0A9A07C1" w14:textId="77777777" w:rsidTr="00E2543F">
        <w:trPr>
          <w:trHeight w:val="300"/>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14:paraId="40974EF0"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2017/18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7BC2768"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17</w:t>
            </w:r>
          </w:p>
        </w:tc>
        <w:tc>
          <w:tcPr>
            <w:tcW w:w="1400" w:type="dxa"/>
            <w:tcBorders>
              <w:top w:val="nil"/>
              <w:left w:val="nil"/>
              <w:bottom w:val="single" w:sz="4" w:space="0" w:color="auto"/>
              <w:right w:val="single" w:sz="4" w:space="0" w:color="auto"/>
            </w:tcBorders>
            <w:shd w:val="clear" w:color="auto" w:fill="auto"/>
            <w:noWrap/>
            <w:vAlign w:val="center"/>
            <w:hideMark/>
          </w:tcPr>
          <w:p w14:paraId="58406891"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11</w:t>
            </w:r>
          </w:p>
        </w:tc>
        <w:tc>
          <w:tcPr>
            <w:tcW w:w="1660" w:type="dxa"/>
            <w:tcBorders>
              <w:top w:val="nil"/>
              <w:left w:val="nil"/>
              <w:bottom w:val="single" w:sz="4" w:space="0" w:color="auto"/>
              <w:right w:val="single" w:sz="4" w:space="0" w:color="auto"/>
            </w:tcBorders>
            <w:shd w:val="clear" w:color="auto" w:fill="auto"/>
            <w:noWrap/>
            <w:vAlign w:val="center"/>
            <w:hideMark/>
          </w:tcPr>
          <w:p w14:paraId="39F86DD3"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£4,364,790</w:t>
            </w:r>
          </w:p>
        </w:tc>
      </w:tr>
      <w:tr w:rsidR="00416CCF" w:rsidRPr="00E83E34" w14:paraId="7092748E" w14:textId="77777777" w:rsidTr="00E2543F">
        <w:trPr>
          <w:trHeight w:val="300"/>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14:paraId="52283142"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2018/19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AF68904"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18</w:t>
            </w:r>
          </w:p>
        </w:tc>
        <w:tc>
          <w:tcPr>
            <w:tcW w:w="1400" w:type="dxa"/>
            <w:tcBorders>
              <w:top w:val="nil"/>
              <w:left w:val="nil"/>
              <w:bottom w:val="single" w:sz="4" w:space="0" w:color="auto"/>
              <w:right w:val="single" w:sz="4" w:space="0" w:color="auto"/>
            </w:tcBorders>
            <w:shd w:val="clear" w:color="auto" w:fill="auto"/>
            <w:noWrap/>
            <w:hideMark/>
          </w:tcPr>
          <w:p w14:paraId="0EF348B4" w14:textId="77777777" w:rsidR="00416CCF" w:rsidRPr="00E83E34" w:rsidRDefault="00416CCF" w:rsidP="00416CCF">
            <w:pPr>
              <w:jc w:val="center"/>
              <w:rPr>
                <w:rFonts w:ascii="Arial" w:eastAsia="Calibri" w:hAnsi="Arial" w:cs="Arial"/>
                <w:sz w:val="22"/>
                <w:szCs w:val="22"/>
              </w:rPr>
            </w:pPr>
            <w:r w:rsidRPr="00E83E34">
              <w:rPr>
                <w:rFonts w:ascii="Arial" w:eastAsia="Calibri" w:hAnsi="Arial" w:cs="Arial"/>
                <w:color w:val="000000"/>
                <w:sz w:val="22"/>
                <w:szCs w:val="22"/>
              </w:rPr>
              <w:t>&gt;10</w:t>
            </w:r>
          </w:p>
        </w:tc>
        <w:tc>
          <w:tcPr>
            <w:tcW w:w="1660" w:type="dxa"/>
            <w:tcBorders>
              <w:top w:val="nil"/>
              <w:left w:val="nil"/>
              <w:bottom w:val="single" w:sz="4" w:space="0" w:color="auto"/>
              <w:right w:val="single" w:sz="4" w:space="0" w:color="auto"/>
            </w:tcBorders>
            <w:shd w:val="clear" w:color="auto" w:fill="auto"/>
            <w:noWrap/>
            <w:vAlign w:val="center"/>
            <w:hideMark/>
          </w:tcPr>
          <w:p w14:paraId="2638EABF"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£6,951,533</w:t>
            </w:r>
          </w:p>
        </w:tc>
      </w:tr>
      <w:tr w:rsidR="00416CCF" w:rsidRPr="00E83E34" w14:paraId="7AA1AF3A" w14:textId="77777777" w:rsidTr="00E2543F">
        <w:trPr>
          <w:trHeight w:val="300"/>
        </w:trPr>
        <w:tc>
          <w:tcPr>
            <w:tcW w:w="2180" w:type="dxa"/>
            <w:tcBorders>
              <w:top w:val="nil"/>
              <w:left w:val="single" w:sz="8" w:space="0" w:color="auto"/>
              <w:bottom w:val="single" w:sz="4" w:space="0" w:color="auto"/>
              <w:right w:val="single" w:sz="4" w:space="0" w:color="auto"/>
            </w:tcBorders>
            <w:shd w:val="clear" w:color="auto" w:fill="auto"/>
            <w:noWrap/>
            <w:vAlign w:val="center"/>
            <w:hideMark/>
          </w:tcPr>
          <w:p w14:paraId="3D8E5D41"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2019/20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99C4F39"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14</w:t>
            </w:r>
          </w:p>
        </w:tc>
        <w:tc>
          <w:tcPr>
            <w:tcW w:w="1400" w:type="dxa"/>
            <w:tcBorders>
              <w:top w:val="nil"/>
              <w:left w:val="nil"/>
              <w:bottom w:val="single" w:sz="4" w:space="0" w:color="auto"/>
              <w:right w:val="single" w:sz="4" w:space="0" w:color="auto"/>
            </w:tcBorders>
            <w:shd w:val="clear" w:color="auto" w:fill="auto"/>
            <w:noWrap/>
            <w:hideMark/>
          </w:tcPr>
          <w:p w14:paraId="1C97F18F" w14:textId="77777777" w:rsidR="00416CCF" w:rsidRPr="00E83E34" w:rsidRDefault="00416CCF" w:rsidP="00416CCF">
            <w:pPr>
              <w:jc w:val="center"/>
              <w:rPr>
                <w:rFonts w:ascii="Arial" w:eastAsia="Calibri" w:hAnsi="Arial" w:cs="Arial"/>
                <w:sz w:val="22"/>
                <w:szCs w:val="22"/>
              </w:rPr>
            </w:pPr>
            <w:r w:rsidRPr="00E83E34">
              <w:rPr>
                <w:rFonts w:ascii="Arial" w:eastAsia="Calibri" w:hAnsi="Arial" w:cs="Arial"/>
                <w:color w:val="000000"/>
                <w:sz w:val="22"/>
                <w:szCs w:val="22"/>
              </w:rPr>
              <w:t>&gt;10</w:t>
            </w:r>
          </w:p>
        </w:tc>
        <w:tc>
          <w:tcPr>
            <w:tcW w:w="1660" w:type="dxa"/>
            <w:tcBorders>
              <w:top w:val="nil"/>
              <w:left w:val="nil"/>
              <w:bottom w:val="single" w:sz="4" w:space="0" w:color="auto"/>
              <w:right w:val="single" w:sz="4" w:space="0" w:color="auto"/>
            </w:tcBorders>
            <w:shd w:val="clear" w:color="auto" w:fill="auto"/>
            <w:noWrap/>
            <w:vAlign w:val="center"/>
            <w:hideMark/>
          </w:tcPr>
          <w:p w14:paraId="0C1AC91A" w14:textId="77777777" w:rsidR="00416CCF" w:rsidRPr="00E83E34" w:rsidRDefault="00416CCF" w:rsidP="00416CCF">
            <w:pPr>
              <w:jc w:val="center"/>
              <w:rPr>
                <w:rFonts w:ascii="Arial" w:eastAsia="Calibri" w:hAnsi="Arial" w:cs="Arial"/>
                <w:color w:val="000000"/>
                <w:sz w:val="22"/>
                <w:szCs w:val="22"/>
              </w:rPr>
            </w:pPr>
            <w:r w:rsidRPr="00E83E34">
              <w:rPr>
                <w:rFonts w:ascii="Arial" w:eastAsia="Calibri" w:hAnsi="Arial" w:cs="Arial"/>
                <w:color w:val="000000"/>
                <w:sz w:val="22"/>
                <w:szCs w:val="22"/>
              </w:rPr>
              <w:t>£5,306,187</w:t>
            </w:r>
          </w:p>
        </w:tc>
      </w:tr>
      <w:tr w:rsidR="00416CCF" w:rsidRPr="00E83E34" w14:paraId="2EEF2815" w14:textId="77777777" w:rsidTr="00E2543F">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14:paraId="27CC3A89" w14:textId="77777777" w:rsidR="00416CCF" w:rsidRPr="00E83E34" w:rsidRDefault="00416CCF" w:rsidP="00416CCF">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TOTALS:</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0EE53FD" w14:textId="77777777" w:rsidR="00416CCF" w:rsidRPr="00E83E34" w:rsidRDefault="00416CCF" w:rsidP="00416CCF">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102</w:t>
            </w:r>
          </w:p>
        </w:tc>
        <w:tc>
          <w:tcPr>
            <w:tcW w:w="1400" w:type="dxa"/>
            <w:tcBorders>
              <w:top w:val="nil"/>
              <w:left w:val="nil"/>
              <w:bottom w:val="single" w:sz="4" w:space="0" w:color="auto"/>
              <w:right w:val="single" w:sz="4" w:space="0" w:color="auto"/>
            </w:tcBorders>
            <w:shd w:val="clear" w:color="auto" w:fill="auto"/>
            <w:noWrap/>
            <w:hideMark/>
          </w:tcPr>
          <w:p w14:paraId="3218EFEC" w14:textId="77777777" w:rsidR="00416CCF" w:rsidRPr="00E83E34" w:rsidRDefault="00416CCF" w:rsidP="00416CCF">
            <w:pPr>
              <w:jc w:val="center"/>
              <w:rPr>
                <w:rFonts w:ascii="Arial" w:eastAsia="Calibri" w:hAnsi="Arial" w:cs="Arial"/>
                <w:sz w:val="22"/>
                <w:szCs w:val="22"/>
              </w:rPr>
            </w:pPr>
            <w:r w:rsidRPr="00E83E34">
              <w:rPr>
                <w:rFonts w:ascii="Arial" w:eastAsia="Calibri" w:hAnsi="Arial" w:cs="Arial"/>
                <w:color w:val="000000"/>
                <w:sz w:val="22"/>
                <w:szCs w:val="22"/>
              </w:rPr>
              <w:t>&gt;10</w:t>
            </w:r>
          </w:p>
        </w:tc>
        <w:tc>
          <w:tcPr>
            <w:tcW w:w="1660" w:type="dxa"/>
            <w:tcBorders>
              <w:top w:val="nil"/>
              <w:left w:val="nil"/>
              <w:bottom w:val="single" w:sz="4" w:space="0" w:color="auto"/>
              <w:right w:val="single" w:sz="4" w:space="0" w:color="auto"/>
            </w:tcBorders>
            <w:shd w:val="clear" w:color="auto" w:fill="auto"/>
            <w:noWrap/>
            <w:vAlign w:val="center"/>
            <w:hideMark/>
          </w:tcPr>
          <w:p w14:paraId="01B8F081" w14:textId="77777777" w:rsidR="00416CCF" w:rsidRPr="00E83E34" w:rsidRDefault="00416CCF" w:rsidP="00416CCF">
            <w:pPr>
              <w:jc w:val="center"/>
              <w:rPr>
                <w:rFonts w:ascii="Arial" w:eastAsia="Calibri" w:hAnsi="Arial" w:cs="Arial"/>
                <w:b/>
                <w:bCs/>
                <w:color w:val="000000"/>
                <w:sz w:val="22"/>
                <w:szCs w:val="22"/>
              </w:rPr>
            </w:pPr>
            <w:r w:rsidRPr="00E83E34">
              <w:rPr>
                <w:rFonts w:ascii="Arial" w:eastAsia="Calibri" w:hAnsi="Arial" w:cs="Arial"/>
                <w:b/>
                <w:bCs/>
                <w:color w:val="000000"/>
                <w:sz w:val="22"/>
                <w:szCs w:val="22"/>
              </w:rPr>
              <w:t>£26,096,457</w:t>
            </w:r>
          </w:p>
        </w:tc>
      </w:tr>
    </w:tbl>
    <w:p w14:paraId="115204CC" w14:textId="4C6B3CFA" w:rsidR="009636CD" w:rsidRDefault="009636CD" w:rsidP="008D60AA">
      <w:pPr>
        <w:rPr>
          <w:rFonts w:ascii="Arial" w:eastAsiaTheme="minorEastAsia" w:hAnsi="Arial" w:cs="Arial"/>
          <w:b/>
          <w:color w:val="ED1C24"/>
          <w:sz w:val="24"/>
          <w:szCs w:val="24"/>
        </w:rPr>
      </w:pPr>
    </w:p>
    <w:p w14:paraId="0C573880" w14:textId="77777777" w:rsidR="009636CD" w:rsidRDefault="009636CD" w:rsidP="008D60AA">
      <w:pPr>
        <w:rPr>
          <w:rFonts w:ascii="Arial" w:eastAsiaTheme="minorEastAsia" w:hAnsi="Arial" w:cs="Arial"/>
          <w:b/>
          <w:color w:val="ED1C24"/>
          <w:sz w:val="24"/>
          <w:szCs w:val="24"/>
        </w:rPr>
      </w:pPr>
    </w:p>
    <w:p w14:paraId="0E7958EA" w14:textId="11232536" w:rsidR="00894B5E" w:rsidRPr="00894B5E" w:rsidRDefault="004276BD" w:rsidP="008D60AA">
      <w:pPr>
        <w:rPr>
          <w:rFonts w:ascii="Arial" w:eastAsiaTheme="minorEastAsia" w:hAnsi="Arial" w:cs="Arial"/>
          <w:b/>
          <w:color w:val="ED1C24"/>
          <w:sz w:val="24"/>
          <w:szCs w:val="24"/>
        </w:rPr>
      </w:pPr>
      <w:r>
        <w:rPr>
          <w:rFonts w:ascii="Arial" w:eastAsiaTheme="minorEastAsia" w:hAnsi="Arial" w:cs="Arial"/>
          <w:b/>
          <w:color w:val="ED1C24"/>
          <w:sz w:val="24"/>
          <w:szCs w:val="24"/>
        </w:rPr>
        <w:t>1</w:t>
      </w:r>
      <w:r w:rsidR="00724DE8">
        <w:rPr>
          <w:rFonts w:ascii="Arial" w:eastAsiaTheme="minorEastAsia" w:hAnsi="Arial" w:cs="Arial"/>
          <w:b/>
          <w:color w:val="ED1C24"/>
          <w:sz w:val="24"/>
          <w:szCs w:val="24"/>
        </w:rPr>
        <w:t>2</w:t>
      </w:r>
      <w:r>
        <w:rPr>
          <w:rFonts w:ascii="Arial" w:eastAsiaTheme="minorEastAsia" w:hAnsi="Arial" w:cs="Arial"/>
          <w:b/>
          <w:color w:val="ED1C24"/>
          <w:sz w:val="24"/>
          <w:szCs w:val="24"/>
        </w:rPr>
        <w:t xml:space="preserve">.1 </w:t>
      </w:r>
      <w:r w:rsidR="001C598C">
        <w:rPr>
          <w:rFonts w:ascii="Arial" w:eastAsiaTheme="minorEastAsia" w:hAnsi="Arial" w:cs="Arial"/>
          <w:b/>
          <w:color w:val="ED1C24"/>
          <w:sz w:val="24"/>
          <w:szCs w:val="24"/>
        </w:rPr>
        <w:t xml:space="preserve">ECR- </w:t>
      </w:r>
      <w:bookmarkStart w:id="40" w:name="ECR_REFERRAL"/>
      <w:bookmarkEnd w:id="40"/>
      <w:r w:rsidR="00894B5E" w:rsidRPr="00894B5E">
        <w:rPr>
          <w:rFonts w:ascii="Arial" w:eastAsiaTheme="minorEastAsia" w:hAnsi="Arial" w:cs="Arial"/>
          <w:b/>
          <w:color w:val="ED1C24"/>
          <w:sz w:val="24"/>
          <w:szCs w:val="24"/>
        </w:rPr>
        <w:t>Clinical Reason for Referral</w:t>
      </w:r>
    </w:p>
    <w:p w14:paraId="6054C998" w14:textId="77777777" w:rsidR="00894B5E" w:rsidRDefault="00894B5E" w:rsidP="008D60AA">
      <w:pPr>
        <w:rPr>
          <w:rFonts w:ascii="Arial" w:hAnsi="Arial" w:cs="Arial"/>
          <w:sz w:val="24"/>
          <w:szCs w:val="24"/>
        </w:rPr>
      </w:pPr>
    </w:p>
    <w:p w14:paraId="2FC6BC17" w14:textId="74F3850F" w:rsidR="008D60AA" w:rsidRPr="00E83E34" w:rsidRDefault="00B867D3" w:rsidP="008D60AA">
      <w:pPr>
        <w:rPr>
          <w:rFonts w:ascii="Arial" w:eastAsiaTheme="minorEastAsia" w:hAnsi="Arial" w:cs="Arial"/>
          <w:color w:val="414042"/>
          <w:sz w:val="24"/>
          <w:szCs w:val="24"/>
        </w:rPr>
      </w:pPr>
      <w:r>
        <w:rPr>
          <w:rFonts w:ascii="Arial" w:eastAsiaTheme="minorEastAsia" w:hAnsi="Arial" w:cs="Arial"/>
          <w:color w:val="414042"/>
          <w:sz w:val="24"/>
          <w:szCs w:val="24"/>
        </w:rPr>
        <w:t xml:space="preserve">When a HSCT makes an </w:t>
      </w:r>
      <w:r w:rsidR="008A4D96">
        <w:rPr>
          <w:rFonts w:ascii="Arial" w:eastAsiaTheme="minorEastAsia" w:hAnsi="Arial" w:cs="Arial"/>
          <w:color w:val="414042"/>
          <w:sz w:val="24"/>
          <w:szCs w:val="24"/>
        </w:rPr>
        <w:t>ECR</w:t>
      </w:r>
      <w:r w:rsidR="008A4D96" w:rsidRPr="00E83E34">
        <w:rPr>
          <w:rFonts w:ascii="Arial" w:eastAsiaTheme="minorEastAsia" w:hAnsi="Arial" w:cs="Arial"/>
          <w:color w:val="414042"/>
          <w:sz w:val="24"/>
          <w:szCs w:val="24"/>
        </w:rPr>
        <w:t xml:space="preserve"> referral </w:t>
      </w:r>
      <w:r w:rsidR="008A4D96">
        <w:rPr>
          <w:rFonts w:ascii="Arial" w:eastAsiaTheme="minorEastAsia" w:hAnsi="Arial" w:cs="Arial"/>
          <w:color w:val="414042"/>
          <w:sz w:val="24"/>
          <w:szCs w:val="24"/>
        </w:rPr>
        <w:t>request</w:t>
      </w:r>
      <w:r w:rsidRPr="00E83E34">
        <w:rPr>
          <w:rFonts w:ascii="Arial" w:eastAsiaTheme="minorEastAsia" w:hAnsi="Arial" w:cs="Arial"/>
          <w:color w:val="414042"/>
          <w:sz w:val="24"/>
          <w:szCs w:val="24"/>
        </w:rPr>
        <w:t xml:space="preserve"> </w:t>
      </w:r>
      <w:r w:rsidR="008A4D96">
        <w:rPr>
          <w:rFonts w:ascii="Arial" w:eastAsiaTheme="minorEastAsia" w:hAnsi="Arial" w:cs="Arial"/>
          <w:color w:val="414042"/>
          <w:sz w:val="24"/>
          <w:szCs w:val="24"/>
        </w:rPr>
        <w:t>o</w:t>
      </w:r>
      <w:r w:rsidR="000E1151" w:rsidRPr="00E83E34">
        <w:rPr>
          <w:rFonts w:ascii="Arial" w:eastAsiaTheme="minorEastAsia" w:hAnsi="Arial" w:cs="Arial"/>
          <w:color w:val="414042"/>
          <w:sz w:val="24"/>
          <w:szCs w:val="24"/>
        </w:rPr>
        <w:t>ne of the main conditions is that it is deemed the best clinical optio</w:t>
      </w:r>
      <w:r w:rsidR="00BF7915">
        <w:rPr>
          <w:rFonts w:ascii="Arial" w:eastAsiaTheme="minorEastAsia" w:hAnsi="Arial" w:cs="Arial"/>
          <w:color w:val="414042"/>
          <w:sz w:val="24"/>
          <w:szCs w:val="24"/>
        </w:rPr>
        <w:t xml:space="preserve">n for a child or young person. </w:t>
      </w:r>
      <w:r w:rsidR="008D60AA" w:rsidRPr="00E83E34">
        <w:rPr>
          <w:rFonts w:ascii="Arial" w:eastAsiaTheme="minorEastAsia" w:hAnsi="Arial" w:cs="Arial"/>
          <w:color w:val="414042"/>
          <w:sz w:val="24"/>
          <w:szCs w:val="24"/>
        </w:rPr>
        <w:t>ECRs are recorded in terms of primary presenting condition, however children and young people transferred under an ECR can often have a significant number of needs including social complexity, emotional and mental health and various disabilities</w:t>
      </w:r>
      <w:r w:rsidR="008A4D96">
        <w:rPr>
          <w:rFonts w:ascii="Arial" w:eastAsiaTheme="minorEastAsia" w:hAnsi="Arial" w:cs="Arial"/>
          <w:color w:val="414042"/>
          <w:sz w:val="24"/>
          <w:szCs w:val="24"/>
        </w:rPr>
        <w:t>,</w:t>
      </w:r>
      <w:r w:rsidR="008D60AA" w:rsidRPr="00E83E34">
        <w:rPr>
          <w:rFonts w:ascii="Arial" w:eastAsiaTheme="minorEastAsia" w:hAnsi="Arial" w:cs="Arial"/>
          <w:color w:val="414042"/>
          <w:sz w:val="24"/>
          <w:szCs w:val="24"/>
        </w:rPr>
        <w:t xml:space="preserve"> therefore any support is premised on the specific needs of the child rather than</w:t>
      </w:r>
      <w:r w:rsidR="00200CE0">
        <w:rPr>
          <w:rFonts w:ascii="Arial" w:eastAsiaTheme="minorEastAsia" w:hAnsi="Arial" w:cs="Arial"/>
          <w:color w:val="414042"/>
          <w:sz w:val="24"/>
          <w:szCs w:val="24"/>
        </w:rPr>
        <w:t xml:space="preserve"> being condition led.</w:t>
      </w:r>
      <w:r w:rsidR="00BF7915">
        <w:rPr>
          <w:rStyle w:val="FootnoteReference"/>
          <w:rFonts w:ascii="Arial" w:eastAsiaTheme="minorEastAsia" w:hAnsi="Arial" w:cs="Arial"/>
          <w:color w:val="414042"/>
          <w:sz w:val="24"/>
          <w:szCs w:val="24"/>
        </w:rPr>
        <w:footnoteReference w:id="10"/>
      </w:r>
      <w:r w:rsidR="00810CBA">
        <w:rPr>
          <w:rFonts w:ascii="Arial" w:eastAsiaTheme="minorEastAsia" w:hAnsi="Arial" w:cs="Arial"/>
          <w:color w:val="414042"/>
          <w:sz w:val="24"/>
          <w:szCs w:val="24"/>
        </w:rPr>
        <w:t xml:space="preserve"> </w:t>
      </w:r>
    </w:p>
    <w:p w14:paraId="762A7919" w14:textId="77777777" w:rsidR="008D60AA" w:rsidRPr="00E83E34" w:rsidRDefault="008D60AA" w:rsidP="008D60AA">
      <w:pPr>
        <w:rPr>
          <w:rFonts w:ascii="Arial" w:eastAsiaTheme="minorEastAsia" w:hAnsi="Arial" w:cs="Arial"/>
          <w:color w:val="414042"/>
          <w:sz w:val="24"/>
          <w:szCs w:val="24"/>
        </w:rPr>
      </w:pPr>
    </w:p>
    <w:p w14:paraId="56749D81" w14:textId="77777777" w:rsidR="00E2543F" w:rsidRPr="00E83E34" w:rsidRDefault="008D60AA" w:rsidP="0030595B">
      <w:pPr>
        <w:pStyle w:val="NICCYBodyText"/>
        <w:spacing w:line="240" w:lineRule="auto"/>
      </w:pPr>
      <w:r w:rsidRPr="0030595B">
        <w:t>Between 2014/15 and 2019/20</w:t>
      </w:r>
      <w:r w:rsidR="00E2543F" w:rsidRPr="0030595B">
        <w:t xml:space="preserve"> the primary presenting conditions of the young people referred under an ECR are listed in</w:t>
      </w:r>
      <w:r w:rsidR="0030595B" w:rsidRPr="0030595B">
        <w:t xml:space="preserve"> </w:t>
      </w:r>
      <w:r w:rsidR="0030595B" w:rsidRPr="0030595B">
        <w:fldChar w:fldCharType="begin"/>
      </w:r>
      <w:r w:rsidR="0030595B" w:rsidRPr="0030595B">
        <w:instrText xml:space="preserve"> REF _Ref58427450 \h  \* MERGEFORMAT </w:instrText>
      </w:r>
      <w:r w:rsidR="0030595B" w:rsidRPr="0030595B">
        <w:fldChar w:fldCharType="separate"/>
      </w:r>
      <w:r w:rsidR="0030595B" w:rsidRPr="0030595B">
        <w:t>Table 13</w:t>
      </w:r>
      <w:r w:rsidR="0030595B" w:rsidRPr="0030595B">
        <w:fldChar w:fldCharType="end"/>
      </w:r>
      <w:r w:rsidRPr="0030595B">
        <w:t xml:space="preserve">. </w:t>
      </w:r>
      <w:r w:rsidR="00891D81" w:rsidRPr="0030595B">
        <w:t>They include a range of developmental and learning disabilities, along with eating disorder and</w:t>
      </w:r>
      <w:r w:rsidR="00891D81">
        <w:t xml:space="preserve"> dual diagnosis</w:t>
      </w:r>
      <w:r w:rsidR="00923471">
        <w:t xml:space="preserve"> / co-occurring mental health and substance use problems</w:t>
      </w:r>
      <w:r w:rsidR="00891D81">
        <w:t xml:space="preserve">. </w:t>
      </w:r>
    </w:p>
    <w:p w14:paraId="52CB4D95" w14:textId="77777777" w:rsidR="00652AC5" w:rsidRPr="00652AC5" w:rsidRDefault="00652AC5" w:rsidP="00652AC5">
      <w:pPr>
        <w:pStyle w:val="NICCYBodyText"/>
        <w:rPr>
          <w:sz w:val="20"/>
          <w:szCs w:val="20"/>
        </w:rPr>
      </w:pPr>
    </w:p>
    <w:p w14:paraId="5C6C204C" w14:textId="77777777" w:rsidR="00E2543F" w:rsidRPr="00652AC5" w:rsidRDefault="00652AC5" w:rsidP="00652AC5">
      <w:pPr>
        <w:pStyle w:val="NICCYBodyText"/>
        <w:rPr>
          <w:sz w:val="20"/>
          <w:szCs w:val="20"/>
        </w:rPr>
      </w:pPr>
      <w:bookmarkStart w:id="41" w:name="_Ref58427450"/>
      <w:r w:rsidRPr="00652AC5">
        <w:rPr>
          <w:sz w:val="20"/>
          <w:szCs w:val="20"/>
        </w:rPr>
        <w:t xml:space="preserve">Table </w:t>
      </w:r>
      <w:r w:rsidRPr="00652AC5">
        <w:rPr>
          <w:sz w:val="20"/>
          <w:szCs w:val="20"/>
        </w:rPr>
        <w:fldChar w:fldCharType="begin"/>
      </w:r>
      <w:r w:rsidRPr="00652AC5">
        <w:rPr>
          <w:sz w:val="20"/>
          <w:szCs w:val="20"/>
        </w:rPr>
        <w:instrText xml:space="preserve"> SEQ Table \* ARABIC </w:instrText>
      </w:r>
      <w:r w:rsidRPr="00652AC5">
        <w:rPr>
          <w:sz w:val="20"/>
          <w:szCs w:val="20"/>
        </w:rPr>
        <w:fldChar w:fldCharType="separate"/>
      </w:r>
      <w:r>
        <w:rPr>
          <w:noProof/>
          <w:sz w:val="20"/>
          <w:szCs w:val="20"/>
        </w:rPr>
        <w:t>13</w:t>
      </w:r>
      <w:r w:rsidRPr="00652AC5">
        <w:rPr>
          <w:sz w:val="20"/>
          <w:szCs w:val="20"/>
        </w:rPr>
        <w:fldChar w:fldCharType="end"/>
      </w:r>
      <w:bookmarkEnd w:id="41"/>
      <w:r w:rsidRPr="00652AC5">
        <w:rPr>
          <w:sz w:val="20"/>
          <w:szCs w:val="20"/>
        </w:rPr>
        <w:t>: Primary condition of young people referred under an ECR between 2014/15 and 2019/20</w:t>
      </w:r>
      <w:r w:rsidR="00E2543F" w:rsidRPr="00652AC5">
        <w:rPr>
          <w:sz w:val="20"/>
          <w:szCs w:val="20"/>
        </w:rPr>
        <w:t xml:space="preserve"> </w:t>
      </w:r>
    </w:p>
    <w:tbl>
      <w:tblPr>
        <w:tblW w:w="96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665"/>
      </w:tblGrid>
      <w:tr w:rsidR="00E35AF8" w14:paraId="3B9BDC66" w14:textId="77777777" w:rsidTr="00E35AF8">
        <w:trPr>
          <w:trHeight w:val="344"/>
        </w:trPr>
        <w:tc>
          <w:tcPr>
            <w:tcW w:w="4972" w:type="dxa"/>
            <w:noWrap/>
            <w:vAlign w:val="bottom"/>
            <w:hideMark/>
          </w:tcPr>
          <w:p w14:paraId="3B1FF547" w14:textId="77777777" w:rsidR="00E35AF8" w:rsidRDefault="00E35AF8" w:rsidP="00E35AF8">
            <w:pPr>
              <w:pStyle w:val="NICCYBodyTest"/>
              <w:numPr>
                <w:ilvl w:val="0"/>
                <w:numId w:val="25"/>
              </w:numPr>
              <w:rPr>
                <w:lang w:eastAsia="en-GB"/>
              </w:rPr>
            </w:pPr>
            <w:r>
              <w:rPr>
                <w:lang w:eastAsia="en-GB"/>
              </w:rPr>
              <w:t>Acquired Brain Injury</w:t>
            </w:r>
          </w:p>
        </w:tc>
        <w:tc>
          <w:tcPr>
            <w:tcW w:w="4665" w:type="dxa"/>
          </w:tcPr>
          <w:p w14:paraId="54116D53" w14:textId="77777777" w:rsidR="00E35AF8" w:rsidRDefault="00E35AF8" w:rsidP="00E35AF8">
            <w:pPr>
              <w:pStyle w:val="NICCYBodyTest"/>
              <w:ind w:left="37"/>
              <w:rPr>
                <w:lang w:eastAsia="en-GB"/>
              </w:rPr>
            </w:pPr>
            <w:r>
              <w:rPr>
                <w:lang w:eastAsia="en-GB"/>
              </w:rPr>
              <w:t>6. Challenging Behaviour</w:t>
            </w:r>
          </w:p>
        </w:tc>
      </w:tr>
      <w:tr w:rsidR="00E35AF8" w14:paraId="26AD88B8" w14:textId="77777777" w:rsidTr="00E35AF8">
        <w:trPr>
          <w:trHeight w:val="344"/>
        </w:trPr>
        <w:tc>
          <w:tcPr>
            <w:tcW w:w="4972" w:type="dxa"/>
            <w:noWrap/>
            <w:vAlign w:val="bottom"/>
            <w:hideMark/>
          </w:tcPr>
          <w:p w14:paraId="65630753" w14:textId="77777777" w:rsidR="00E35AF8" w:rsidRDefault="00E35AF8" w:rsidP="00E35AF8">
            <w:pPr>
              <w:pStyle w:val="NICCYBodyTest"/>
              <w:numPr>
                <w:ilvl w:val="0"/>
                <w:numId w:val="25"/>
              </w:numPr>
              <w:rPr>
                <w:lang w:eastAsia="en-GB"/>
              </w:rPr>
            </w:pPr>
            <w:r>
              <w:rPr>
                <w:lang w:eastAsia="en-GB"/>
              </w:rPr>
              <w:t>Autism Spectrum Disorder</w:t>
            </w:r>
          </w:p>
        </w:tc>
        <w:tc>
          <w:tcPr>
            <w:tcW w:w="4665" w:type="dxa"/>
          </w:tcPr>
          <w:p w14:paraId="231CE5ED" w14:textId="77777777" w:rsidR="00E35AF8" w:rsidRDefault="00E35AF8" w:rsidP="00E35AF8">
            <w:pPr>
              <w:pStyle w:val="NICCYBodyTest"/>
              <w:ind w:left="37"/>
              <w:rPr>
                <w:lang w:eastAsia="en-GB"/>
              </w:rPr>
            </w:pPr>
            <w:r>
              <w:rPr>
                <w:lang w:eastAsia="en-GB"/>
              </w:rPr>
              <w:t>7. Complex Behaviour</w:t>
            </w:r>
          </w:p>
        </w:tc>
      </w:tr>
      <w:tr w:rsidR="00E35AF8" w14:paraId="2D4E8576" w14:textId="77777777" w:rsidTr="00E35AF8">
        <w:trPr>
          <w:trHeight w:val="344"/>
        </w:trPr>
        <w:tc>
          <w:tcPr>
            <w:tcW w:w="4972" w:type="dxa"/>
            <w:noWrap/>
            <w:vAlign w:val="bottom"/>
            <w:hideMark/>
          </w:tcPr>
          <w:p w14:paraId="6A62C997" w14:textId="77777777" w:rsidR="00E35AF8" w:rsidRDefault="00E35AF8" w:rsidP="00E35AF8">
            <w:pPr>
              <w:pStyle w:val="NICCYBodyTest"/>
              <w:numPr>
                <w:ilvl w:val="0"/>
                <w:numId w:val="25"/>
              </w:numPr>
              <w:rPr>
                <w:lang w:eastAsia="en-GB"/>
              </w:rPr>
            </w:pPr>
            <w:r>
              <w:rPr>
                <w:lang w:eastAsia="en-GB"/>
              </w:rPr>
              <w:t>Attachment Disorder / Complex Trauma</w:t>
            </w:r>
          </w:p>
        </w:tc>
        <w:tc>
          <w:tcPr>
            <w:tcW w:w="4665" w:type="dxa"/>
          </w:tcPr>
          <w:p w14:paraId="6ADCA262" w14:textId="77777777" w:rsidR="00E35AF8" w:rsidRDefault="00E35AF8" w:rsidP="00E35AF8">
            <w:pPr>
              <w:pStyle w:val="NICCYBodyTest"/>
              <w:ind w:left="37"/>
              <w:rPr>
                <w:lang w:eastAsia="en-GB"/>
              </w:rPr>
            </w:pPr>
            <w:r>
              <w:rPr>
                <w:lang w:eastAsia="en-GB"/>
              </w:rPr>
              <w:t>8. Eating Disorder</w:t>
            </w:r>
          </w:p>
        </w:tc>
      </w:tr>
      <w:tr w:rsidR="00E35AF8" w14:paraId="00251AC2" w14:textId="77777777" w:rsidTr="00E35AF8">
        <w:trPr>
          <w:trHeight w:val="344"/>
        </w:trPr>
        <w:tc>
          <w:tcPr>
            <w:tcW w:w="4972" w:type="dxa"/>
            <w:noWrap/>
            <w:vAlign w:val="bottom"/>
            <w:hideMark/>
          </w:tcPr>
          <w:p w14:paraId="3862BD16" w14:textId="77777777" w:rsidR="00E35AF8" w:rsidRDefault="00E35AF8" w:rsidP="00E35AF8">
            <w:pPr>
              <w:pStyle w:val="NICCYBodyTest"/>
              <w:numPr>
                <w:ilvl w:val="0"/>
                <w:numId w:val="25"/>
              </w:numPr>
              <w:rPr>
                <w:lang w:eastAsia="en-GB"/>
              </w:rPr>
            </w:pPr>
            <w:r>
              <w:rPr>
                <w:lang w:eastAsia="en-GB"/>
              </w:rPr>
              <w:t>CAMHS</w:t>
            </w:r>
          </w:p>
        </w:tc>
        <w:tc>
          <w:tcPr>
            <w:tcW w:w="4665" w:type="dxa"/>
          </w:tcPr>
          <w:p w14:paraId="3EFCB7D4" w14:textId="77777777" w:rsidR="00E35AF8" w:rsidRDefault="00E35AF8" w:rsidP="00E35AF8">
            <w:pPr>
              <w:pStyle w:val="NICCYBodyTest"/>
              <w:ind w:left="37"/>
              <w:rPr>
                <w:lang w:eastAsia="en-GB"/>
              </w:rPr>
            </w:pPr>
            <w:r>
              <w:rPr>
                <w:lang w:eastAsia="en-GB"/>
              </w:rPr>
              <w:t>9. Learning Disability</w:t>
            </w:r>
          </w:p>
        </w:tc>
      </w:tr>
      <w:tr w:rsidR="00E35AF8" w14:paraId="0E2EA5B3" w14:textId="77777777" w:rsidTr="00E35AF8">
        <w:trPr>
          <w:trHeight w:val="344"/>
        </w:trPr>
        <w:tc>
          <w:tcPr>
            <w:tcW w:w="4972" w:type="dxa"/>
            <w:noWrap/>
            <w:vAlign w:val="bottom"/>
            <w:hideMark/>
          </w:tcPr>
          <w:p w14:paraId="2A8036AE" w14:textId="77777777" w:rsidR="00E35AF8" w:rsidRDefault="00E35AF8" w:rsidP="00E35AF8">
            <w:pPr>
              <w:pStyle w:val="NICCYBodyTest"/>
              <w:numPr>
                <w:ilvl w:val="0"/>
                <w:numId w:val="25"/>
              </w:numPr>
              <w:rPr>
                <w:lang w:eastAsia="en-GB"/>
              </w:rPr>
            </w:pPr>
            <w:r>
              <w:rPr>
                <w:lang w:eastAsia="en-GB"/>
              </w:rPr>
              <w:t>CAMHS/Opiate Abuse</w:t>
            </w:r>
          </w:p>
        </w:tc>
        <w:tc>
          <w:tcPr>
            <w:tcW w:w="4665" w:type="dxa"/>
          </w:tcPr>
          <w:p w14:paraId="13BE7F84" w14:textId="77777777" w:rsidR="00E35AF8" w:rsidRDefault="00E35AF8" w:rsidP="00E35AF8">
            <w:pPr>
              <w:pStyle w:val="NICCYBodyTest"/>
              <w:ind w:left="37"/>
              <w:rPr>
                <w:lang w:eastAsia="en-GB"/>
              </w:rPr>
            </w:pPr>
          </w:p>
        </w:tc>
      </w:tr>
    </w:tbl>
    <w:p w14:paraId="2E978717" w14:textId="77777777" w:rsidR="00E2543F" w:rsidRDefault="00E2543F" w:rsidP="000D6689">
      <w:pPr>
        <w:pStyle w:val="NICCYSubline"/>
      </w:pPr>
    </w:p>
    <w:p w14:paraId="062646A4" w14:textId="3770D18A" w:rsidR="00894B5E" w:rsidRDefault="004276BD" w:rsidP="000D6689">
      <w:pPr>
        <w:pStyle w:val="NICCYSubline"/>
      </w:pPr>
      <w:r>
        <w:t>1</w:t>
      </w:r>
      <w:r w:rsidR="00724DE8">
        <w:t>2</w:t>
      </w:r>
      <w:r>
        <w:t xml:space="preserve">.2 </w:t>
      </w:r>
      <w:r w:rsidR="001C598C">
        <w:t xml:space="preserve">ECR- </w:t>
      </w:r>
      <w:bookmarkStart w:id="42" w:name="ECR_Age"/>
      <w:bookmarkStart w:id="43" w:name="Dataset"/>
      <w:bookmarkStart w:id="44" w:name="conclusion"/>
      <w:bookmarkEnd w:id="42"/>
      <w:bookmarkEnd w:id="43"/>
      <w:bookmarkEnd w:id="44"/>
      <w:r w:rsidR="00CA4D7F">
        <w:t xml:space="preserve">Age Range &amp; </w:t>
      </w:r>
      <w:r w:rsidR="00894B5E">
        <w:t xml:space="preserve">Length of Admission </w:t>
      </w:r>
    </w:p>
    <w:p w14:paraId="0570A76C" w14:textId="77777777" w:rsidR="00CA4D7F" w:rsidRDefault="00CA4D7F" w:rsidP="00CA4D7F">
      <w:pPr>
        <w:pStyle w:val="NICCYBodyText"/>
        <w:rPr>
          <w:b/>
          <w:color w:val="ED1C24"/>
        </w:rPr>
      </w:pPr>
    </w:p>
    <w:p w14:paraId="4DD3834B" w14:textId="77777777" w:rsidR="00894B5E" w:rsidRPr="001C2FA3" w:rsidRDefault="00CA4D7F" w:rsidP="00E35AF8">
      <w:pPr>
        <w:pStyle w:val="NICCYBodyText"/>
        <w:rPr>
          <w:color w:val="262626" w:themeColor="text1" w:themeTint="D9"/>
        </w:rPr>
      </w:pPr>
      <w:r>
        <w:rPr>
          <w:color w:val="262626" w:themeColor="text1" w:themeTint="D9"/>
        </w:rPr>
        <w:t>T</w:t>
      </w:r>
      <w:r w:rsidRPr="00CF2D4A">
        <w:rPr>
          <w:color w:val="262626" w:themeColor="text1" w:themeTint="D9"/>
        </w:rPr>
        <w:t xml:space="preserve">he majority of </w:t>
      </w:r>
      <w:r>
        <w:rPr>
          <w:color w:val="262626" w:themeColor="text1" w:themeTint="D9"/>
        </w:rPr>
        <w:t>children</w:t>
      </w:r>
      <w:r w:rsidRPr="00CF2D4A">
        <w:rPr>
          <w:color w:val="262626" w:themeColor="text1" w:themeTint="D9"/>
        </w:rPr>
        <w:t xml:space="preserve"> </w:t>
      </w:r>
      <w:r>
        <w:rPr>
          <w:color w:val="262626" w:themeColor="text1" w:themeTint="D9"/>
        </w:rPr>
        <w:t>transferred under an ECR were in t</w:t>
      </w:r>
      <w:r w:rsidR="00E83E34">
        <w:rPr>
          <w:color w:val="262626" w:themeColor="text1" w:themeTint="D9"/>
        </w:rPr>
        <w:t>heir teens, however, a number w</w:t>
      </w:r>
      <w:r>
        <w:rPr>
          <w:color w:val="262626" w:themeColor="text1" w:themeTint="D9"/>
        </w:rPr>
        <w:t>ere pre-teen</w:t>
      </w:r>
      <w:r w:rsidR="001C2FA3">
        <w:rPr>
          <w:color w:val="262626" w:themeColor="text1" w:themeTint="D9"/>
        </w:rPr>
        <w:t>, a further breakdown is not possible due to the potential of identifying individuals.</w:t>
      </w:r>
      <w:r w:rsidR="00E35AF8">
        <w:rPr>
          <w:color w:val="262626" w:themeColor="text1" w:themeTint="D9"/>
        </w:rPr>
        <w:t xml:space="preserve"> </w:t>
      </w:r>
      <w:r w:rsidR="001C2FA3">
        <w:rPr>
          <w:color w:val="262626" w:themeColor="text1" w:themeTint="D9"/>
        </w:rPr>
        <w:t xml:space="preserve">The purpose of an ECR is for </w:t>
      </w:r>
      <w:r w:rsidR="00894B5E" w:rsidRPr="00415FC7">
        <w:t>child</w:t>
      </w:r>
      <w:r w:rsidR="00894B5E">
        <w:t>ren</w:t>
      </w:r>
      <w:r w:rsidR="00894B5E" w:rsidRPr="00415FC7">
        <w:t xml:space="preserve"> </w:t>
      </w:r>
      <w:r w:rsidR="001C2FA3">
        <w:t xml:space="preserve">to be provided with specialist </w:t>
      </w:r>
      <w:r w:rsidR="001C2FA3" w:rsidRPr="00415FC7">
        <w:t>assessment and treatment for their primary health condition</w:t>
      </w:r>
      <w:r w:rsidR="001C2FA3">
        <w:t xml:space="preserve"> within a </w:t>
      </w:r>
      <w:r w:rsidR="00894B5E">
        <w:t xml:space="preserve">time limited </w:t>
      </w:r>
      <w:r w:rsidR="001C2FA3">
        <w:t>period</w:t>
      </w:r>
      <w:r w:rsidR="00894B5E" w:rsidRPr="00415FC7">
        <w:t xml:space="preserve">.  The process is not intended to fund long term placements.  The Board </w:t>
      </w:r>
      <w:r w:rsidR="00894B5E">
        <w:t>expects children to be repatriated by HSC Trust to N.</w:t>
      </w:r>
      <w:r w:rsidR="00E35AF8">
        <w:t xml:space="preserve"> </w:t>
      </w:r>
      <w:r w:rsidR="00894B5E">
        <w:t>Ireland at the earliest opportunity.</w:t>
      </w:r>
      <w:r w:rsidR="001C2FA3">
        <w:t xml:space="preserve"> </w:t>
      </w:r>
      <w:r w:rsidR="001C2FA3" w:rsidRPr="001C2FA3">
        <w:fldChar w:fldCharType="begin"/>
      </w:r>
      <w:r w:rsidR="001C2FA3" w:rsidRPr="001C2FA3">
        <w:instrText xml:space="preserve"> REF _Ref58428038 \h </w:instrText>
      </w:r>
      <w:r w:rsidR="001C2FA3">
        <w:instrText xml:space="preserve"> \* MERGEFORMAT </w:instrText>
      </w:r>
      <w:r w:rsidR="001C2FA3" w:rsidRPr="001C2FA3">
        <w:fldChar w:fldCharType="separate"/>
      </w:r>
      <w:r w:rsidR="001C2FA3" w:rsidRPr="001C2FA3">
        <w:t xml:space="preserve">Table </w:t>
      </w:r>
      <w:r w:rsidR="001C2FA3" w:rsidRPr="001C2FA3">
        <w:rPr>
          <w:noProof/>
        </w:rPr>
        <w:t>14</w:t>
      </w:r>
      <w:r w:rsidR="001C2FA3" w:rsidRPr="001C2FA3">
        <w:fldChar w:fldCharType="end"/>
      </w:r>
      <w:r w:rsidR="001C2FA3">
        <w:t xml:space="preserve"> shows that there is a significant range </w:t>
      </w:r>
      <w:r w:rsidR="00FD2138">
        <w:t>with respect to</w:t>
      </w:r>
      <w:r w:rsidR="001C2FA3">
        <w:t xml:space="preserve"> the minimum</w:t>
      </w:r>
      <w:r w:rsidR="00FD2138">
        <w:t xml:space="preserve">, maximum and average </w:t>
      </w:r>
      <w:r w:rsidR="001C2FA3">
        <w:t>length of t</w:t>
      </w:r>
      <w:r w:rsidR="00FD2138">
        <w:t>ime young people are treated out of jurisdiction. The minimum length of time was 4 days and the maximum 1826</w:t>
      </w:r>
      <w:r w:rsidR="00A208D5">
        <w:t xml:space="preserve"> days (5 years)</w:t>
      </w:r>
      <w:r w:rsidR="00FD2138">
        <w:t>, with an average stay of 244 days.</w:t>
      </w:r>
    </w:p>
    <w:p w14:paraId="4660C2C4" w14:textId="77777777" w:rsidR="00894B5E" w:rsidRPr="00E83E34" w:rsidRDefault="00894B5E" w:rsidP="00E83E34">
      <w:pPr>
        <w:pStyle w:val="NICCYBodyText"/>
        <w:rPr>
          <w:sz w:val="22"/>
          <w:szCs w:val="22"/>
        </w:rPr>
      </w:pPr>
    </w:p>
    <w:p w14:paraId="091CAFF9" w14:textId="77777777" w:rsidR="00894B5E" w:rsidRPr="00652AC5" w:rsidRDefault="00652AC5" w:rsidP="00652AC5">
      <w:pPr>
        <w:pStyle w:val="NICCYBodyText"/>
        <w:rPr>
          <w:b/>
          <w:sz w:val="20"/>
          <w:szCs w:val="20"/>
        </w:rPr>
      </w:pPr>
      <w:bookmarkStart w:id="45" w:name="_Ref58428038"/>
      <w:r w:rsidRPr="00652AC5">
        <w:rPr>
          <w:sz w:val="20"/>
          <w:szCs w:val="20"/>
        </w:rPr>
        <w:t xml:space="preserve">Table </w:t>
      </w:r>
      <w:r w:rsidRPr="00652AC5">
        <w:rPr>
          <w:sz w:val="20"/>
          <w:szCs w:val="20"/>
        </w:rPr>
        <w:fldChar w:fldCharType="begin"/>
      </w:r>
      <w:r w:rsidRPr="00652AC5">
        <w:rPr>
          <w:sz w:val="20"/>
          <w:szCs w:val="20"/>
        </w:rPr>
        <w:instrText xml:space="preserve"> SEQ Table \* ARABIC </w:instrText>
      </w:r>
      <w:r w:rsidRPr="00652AC5">
        <w:rPr>
          <w:sz w:val="20"/>
          <w:szCs w:val="20"/>
        </w:rPr>
        <w:fldChar w:fldCharType="separate"/>
      </w:r>
      <w:r w:rsidRPr="00652AC5">
        <w:rPr>
          <w:noProof/>
          <w:sz w:val="20"/>
          <w:szCs w:val="20"/>
        </w:rPr>
        <w:t>14</w:t>
      </w:r>
      <w:r w:rsidRPr="00652AC5">
        <w:rPr>
          <w:sz w:val="20"/>
          <w:szCs w:val="20"/>
        </w:rPr>
        <w:fldChar w:fldCharType="end"/>
      </w:r>
      <w:bookmarkEnd w:id="45"/>
      <w:r w:rsidRPr="00652AC5">
        <w:rPr>
          <w:sz w:val="20"/>
          <w:szCs w:val="20"/>
        </w:rPr>
        <w:t>: Length of admissions i.e. (average, maximum and minimum)</w:t>
      </w:r>
      <w:r w:rsidR="002B78A5">
        <w:rPr>
          <w:sz w:val="20"/>
          <w:szCs w:val="20"/>
        </w:rPr>
        <w:t xml:space="preserve"> 2014/15-2019/20</w:t>
      </w:r>
    </w:p>
    <w:tbl>
      <w:tblPr>
        <w:tblStyle w:val="TableGrid"/>
        <w:tblW w:w="0" w:type="auto"/>
        <w:tblLook w:val="04A0" w:firstRow="1" w:lastRow="0" w:firstColumn="1" w:lastColumn="0" w:noHBand="0" w:noVBand="1"/>
      </w:tblPr>
      <w:tblGrid>
        <w:gridCol w:w="2477"/>
        <w:gridCol w:w="2482"/>
        <w:gridCol w:w="2530"/>
      </w:tblGrid>
      <w:tr w:rsidR="00454963" w:rsidRPr="00894B5E" w14:paraId="507A49FE" w14:textId="77777777" w:rsidTr="00454963">
        <w:tc>
          <w:tcPr>
            <w:tcW w:w="7489" w:type="dxa"/>
            <w:gridSpan w:val="3"/>
            <w:vAlign w:val="center"/>
          </w:tcPr>
          <w:p w14:paraId="2C97A3F9" w14:textId="77777777" w:rsidR="00454963" w:rsidRDefault="00454963" w:rsidP="00454963">
            <w:pPr>
              <w:jc w:val="center"/>
              <w:rPr>
                <w:rFonts w:ascii="Arial" w:hAnsi="Arial" w:cs="Arial"/>
                <w:sz w:val="24"/>
                <w:szCs w:val="24"/>
              </w:rPr>
            </w:pPr>
            <w:r>
              <w:rPr>
                <w:rFonts w:ascii="Arial" w:hAnsi="Arial" w:cs="Arial"/>
                <w:sz w:val="24"/>
                <w:szCs w:val="24"/>
              </w:rPr>
              <w:t>Number of days</w:t>
            </w:r>
          </w:p>
        </w:tc>
      </w:tr>
      <w:tr w:rsidR="00454963" w:rsidRPr="00894B5E" w14:paraId="73836DCD" w14:textId="77777777" w:rsidTr="00894B5E">
        <w:tc>
          <w:tcPr>
            <w:tcW w:w="2477" w:type="dxa"/>
          </w:tcPr>
          <w:p w14:paraId="7E757A80" w14:textId="77777777" w:rsidR="00454963" w:rsidRPr="00894B5E" w:rsidRDefault="00454963" w:rsidP="00454963">
            <w:pPr>
              <w:rPr>
                <w:rFonts w:ascii="Arial" w:hAnsi="Arial" w:cs="Arial"/>
                <w:sz w:val="24"/>
                <w:szCs w:val="24"/>
              </w:rPr>
            </w:pPr>
            <w:r>
              <w:rPr>
                <w:rFonts w:ascii="Arial" w:hAnsi="Arial" w:cs="Arial"/>
                <w:sz w:val="24"/>
                <w:szCs w:val="24"/>
              </w:rPr>
              <w:t xml:space="preserve">Average: </w:t>
            </w:r>
            <w:r w:rsidRPr="00894B5E">
              <w:rPr>
                <w:rFonts w:ascii="Arial" w:hAnsi="Arial" w:cs="Arial"/>
                <w:sz w:val="24"/>
                <w:szCs w:val="24"/>
              </w:rPr>
              <w:t xml:space="preserve">244 </w:t>
            </w:r>
          </w:p>
        </w:tc>
        <w:tc>
          <w:tcPr>
            <w:tcW w:w="2482" w:type="dxa"/>
          </w:tcPr>
          <w:p w14:paraId="7BE9698C" w14:textId="77777777" w:rsidR="00454963" w:rsidRPr="00894B5E" w:rsidRDefault="00454963" w:rsidP="00454963">
            <w:pPr>
              <w:rPr>
                <w:rFonts w:ascii="Arial" w:hAnsi="Arial" w:cs="Arial"/>
                <w:sz w:val="24"/>
                <w:szCs w:val="24"/>
              </w:rPr>
            </w:pPr>
            <w:r>
              <w:rPr>
                <w:rFonts w:ascii="Arial" w:hAnsi="Arial" w:cs="Arial"/>
                <w:sz w:val="24"/>
                <w:szCs w:val="24"/>
              </w:rPr>
              <w:t>M</w:t>
            </w:r>
            <w:r w:rsidRPr="00894B5E">
              <w:rPr>
                <w:rFonts w:ascii="Arial" w:hAnsi="Arial" w:cs="Arial"/>
                <w:sz w:val="24"/>
                <w:szCs w:val="24"/>
              </w:rPr>
              <w:t xml:space="preserve">inimum </w:t>
            </w:r>
            <w:r>
              <w:rPr>
                <w:rFonts w:ascii="Arial" w:hAnsi="Arial" w:cs="Arial"/>
                <w:sz w:val="24"/>
                <w:szCs w:val="24"/>
              </w:rPr>
              <w:t>:</w:t>
            </w:r>
            <w:r w:rsidRPr="00894B5E">
              <w:rPr>
                <w:rFonts w:ascii="Arial" w:hAnsi="Arial" w:cs="Arial"/>
                <w:sz w:val="24"/>
                <w:szCs w:val="24"/>
              </w:rPr>
              <w:t xml:space="preserve"> 4 </w:t>
            </w:r>
          </w:p>
        </w:tc>
        <w:tc>
          <w:tcPr>
            <w:tcW w:w="2530" w:type="dxa"/>
          </w:tcPr>
          <w:p w14:paraId="4483132D" w14:textId="77777777" w:rsidR="00454963" w:rsidRPr="00894B5E" w:rsidRDefault="00454963" w:rsidP="00454963">
            <w:pPr>
              <w:rPr>
                <w:rFonts w:ascii="Arial" w:hAnsi="Arial" w:cs="Arial"/>
                <w:sz w:val="24"/>
                <w:szCs w:val="24"/>
              </w:rPr>
            </w:pPr>
            <w:r>
              <w:rPr>
                <w:rFonts w:ascii="Arial" w:hAnsi="Arial" w:cs="Arial"/>
                <w:sz w:val="24"/>
                <w:szCs w:val="24"/>
              </w:rPr>
              <w:t xml:space="preserve">Maximum: </w:t>
            </w:r>
            <w:r w:rsidRPr="00894B5E">
              <w:rPr>
                <w:rFonts w:ascii="Arial" w:hAnsi="Arial" w:cs="Arial"/>
                <w:sz w:val="24"/>
                <w:szCs w:val="24"/>
              </w:rPr>
              <w:t xml:space="preserve">1826 </w:t>
            </w:r>
          </w:p>
        </w:tc>
      </w:tr>
    </w:tbl>
    <w:p w14:paraId="1418441E" w14:textId="6AB94B21" w:rsidR="00AB2B7B" w:rsidRDefault="00AB2B7B" w:rsidP="000D6689">
      <w:pPr>
        <w:pStyle w:val="NICCYSubline"/>
      </w:pPr>
    </w:p>
    <w:p w14:paraId="01F9E315" w14:textId="2723D3B6" w:rsidR="00813EA6" w:rsidRDefault="004276BD" w:rsidP="000D6689">
      <w:pPr>
        <w:pStyle w:val="NICCYSubline"/>
      </w:pPr>
      <w:r>
        <w:t>1</w:t>
      </w:r>
      <w:r w:rsidR="00724DE8">
        <w:t>3</w:t>
      </w:r>
      <w:r>
        <w:t xml:space="preserve">.0 </w:t>
      </w:r>
      <w:r w:rsidR="006C2EC0">
        <w:t>Gaps in CAMHS Dataset</w:t>
      </w:r>
    </w:p>
    <w:p w14:paraId="6A89483C" w14:textId="7D5295A4" w:rsidR="00813EA6" w:rsidRDefault="00E83E34" w:rsidP="00891D81">
      <w:pPr>
        <w:pStyle w:val="NICCYSubline"/>
      </w:pPr>
      <w:r w:rsidRPr="00E83E34">
        <w:rPr>
          <w:b w:val="0"/>
          <w:color w:val="414042"/>
        </w:rPr>
        <w:t xml:space="preserve">There continues to be a range of data </w:t>
      </w:r>
      <w:r w:rsidR="00891D81">
        <w:rPr>
          <w:b w:val="0"/>
          <w:color w:val="414042"/>
        </w:rPr>
        <w:t>that HSCB and HSCT agree should be part of the</w:t>
      </w:r>
      <w:r>
        <w:rPr>
          <w:b w:val="0"/>
          <w:color w:val="414042"/>
        </w:rPr>
        <w:t xml:space="preserve"> CAMHS </w:t>
      </w:r>
      <w:r w:rsidR="007E41B3">
        <w:rPr>
          <w:b w:val="0"/>
          <w:color w:val="414042"/>
        </w:rPr>
        <w:t>Dataset which</w:t>
      </w:r>
      <w:r>
        <w:rPr>
          <w:b w:val="0"/>
          <w:color w:val="414042"/>
        </w:rPr>
        <w:t xml:space="preserve"> is not </w:t>
      </w:r>
      <w:r w:rsidR="00891D81">
        <w:rPr>
          <w:b w:val="0"/>
          <w:color w:val="414042"/>
        </w:rPr>
        <w:t xml:space="preserve">as yet </w:t>
      </w:r>
      <w:r>
        <w:rPr>
          <w:b w:val="0"/>
          <w:color w:val="414042"/>
        </w:rPr>
        <w:t xml:space="preserve">being collected across HSCTs. This includes information on </w:t>
      </w:r>
      <w:r w:rsidR="00417951">
        <w:rPr>
          <w:b w:val="0"/>
          <w:color w:val="414042"/>
        </w:rPr>
        <w:t xml:space="preserve">child reported and family reported </w:t>
      </w:r>
      <w:r w:rsidRPr="00891D81">
        <w:rPr>
          <w:b w:val="0"/>
          <w:color w:val="414042"/>
        </w:rPr>
        <w:t>outcomes</w:t>
      </w:r>
      <w:r w:rsidR="00813EA6" w:rsidRPr="00891D81">
        <w:rPr>
          <w:b w:val="0"/>
          <w:color w:val="414042"/>
        </w:rPr>
        <w:t xml:space="preserve">, </w:t>
      </w:r>
      <w:r w:rsidR="00E22F0A">
        <w:rPr>
          <w:b w:val="0"/>
          <w:color w:val="414042"/>
        </w:rPr>
        <w:t>number of young people transitioning to Adult Mental Health Services (AMHS), number of young people transitioning to AMHS who have a transition plan in place</w:t>
      </w:r>
      <w:r w:rsidR="007832FD" w:rsidRPr="00891D81">
        <w:rPr>
          <w:b w:val="0"/>
          <w:color w:val="414042"/>
        </w:rPr>
        <w:t>, presenting need,</w:t>
      </w:r>
      <w:r w:rsidRPr="00891D81">
        <w:rPr>
          <w:b w:val="0"/>
          <w:color w:val="414042"/>
        </w:rPr>
        <w:t xml:space="preserve"> </w:t>
      </w:r>
      <w:r w:rsidR="00417951">
        <w:rPr>
          <w:b w:val="0"/>
          <w:color w:val="414042"/>
        </w:rPr>
        <w:t xml:space="preserve">core care interventions received, </w:t>
      </w:r>
      <w:r w:rsidRPr="00891D81">
        <w:rPr>
          <w:b w:val="0"/>
          <w:color w:val="414042"/>
        </w:rPr>
        <w:t>and</w:t>
      </w:r>
      <w:r w:rsidR="007832FD" w:rsidRPr="00891D81">
        <w:rPr>
          <w:b w:val="0"/>
          <w:color w:val="414042"/>
        </w:rPr>
        <w:t xml:space="preserve"> re-referrals within 4 weeks of discharge.</w:t>
      </w:r>
      <w:r w:rsidR="007832FD" w:rsidRPr="00C65B71">
        <w:rPr>
          <w:b w:val="0"/>
          <w:color w:val="414042"/>
        </w:rPr>
        <w:t xml:space="preserve"> </w:t>
      </w:r>
      <w:r w:rsidR="00C65B71" w:rsidRPr="00C65B71">
        <w:rPr>
          <w:b w:val="0"/>
          <w:color w:val="414042"/>
        </w:rPr>
        <w:t>These all represent critica</w:t>
      </w:r>
      <w:r w:rsidR="00C65B71">
        <w:rPr>
          <w:b w:val="0"/>
          <w:color w:val="414042"/>
        </w:rPr>
        <w:t>l</w:t>
      </w:r>
      <w:r w:rsidR="00C65B71" w:rsidRPr="00C65B71">
        <w:rPr>
          <w:b w:val="0"/>
          <w:color w:val="414042"/>
        </w:rPr>
        <w:t>l</w:t>
      </w:r>
      <w:r w:rsidR="00C65B71">
        <w:rPr>
          <w:b w:val="0"/>
          <w:color w:val="414042"/>
        </w:rPr>
        <w:t>y</w:t>
      </w:r>
      <w:r w:rsidR="00C65B71" w:rsidRPr="00C65B71">
        <w:rPr>
          <w:b w:val="0"/>
          <w:color w:val="414042"/>
        </w:rPr>
        <w:t xml:space="preserve"> important key performance indic</w:t>
      </w:r>
      <w:r w:rsidR="00FB169C">
        <w:rPr>
          <w:b w:val="0"/>
          <w:color w:val="414042"/>
        </w:rPr>
        <w:t>a</w:t>
      </w:r>
      <w:r w:rsidR="00C65B71" w:rsidRPr="00C65B71">
        <w:rPr>
          <w:b w:val="0"/>
          <w:color w:val="414042"/>
        </w:rPr>
        <w:t>tors which need to be collected on a regional basis.</w:t>
      </w:r>
      <w:r w:rsidR="00C65B71">
        <w:t xml:space="preserve"> </w:t>
      </w:r>
    </w:p>
    <w:p w14:paraId="2FA51B10" w14:textId="77777777" w:rsidR="00FE2B31" w:rsidRDefault="00FE2B31" w:rsidP="00891D81">
      <w:pPr>
        <w:pStyle w:val="NICCYSubline"/>
      </w:pPr>
    </w:p>
    <w:p w14:paraId="6C0C098E" w14:textId="4DCFCADB" w:rsidR="00FE2B31" w:rsidRPr="00891D81" w:rsidRDefault="00FE2B31" w:rsidP="00FE2B31">
      <w:pPr>
        <w:pStyle w:val="NICCYBodyTest"/>
        <w:rPr>
          <w:b/>
        </w:rPr>
      </w:pPr>
      <w:r>
        <w:t xml:space="preserve">Still Waiting also recommended that </w:t>
      </w:r>
      <w:r w:rsidR="00FB169C">
        <w:t>the CAMHS Dataset should be augmented to include</w:t>
      </w:r>
      <w:r w:rsidR="000D404B">
        <w:t xml:space="preserve"> </w:t>
      </w:r>
      <w:r w:rsidR="00FB169C">
        <w:t>the following data</w:t>
      </w:r>
      <w:r w:rsidR="001B5FDE">
        <w:t>, to date no data is avai</w:t>
      </w:r>
      <w:r w:rsidR="00FB169C">
        <w:t>lable on these areas which are listed below.</w:t>
      </w:r>
    </w:p>
    <w:p w14:paraId="24D77723" w14:textId="77777777" w:rsidR="00CA3C9B" w:rsidRDefault="00CA3C9B" w:rsidP="00CE595A">
      <w:pPr>
        <w:pStyle w:val="NICCYSubline"/>
        <w:rPr>
          <w:color w:val="414042"/>
        </w:rPr>
      </w:pPr>
    </w:p>
    <w:p w14:paraId="79023894" w14:textId="77777777" w:rsidR="00CA3C9B" w:rsidRDefault="00CA3C9B" w:rsidP="00CA3C9B">
      <w:pPr>
        <w:rPr>
          <w:rFonts w:ascii="Arial" w:hAnsi="Arial" w:cs="Arial"/>
          <w:color w:val="404040"/>
          <w:sz w:val="24"/>
          <w:szCs w:val="24"/>
        </w:rPr>
      </w:pPr>
      <w:r w:rsidRPr="004D2992">
        <w:rPr>
          <w:rFonts w:ascii="Arial" w:hAnsi="Arial" w:cs="Arial"/>
          <w:color w:val="404040"/>
          <w:sz w:val="24"/>
          <w:szCs w:val="24"/>
        </w:rPr>
        <w:t>47 (b)</w:t>
      </w:r>
      <w:r>
        <w:rPr>
          <w:color w:val="404040"/>
          <w:sz w:val="24"/>
          <w:szCs w:val="24"/>
        </w:rPr>
        <w:t> </w:t>
      </w:r>
      <w:r w:rsidRPr="004D2992">
        <w:rPr>
          <w:rFonts w:ascii="Arial" w:hAnsi="Arial" w:cs="Arial"/>
          <w:color w:val="404040"/>
          <w:sz w:val="24"/>
          <w:szCs w:val="24"/>
        </w:rPr>
        <w:t>The specific reasons for referrals not bei</w:t>
      </w:r>
      <w:r>
        <w:rPr>
          <w:rFonts w:ascii="Arial" w:hAnsi="Arial" w:cs="Arial"/>
          <w:color w:val="404040"/>
          <w:sz w:val="24"/>
          <w:szCs w:val="24"/>
        </w:rPr>
        <w:t>ng accepted to Step 3 CAMHS.</w:t>
      </w:r>
    </w:p>
    <w:p w14:paraId="65416ED0" w14:textId="77777777" w:rsidR="00CA3C9B" w:rsidRDefault="00CA3C9B" w:rsidP="00CA3C9B">
      <w:pPr>
        <w:rPr>
          <w:rFonts w:ascii="Arial" w:eastAsiaTheme="minorEastAsia" w:hAnsi="Arial" w:cs="Arial"/>
          <w:color w:val="414042"/>
          <w:sz w:val="24"/>
          <w:szCs w:val="24"/>
        </w:rPr>
      </w:pPr>
    </w:p>
    <w:p w14:paraId="1A4514E1" w14:textId="77777777" w:rsidR="00CA3C9B" w:rsidRDefault="00CA3C9B" w:rsidP="00CA3C9B">
      <w:pPr>
        <w:rPr>
          <w:rFonts w:ascii="Arial" w:eastAsiaTheme="minorEastAsia" w:hAnsi="Arial" w:cs="Arial"/>
          <w:color w:val="414042"/>
          <w:sz w:val="24"/>
          <w:szCs w:val="24"/>
        </w:rPr>
      </w:pPr>
      <w:r>
        <w:rPr>
          <w:rFonts w:ascii="Arial" w:eastAsiaTheme="minorEastAsia" w:hAnsi="Arial" w:cs="Arial"/>
          <w:color w:val="414042"/>
          <w:sz w:val="24"/>
          <w:szCs w:val="24"/>
        </w:rPr>
        <w:t>47 (d) </w:t>
      </w:r>
      <w:r w:rsidRPr="002A10C0">
        <w:rPr>
          <w:rFonts w:ascii="Arial" w:eastAsiaTheme="minorEastAsia" w:hAnsi="Arial" w:cs="Arial"/>
          <w:color w:val="414042"/>
          <w:sz w:val="24"/>
          <w:szCs w:val="24"/>
        </w:rPr>
        <w:t>Collection and monitoring of additional waiting time statistics:</w:t>
      </w:r>
    </w:p>
    <w:p w14:paraId="673EC41E" w14:textId="77777777" w:rsidR="00CA3C9B" w:rsidRPr="002A10C0" w:rsidRDefault="00CA3C9B" w:rsidP="00CA3C9B">
      <w:pPr>
        <w:rPr>
          <w:rFonts w:ascii="Arial" w:eastAsiaTheme="minorEastAsia" w:hAnsi="Arial" w:cs="Arial"/>
          <w:color w:val="414042"/>
          <w:sz w:val="24"/>
          <w:szCs w:val="24"/>
        </w:rPr>
      </w:pPr>
      <w:r w:rsidRPr="002A10C0">
        <w:rPr>
          <w:rFonts w:ascii="Arial" w:eastAsiaTheme="minorEastAsia" w:hAnsi="Arial" w:cs="Arial"/>
          <w:color w:val="414042"/>
          <w:sz w:val="24"/>
          <w:szCs w:val="24"/>
        </w:rPr>
        <w:t xml:space="preserve"> </w:t>
      </w:r>
    </w:p>
    <w:p w14:paraId="6DF69E91" w14:textId="77777777" w:rsidR="00CA3C9B" w:rsidRPr="00CA3C9B" w:rsidRDefault="00CA3C9B" w:rsidP="00CA3C9B">
      <w:pPr>
        <w:pStyle w:val="ListParagraph"/>
        <w:numPr>
          <w:ilvl w:val="0"/>
          <w:numId w:val="26"/>
        </w:numPr>
        <w:rPr>
          <w:rFonts w:ascii="Arial" w:eastAsiaTheme="minorEastAsia" w:hAnsi="Arial" w:cs="Arial"/>
          <w:color w:val="414042"/>
          <w:sz w:val="24"/>
          <w:szCs w:val="24"/>
        </w:rPr>
      </w:pPr>
      <w:r w:rsidRPr="00CA3C9B">
        <w:rPr>
          <w:rFonts w:ascii="Arial" w:eastAsiaTheme="minorEastAsia" w:hAnsi="Arial" w:cs="Arial"/>
          <w:color w:val="414042"/>
          <w:sz w:val="24"/>
          <w:szCs w:val="24"/>
        </w:rPr>
        <w:t>Waiting times for services beyond Generic Step 3 CAMHS, to include key services across Steps 2 – 5 and waiting times for urgent and emergency appointments to Step 3 CAMHS;</w:t>
      </w:r>
    </w:p>
    <w:p w14:paraId="292E218E" w14:textId="77777777" w:rsidR="00CA3C9B" w:rsidRPr="00CA3C9B" w:rsidRDefault="00CA3C9B" w:rsidP="00CA3C9B">
      <w:pPr>
        <w:pStyle w:val="ListParagraph"/>
        <w:numPr>
          <w:ilvl w:val="0"/>
          <w:numId w:val="26"/>
        </w:numPr>
        <w:rPr>
          <w:rFonts w:ascii="Arial" w:eastAsiaTheme="minorEastAsia" w:hAnsi="Arial" w:cs="Arial"/>
          <w:color w:val="414042"/>
          <w:sz w:val="24"/>
          <w:szCs w:val="24"/>
        </w:rPr>
      </w:pPr>
      <w:r w:rsidRPr="00CA3C9B">
        <w:rPr>
          <w:rFonts w:ascii="Arial" w:eastAsiaTheme="minorEastAsia" w:hAnsi="Arial" w:cs="Arial"/>
          <w:color w:val="414042"/>
          <w:sz w:val="24"/>
          <w:szCs w:val="24"/>
        </w:rPr>
        <w:lastRenderedPageBreak/>
        <w:t xml:space="preserve">Waiting times between referral being made and referral being accepted or not accepted; </w:t>
      </w:r>
    </w:p>
    <w:p w14:paraId="69CA083E" w14:textId="77777777" w:rsidR="00CA3C9B" w:rsidRPr="00CA3C9B" w:rsidRDefault="00CA3C9B" w:rsidP="00CA3C9B">
      <w:pPr>
        <w:pStyle w:val="ListParagraph"/>
        <w:numPr>
          <w:ilvl w:val="0"/>
          <w:numId w:val="26"/>
        </w:numPr>
        <w:rPr>
          <w:rFonts w:ascii="Arial" w:eastAsiaTheme="minorEastAsia" w:hAnsi="Arial" w:cs="Arial"/>
          <w:color w:val="414042"/>
          <w:sz w:val="24"/>
          <w:szCs w:val="24"/>
        </w:rPr>
      </w:pPr>
      <w:r w:rsidRPr="00CA3C9B">
        <w:rPr>
          <w:rFonts w:ascii="Arial" w:eastAsiaTheme="minorEastAsia" w:hAnsi="Arial" w:cs="Arial"/>
          <w:color w:val="414042"/>
          <w:sz w:val="24"/>
          <w:szCs w:val="24"/>
        </w:rPr>
        <w:t>Waiting times for seco</w:t>
      </w:r>
      <w:r w:rsidR="00546293">
        <w:rPr>
          <w:rFonts w:ascii="Arial" w:eastAsiaTheme="minorEastAsia" w:hAnsi="Arial" w:cs="Arial"/>
          <w:color w:val="414042"/>
          <w:sz w:val="24"/>
          <w:szCs w:val="24"/>
        </w:rPr>
        <w:t>nd appointment to Step 3 CAMHS.</w:t>
      </w:r>
    </w:p>
    <w:p w14:paraId="06AB338E" w14:textId="77777777" w:rsidR="00CA3C9B" w:rsidRDefault="00CA3C9B" w:rsidP="00CA3C9B">
      <w:pPr>
        <w:rPr>
          <w:rFonts w:ascii="Arial" w:hAnsi="Arial" w:cs="Arial"/>
          <w:color w:val="404040"/>
          <w:sz w:val="24"/>
          <w:szCs w:val="24"/>
        </w:rPr>
      </w:pPr>
    </w:p>
    <w:p w14:paraId="70E579D1" w14:textId="77777777" w:rsidR="00385621" w:rsidRDefault="00385621" w:rsidP="00CA3C9B">
      <w:pPr>
        <w:rPr>
          <w:rFonts w:ascii="Arial" w:eastAsiaTheme="minorEastAsia" w:hAnsi="Arial" w:cs="Arial"/>
          <w:color w:val="414042"/>
          <w:sz w:val="24"/>
          <w:szCs w:val="24"/>
        </w:rPr>
      </w:pPr>
    </w:p>
    <w:p w14:paraId="2E7F3FB6" w14:textId="77777777" w:rsidR="00385621" w:rsidRDefault="00385621" w:rsidP="00385621">
      <w:pPr>
        <w:rPr>
          <w:rFonts w:ascii="Arial" w:eastAsiaTheme="minorEastAsia" w:hAnsi="Arial" w:cs="Arial"/>
          <w:color w:val="414042"/>
          <w:sz w:val="24"/>
          <w:szCs w:val="24"/>
        </w:rPr>
      </w:pPr>
      <w:r>
        <w:rPr>
          <w:rFonts w:ascii="Arial" w:eastAsiaTheme="minorEastAsia" w:hAnsi="Arial" w:cs="Arial"/>
          <w:color w:val="414042"/>
          <w:sz w:val="24"/>
          <w:szCs w:val="24"/>
        </w:rPr>
        <w:t>47 (d) iv.</w:t>
      </w:r>
      <w:r w:rsidRPr="002A10C0">
        <w:rPr>
          <w:rFonts w:ascii="Arial" w:eastAsiaTheme="minorEastAsia" w:hAnsi="Arial" w:cs="Arial"/>
          <w:color w:val="414042"/>
          <w:sz w:val="24"/>
          <w:szCs w:val="24"/>
        </w:rPr>
        <w:t>  Waiting times for access</w:t>
      </w:r>
      <w:r>
        <w:rPr>
          <w:rFonts w:ascii="Arial" w:eastAsiaTheme="minorEastAsia" w:hAnsi="Arial" w:cs="Arial"/>
          <w:color w:val="414042"/>
          <w:sz w:val="24"/>
          <w:szCs w:val="24"/>
        </w:rPr>
        <w:t xml:space="preserve"> to psychological therapies; </w:t>
      </w:r>
    </w:p>
    <w:p w14:paraId="62BBFB76" w14:textId="77777777" w:rsidR="00385621" w:rsidRDefault="00385621" w:rsidP="00385621">
      <w:pPr>
        <w:rPr>
          <w:rFonts w:ascii="Arial" w:eastAsiaTheme="minorEastAsia" w:hAnsi="Arial" w:cs="Arial"/>
          <w:color w:val="414042"/>
          <w:sz w:val="24"/>
          <w:szCs w:val="24"/>
        </w:rPr>
      </w:pPr>
    </w:p>
    <w:p w14:paraId="60AACF9B" w14:textId="77777777" w:rsidR="00385621" w:rsidRPr="009E308E" w:rsidRDefault="00385621" w:rsidP="00385621">
      <w:pPr>
        <w:rPr>
          <w:rFonts w:ascii="Arial" w:eastAsiaTheme="minorEastAsia" w:hAnsi="Arial" w:cs="Arial"/>
          <w:color w:val="414042"/>
          <w:sz w:val="24"/>
          <w:szCs w:val="24"/>
        </w:rPr>
      </w:pPr>
      <w:r w:rsidRPr="009E308E">
        <w:rPr>
          <w:rFonts w:ascii="Arial" w:eastAsiaTheme="minorEastAsia" w:hAnsi="Arial" w:cs="Arial"/>
          <w:color w:val="414042"/>
          <w:sz w:val="24"/>
          <w:szCs w:val="24"/>
        </w:rPr>
        <w:t>47 (e)</w:t>
      </w:r>
      <w:r>
        <w:rPr>
          <w:rFonts w:ascii="Arial" w:eastAsiaTheme="minorEastAsia" w:hAnsi="Arial" w:cs="Arial"/>
          <w:color w:val="414042"/>
          <w:sz w:val="24"/>
          <w:szCs w:val="24"/>
        </w:rPr>
        <w:t> </w:t>
      </w:r>
      <w:r w:rsidRPr="009E308E">
        <w:rPr>
          <w:rFonts w:ascii="Arial" w:eastAsiaTheme="minorEastAsia" w:hAnsi="Arial" w:cs="Arial"/>
          <w:color w:val="414042"/>
          <w:sz w:val="24"/>
          <w:szCs w:val="24"/>
        </w:rPr>
        <w:t xml:space="preserve">Data on the types of psychological therapies and alternative therapies used as part of young people’s treatment plan. </w:t>
      </w:r>
    </w:p>
    <w:p w14:paraId="13EB632C" w14:textId="77777777" w:rsidR="00385621" w:rsidRPr="00EF213B" w:rsidRDefault="00385621" w:rsidP="00CA3C9B">
      <w:pPr>
        <w:rPr>
          <w:rFonts w:ascii="Arial" w:eastAsiaTheme="minorEastAsia" w:hAnsi="Arial" w:cs="Arial"/>
          <w:color w:val="414042"/>
          <w:sz w:val="24"/>
          <w:szCs w:val="24"/>
        </w:rPr>
      </w:pPr>
    </w:p>
    <w:p w14:paraId="48485E1C" w14:textId="77777777" w:rsidR="00CA3C9B" w:rsidRPr="00EF213B" w:rsidRDefault="00CA3C9B" w:rsidP="00CA3C9B">
      <w:pPr>
        <w:rPr>
          <w:rFonts w:ascii="Arial" w:eastAsiaTheme="minorEastAsia" w:hAnsi="Arial" w:cs="Arial"/>
          <w:color w:val="414042"/>
          <w:sz w:val="24"/>
          <w:szCs w:val="24"/>
        </w:rPr>
      </w:pPr>
      <w:r w:rsidRPr="00EF213B">
        <w:rPr>
          <w:rFonts w:ascii="Arial" w:eastAsiaTheme="minorEastAsia" w:hAnsi="Arial" w:cs="Arial"/>
          <w:color w:val="414042"/>
          <w:sz w:val="24"/>
          <w:szCs w:val="24"/>
        </w:rPr>
        <w:t>47 (f) The reasons for DNAs/CNAs should be recorded and monitored. Specific attention must be given urgently to addressing the reasons for non-attendance.</w:t>
      </w:r>
    </w:p>
    <w:p w14:paraId="1B4F2AD2" w14:textId="77777777" w:rsidR="00CA3C9B" w:rsidRPr="00EF213B" w:rsidRDefault="00CA3C9B" w:rsidP="00CA3C9B">
      <w:pPr>
        <w:rPr>
          <w:rFonts w:ascii="Arial" w:eastAsiaTheme="minorEastAsia" w:hAnsi="Arial" w:cs="Arial"/>
          <w:color w:val="414042"/>
          <w:sz w:val="24"/>
          <w:szCs w:val="24"/>
        </w:rPr>
      </w:pPr>
    </w:p>
    <w:p w14:paraId="472A7B2D" w14:textId="77777777" w:rsidR="00CA3C9B" w:rsidRPr="00EF213B" w:rsidRDefault="00CA3C9B" w:rsidP="00CA3C9B">
      <w:pPr>
        <w:pStyle w:val="NICCYSubline"/>
        <w:rPr>
          <w:b w:val="0"/>
        </w:rPr>
      </w:pPr>
      <w:r w:rsidRPr="00EF213B">
        <w:rPr>
          <w:b w:val="0"/>
          <w:color w:val="414042"/>
        </w:rPr>
        <w:t>47 (g) Record the numbers of young people who are discharged from CAMHS due to DNA/CNA and monitor compliance with IEAP guidance.</w:t>
      </w:r>
    </w:p>
    <w:p w14:paraId="43C452BA" w14:textId="77777777" w:rsidR="00CA3C9B" w:rsidRPr="00EF213B" w:rsidRDefault="00CA3C9B" w:rsidP="00CA3C9B">
      <w:pPr>
        <w:rPr>
          <w:rFonts w:ascii="Arial" w:eastAsiaTheme="minorEastAsia" w:hAnsi="Arial" w:cs="Arial"/>
          <w:color w:val="414042"/>
          <w:sz w:val="24"/>
          <w:szCs w:val="24"/>
        </w:rPr>
      </w:pPr>
    </w:p>
    <w:p w14:paraId="5DA67A31" w14:textId="77777777" w:rsidR="00CA3C9B" w:rsidRPr="00EF213B" w:rsidRDefault="00CA3C9B" w:rsidP="00CA3C9B">
      <w:pPr>
        <w:rPr>
          <w:rFonts w:ascii="Arial" w:eastAsiaTheme="minorEastAsia" w:hAnsi="Arial" w:cs="Arial"/>
          <w:color w:val="414042"/>
          <w:sz w:val="24"/>
          <w:szCs w:val="24"/>
        </w:rPr>
      </w:pPr>
      <w:r w:rsidRPr="00EF213B">
        <w:rPr>
          <w:rFonts w:ascii="Arial" w:eastAsiaTheme="minorEastAsia" w:hAnsi="Arial" w:cs="Arial"/>
          <w:color w:val="414042"/>
          <w:sz w:val="24"/>
          <w:szCs w:val="24"/>
        </w:rPr>
        <w:t xml:space="preserve">47 (j) A greater range of demographic information for specific groups of young people should be collected e.g. those with a physical, learning, sensory disability, looked after children; LGBT children; Newcomer and Separated Children. </w:t>
      </w:r>
    </w:p>
    <w:p w14:paraId="56AA94B9" w14:textId="77777777" w:rsidR="00CA3C9B" w:rsidRDefault="00CA3C9B" w:rsidP="00CE595A">
      <w:pPr>
        <w:pStyle w:val="NICCYSubline"/>
        <w:rPr>
          <w:color w:val="414042"/>
        </w:rPr>
      </w:pPr>
    </w:p>
    <w:p w14:paraId="69185EC3" w14:textId="77777777" w:rsidR="00385621" w:rsidRPr="00230F90" w:rsidRDefault="00385621" w:rsidP="00385621">
      <w:pPr>
        <w:rPr>
          <w:rFonts w:ascii="Arial" w:hAnsi="Arial" w:cs="Arial"/>
          <w:color w:val="404040"/>
          <w:sz w:val="24"/>
          <w:szCs w:val="24"/>
        </w:rPr>
      </w:pPr>
      <w:r w:rsidRPr="00230F90">
        <w:rPr>
          <w:rFonts w:ascii="Arial" w:hAnsi="Arial" w:cs="Arial"/>
          <w:color w:val="404040"/>
          <w:sz w:val="24"/>
          <w:szCs w:val="24"/>
        </w:rPr>
        <w:t xml:space="preserve">47 (i) Discharge destinations of young people admitted to adult mental health wards should be recorded and monitored. </w:t>
      </w:r>
      <w:r>
        <w:rPr>
          <w:rFonts w:ascii="Arial" w:hAnsi="Arial" w:cs="Arial"/>
          <w:color w:val="404040"/>
          <w:sz w:val="24"/>
          <w:szCs w:val="24"/>
        </w:rPr>
        <w:t>(available from RQIA but should be incorporated into CAMHS Dataset)</w:t>
      </w:r>
    </w:p>
    <w:p w14:paraId="66F84BB5" w14:textId="77777777" w:rsidR="00CA3C9B" w:rsidRDefault="00CA3C9B" w:rsidP="00CE595A">
      <w:pPr>
        <w:pStyle w:val="NICCYSubline"/>
        <w:rPr>
          <w:color w:val="414042"/>
        </w:rPr>
      </w:pPr>
    </w:p>
    <w:p w14:paraId="5E7D5C08" w14:textId="77777777" w:rsidR="00C64A23" w:rsidRPr="00DD0D10" w:rsidRDefault="00C64A23" w:rsidP="00C64A23">
      <w:pPr>
        <w:rPr>
          <w:rFonts w:ascii="Arial" w:hAnsi="Arial" w:cs="Arial"/>
          <w:color w:val="414042"/>
          <w:sz w:val="24"/>
          <w:szCs w:val="24"/>
          <w:lang w:eastAsia="en-GB"/>
        </w:rPr>
      </w:pPr>
      <w:r w:rsidRPr="00DD0D10">
        <w:rPr>
          <w:rFonts w:ascii="Arial" w:hAnsi="Arial" w:cs="Arial"/>
          <w:color w:val="414042"/>
          <w:sz w:val="24"/>
          <w:szCs w:val="24"/>
          <w:lang w:eastAsia="en-GB"/>
        </w:rPr>
        <w:t>48. A greater depth of information regarding patient experiences and outcomes should be collected and monitored, including outcomes defined by, and important to’ young people e.g. improvements in relationships with friends and family - in addition to psychometric scores of mental health.</w:t>
      </w:r>
    </w:p>
    <w:p w14:paraId="0A4093B9" w14:textId="77777777" w:rsidR="00CA3C9B" w:rsidRDefault="00CA3C9B">
      <w:pPr>
        <w:pStyle w:val="NICCYSubline"/>
      </w:pPr>
    </w:p>
    <w:p w14:paraId="6A6FDA80" w14:textId="77777777" w:rsidR="00C64A23" w:rsidRPr="00DD0D10" w:rsidRDefault="00C64A23" w:rsidP="00C64A23">
      <w:pPr>
        <w:rPr>
          <w:rFonts w:ascii="Arial" w:hAnsi="Arial" w:cs="Arial"/>
          <w:color w:val="414042"/>
          <w:sz w:val="24"/>
          <w:szCs w:val="24"/>
          <w:lang w:eastAsia="en-GB"/>
        </w:rPr>
      </w:pPr>
      <w:r w:rsidRPr="00DD0D10">
        <w:rPr>
          <w:rFonts w:ascii="Arial" w:hAnsi="Arial" w:cs="Arial"/>
          <w:color w:val="414042"/>
          <w:sz w:val="24"/>
          <w:szCs w:val="24"/>
          <w:lang w:eastAsia="en-GB"/>
        </w:rPr>
        <w:t xml:space="preserve">50. When a young person is admitted to a general paediatric bed for mental health treatment or care, the DoH should request that RQIA are notified, and provided with information on what care and treatment is being provided.  </w:t>
      </w:r>
    </w:p>
    <w:p w14:paraId="601E467A" w14:textId="77777777" w:rsidR="000D404B" w:rsidRDefault="000D404B" w:rsidP="000D404B">
      <w:pPr>
        <w:pStyle w:val="NICCYSubline"/>
        <w:rPr>
          <w:b w:val="0"/>
          <w:color w:val="414042"/>
        </w:rPr>
      </w:pPr>
    </w:p>
    <w:p w14:paraId="04829855" w14:textId="77777777" w:rsidR="000D404B" w:rsidRPr="00CA3C9B" w:rsidRDefault="000D404B" w:rsidP="000D404B">
      <w:pPr>
        <w:pStyle w:val="NICCYSubline"/>
        <w:rPr>
          <w:b w:val="0"/>
          <w:color w:val="414042"/>
        </w:rPr>
      </w:pPr>
      <w:r>
        <w:rPr>
          <w:b w:val="0"/>
          <w:color w:val="414042"/>
        </w:rPr>
        <w:t>A</w:t>
      </w:r>
      <w:r w:rsidRPr="00CA3C9B">
        <w:rPr>
          <w:b w:val="0"/>
          <w:color w:val="414042"/>
        </w:rPr>
        <w:t>ttendances of under 18 year olds at each Emergency Care Department in Northern Ireland, in which mental-ill health was a presenting issue</w:t>
      </w:r>
      <w:r>
        <w:rPr>
          <w:b w:val="0"/>
          <w:color w:val="414042"/>
        </w:rPr>
        <w:t>.</w:t>
      </w:r>
      <w:r>
        <w:rPr>
          <w:rStyle w:val="FootnoteReference"/>
          <w:b w:val="0"/>
          <w:color w:val="414042"/>
        </w:rPr>
        <w:footnoteReference w:id="11"/>
      </w:r>
    </w:p>
    <w:p w14:paraId="211A9879" w14:textId="72A5BDF1" w:rsidR="00C64A23" w:rsidRDefault="00C64A23">
      <w:pPr>
        <w:pStyle w:val="NICCYSubline"/>
      </w:pPr>
    </w:p>
    <w:p w14:paraId="5B74CAF3" w14:textId="2195A251" w:rsidR="00FB169C" w:rsidRDefault="004276BD">
      <w:pPr>
        <w:pStyle w:val="NICCYSubline"/>
      </w:pPr>
      <w:r>
        <w:t>1</w:t>
      </w:r>
      <w:r w:rsidR="00724DE8">
        <w:t>4</w:t>
      </w:r>
      <w:r>
        <w:t xml:space="preserve">.0 </w:t>
      </w:r>
      <w:r w:rsidR="009636CD">
        <w:t>Conclusion</w:t>
      </w:r>
    </w:p>
    <w:p w14:paraId="032474F5" w14:textId="68297B9E" w:rsidR="00E667E6" w:rsidRDefault="00E667E6">
      <w:pPr>
        <w:pStyle w:val="NICCYSubline"/>
      </w:pPr>
    </w:p>
    <w:p w14:paraId="72294400" w14:textId="28DA301A" w:rsidR="006C3833" w:rsidRDefault="006C3833" w:rsidP="00E41AA4">
      <w:pPr>
        <w:pStyle w:val="NICCYBodyText"/>
      </w:pPr>
      <w:r>
        <w:t xml:space="preserve">Progress is being made in the amount and quality of standardised regional data being collected across the system, however, there </w:t>
      </w:r>
      <w:r w:rsidR="000F6279">
        <w:t>continues to be</w:t>
      </w:r>
      <w:r>
        <w:t xml:space="preserve"> significant gaps in what is collected, and </w:t>
      </w:r>
      <w:r w:rsidR="000F6279">
        <w:t>what data is</w:t>
      </w:r>
      <w:r>
        <w:t xml:space="preserve"> available in the public domain</w:t>
      </w:r>
      <w:r w:rsidR="000F6279">
        <w:t>.</w:t>
      </w:r>
      <w:r>
        <w:t xml:space="preserve"> </w:t>
      </w:r>
      <w:r w:rsidR="000F6279">
        <w:t>In the absence of a</w:t>
      </w:r>
      <w:r w:rsidR="00DC38B9">
        <w:t xml:space="preserve"> publically available comprehensive CAMHS Dataset</w:t>
      </w:r>
      <w:r w:rsidR="000F6279">
        <w:t xml:space="preserve">, </w:t>
      </w:r>
      <w:r w:rsidR="00DC38B9">
        <w:t xml:space="preserve">NICCY </w:t>
      </w:r>
      <w:r w:rsidR="000F6279">
        <w:t>has published this report which is a compilation</w:t>
      </w:r>
      <w:r w:rsidR="00DC38B9">
        <w:t xml:space="preserve"> </w:t>
      </w:r>
      <w:r w:rsidR="000F6279">
        <w:t>of</w:t>
      </w:r>
      <w:r w:rsidR="00DC38B9">
        <w:t xml:space="preserve"> mental health data it has been reviewing and collecting between 2017-2020. </w:t>
      </w:r>
    </w:p>
    <w:p w14:paraId="7002D524" w14:textId="0C3252A8" w:rsidR="006C3833" w:rsidRDefault="006C3833" w:rsidP="00E41AA4">
      <w:pPr>
        <w:pStyle w:val="NICCYBodyText"/>
      </w:pPr>
    </w:p>
    <w:p w14:paraId="2669E40C" w14:textId="7BCDD6E8" w:rsidR="00FE3000" w:rsidRDefault="00945779" w:rsidP="00E41AA4">
      <w:pPr>
        <w:pStyle w:val="NICCYBodyText"/>
      </w:pPr>
      <w:r>
        <w:t xml:space="preserve">Overall, the data in this report represents a very concerning picture of the mental health system in Northern Ireland. </w:t>
      </w:r>
      <w:r w:rsidR="00BF10AB">
        <w:t>T</w:t>
      </w:r>
      <w:r w:rsidR="00E26E61">
        <w:t xml:space="preserve">he waiting time statistics for CAMHS and for psychological therapies are </w:t>
      </w:r>
      <w:r>
        <w:t xml:space="preserve">some of the starkest illustrations of a system at breaking point, and unable to provide an accessible service. These </w:t>
      </w:r>
      <w:r w:rsidR="00E26E61">
        <w:t xml:space="preserve">increasing </w:t>
      </w:r>
      <w:r>
        <w:t>waiting lists are</w:t>
      </w:r>
      <w:r w:rsidR="00E26E61">
        <w:t xml:space="preserve"> against a backdrop of rising demand in the face of covid pandemic</w:t>
      </w:r>
      <w:r w:rsidR="00B679AF">
        <w:t xml:space="preserve">; </w:t>
      </w:r>
      <w:r w:rsidR="00E26E61">
        <w:t xml:space="preserve">and </w:t>
      </w:r>
      <w:r w:rsidR="00B679AF">
        <w:t xml:space="preserve">the situation will not improve </w:t>
      </w:r>
      <w:r w:rsidR="00E26E61">
        <w:t xml:space="preserve">without a significant annual uplift in the proportion of the block grant that goes to children’s mental health </w:t>
      </w:r>
      <w:r w:rsidR="0075738A">
        <w:t>services and support.</w:t>
      </w:r>
    </w:p>
    <w:p w14:paraId="4AC49BA0" w14:textId="55FC58BC" w:rsidR="00FE3000" w:rsidRDefault="00FE3000" w:rsidP="00E41AA4">
      <w:pPr>
        <w:pStyle w:val="NICCYBodyText"/>
      </w:pPr>
    </w:p>
    <w:p w14:paraId="4CE514EA" w14:textId="4A2A0831" w:rsidR="00081A1D" w:rsidRDefault="00081A1D" w:rsidP="00E41AA4">
      <w:pPr>
        <w:pStyle w:val="NICCYBodyText"/>
      </w:pPr>
      <w:r>
        <w:t xml:space="preserve">The continuing increase in the number of prescriptions given to under 18’s and under 12’s is significant, and is particularly concerning when one considers the extent of the waiting lists for referral and access to psychological therapies. </w:t>
      </w:r>
    </w:p>
    <w:p w14:paraId="34EC8B2B" w14:textId="77777777" w:rsidR="00C060FE" w:rsidRDefault="00C060FE" w:rsidP="00E41AA4">
      <w:pPr>
        <w:pStyle w:val="NICCYBodyText"/>
      </w:pPr>
    </w:p>
    <w:p w14:paraId="6B0C004E" w14:textId="5B79FDEB" w:rsidR="00734573" w:rsidRDefault="00CD510F" w:rsidP="00E41AA4">
      <w:pPr>
        <w:pStyle w:val="NICCYBodyText"/>
      </w:pPr>
      <w:r>
        <w:t xml:space="preserve">The referral source data illustrates the continuing pressure on a small number of universal services, specifically GP and A&amp;E (for crisis), for making referrals to CAMHS. Regrettably the data does not indicate </w:t>
      </w:r>
      <w:r w:rsidR="00D31BD0">
        <w:t>an extension in the types ‘referral agent’</w:t>
      </w:r>
      <w:r>
        <w:t xml:space="preserve"> being used, to simply referral pathways and ensure that those professionals that know young people best are positioned to refer to CAMHS</w:t>
      </w:r>
      <w:r w:rsidR="00CB077B">
        <w:t>, and which was part of a number of recommendations made in NICCY’s ‘Still Waiting’ Review</w:t>
      </w:r>
      <w:r>
        <w:t>.</w:t>
      </w:r>
      <w:r w:rsidR="004A0472">
        <w:t xml:space="preserve"> It is also vital that crisis support is in place so that young people that do not need to go to A&amp;E have other more appropriate sources of support.</w:t>
      </w:r>
    </w:p>
    <w:p w14:paraId="5EC3B1EF" w14:textId="329C8504" w:rsidR="001C3A41" w:rsidRDefault="001C3A41" w:rsidP="00E41AA4">
      <w:pPr>
        <w:pStyle w:val="NICCYBodyText"/>
      </w:pPr>
    </w:p>
    <w:p w14:paraId="39A7C0C5" w14:textId="4F127AC8" w:rsidR="001C3A41" w:rsidRDefault="001C3A41" w:rsidP="00E41AA4">
      <w:pPr>
        <w:pStyle w:val="NICCYBodyText"/>
      </w:pPr>
      <w:r>
        <w:t xml:space="preserve">Rates of non-attendance at appointment for first and review appointments are not decreasing. It is very concerning that young people who require professional mental health support are not attending appointments. The reasons for non-attendance must be </w:t>
      </w:r>
      <w:r>
        <w:lastRenderedPageBreak/>
        <w:t xml:space="preserve">monitored and measures put in place to bring these figures down. </w:t>
      </w:r>
    </w:p>
    <w:p w14:paraId="12FD1896" w14:textId="6E527474" w:rsidR="00CB077B" w:rsidRDefault="00CB077B" w:rsidP="00E41AA4">
      <w:pPr>
        <w:pStyle w:val="NICCYBodyText"/>
      </w:pPr>
    </w:p>
    <w:p w14:paraId="6C4A7016" w14:textId="76ADE27B" w:rsidR="00CB077B" w:rsidRDefault="00CB077B" w:rsidP="00592A22">
      <w:pPr>
        <w:pStyle w:val="NICCYBodyText"/>
      </w:pPr>
      <w:r>
        <w:t xml:space="preserve">The ongoing issue of delayed discharge from the Iveagh Centre is one of the most egregious breaches of children’s rights evident in Northern Ireland. The need to address the lack of long term planning for the needs of these children, </w:t>
      </w:r>
      <w:r w:rsidR="00D90E4D">
        <w:t xml:space="preserve">needs </w:t>
      </w:r>
      <w:r>
        <w:t>which are often evident from birth</w:t>
      </w:r>
      <w:r w:rsidR="00D90E4D">
        <w:t>,</w:t>
      </w:r>
      <w:r w:rsidR="00706FAD">
        <w:t xml:space="preserve"> must</w:t>
      </w:r>
      <w:r>
        <w:t xml:space="preserve"> be a</w:t>
      </w:r>
      <w:r w:rsidR="00811B32">
        <w:t>ddressed by</w:t>
      </w:r>
      <w:r>
        <w:t xml:space="preserve"> the NI Government with the utmost urgency. </w:t>
      </w:r>
    </w:p>
    <w:p w14:paraId="13DA423A" w14:textId="77777777" w:rsidR="00CD510F" w:rsidRDefault="00CD510F" w:rsidP="00592A22">
      <w:pPr>
        <w:pStyle w:val="NICCYBodyText"/>
      </w:pPr>
    </w:p>
    <w:p w14:paraId="6780F979" w14:textId="2C165E93" w:rsidR="00E667E6" w:rsidRDefault="00CC0BC1" w:rsidP="00592A22">
      <w:pPr>
        <w:pStyle w:val="NICCYBodyText"/>
      </w:pPr>
      <w:r>
        <w:t xml:space="preserve">These </w:t>
      </w:r>
      <w:r w:rsidR="00C17D6D">
        <w:t xml:space="preserve">concluding </w:t>
      </w:r>
      <w:r>
        <w:t xml:space="preserve">points </w:t>
      </w:r>
      <w:r w:rsidR="00C17D6D">
        <w:t>touch upon</w:t>
      </w:r>
      <w:r>
        <w:t xml:space="preserve"> just some of the key issues highlighted by the data in this report, however, w</w:t>
      </w:r>
      <w:r w:rsidR="00E41AA4">
        <w:t xml:space="preserve">e recommend that this </w:t>
      </w:r>
      <w:r w:rsidR="00DC38B9">
        <w:t xml:space="preserve">mental health data </w:t>
      </w:r>
      <w:r w:rsidR="00E41AA4">
        <w:t xml:space="preserve">report is reviewed alongside </w:t>
      </w:r>
      <w:r w:rsidR="00DC38B9">
        <w:t xml:space="preserve">NICCY’s monitoring report which </w:t>
      </w:r>
      <w:r w:rsidR="00A35BB7">
        <w:t xml:space="preserve">incorporates and reflects on </w:t>
      </w:r>
      <w:r>
        <w:t>more</w:t>
      </w:r>
      <w:r w:rsidR="00A35BB7">
        <w:t xml:space="preserve"> of the key data contained in this report, as part of its</w:t>
      </w:r>
      <w:r w:rsidR="00DC38B9">
        <w:t xml:space="preserve"> assessment of progress against the Inter-Departmental Still Waiting Action Plan</w:t>
      </w:r>
      <w:r w:rsidR="00A35BB7">
        <w:t xml:space="preserve"> (SWAP). The SWAP</w:t>
      </w:r>
      <w:r w:rsidR="00DC38B9">
        <w:t xml:space="preserve"> is the response to the recommendation</w:t>
      </w:r>
      <w:r w:rsidR="00A35BB7">
        <w:t>s</w:t>
      </w:r>
      <w:r w:rsidR="00DC38B9">
        <w:t xml:space="preserve"> set out in NICCYs review of mental health services and support for children and young people in Northern Ireland.</w:t>
      </w:r>
      <w:r w:rsidR="00A35BB7">
        <w:t xml:space="preserve"> </w:t>
      </w:r>
    </w:p>
    <w:sectPr w:rsidR="00E667E6" w:rsidSect="00791E93">
      <w:headerReference w:type="default" r:id="rId25"/>
      <w:footerReference w:type="even" r:id="rId26"/>
      <w:footerReference w:type="default" r:id="rId27"/>
      <w:pgSz w:w="11900" w:h="16840"/>
      <w:pgMar w:top="2835" w:right="1134" w:bottom="1985" w:left="1134" w:header="397"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F8708" w14:textId="77777777" w:rsidR="008446DD" w:rsidRDefault="008446DD" w:rsidP="00280C3B">
      <w:r>
        <w:separator/>
      </w:r>
    </w:p>
  </w:endnote>
  <w:endnote w:type="continuationSeparator" w:id="0">
    <w:p w14:paraId="4DC51BF3" w14:textId="77777777" w:rsidR="008446DD" w:rsidRDefault="008446DD"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ook">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Georg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7C477" w14:textId="77777777" w:rsidR="00CB077B" w:rsidRDefault="00CB077B"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490011" w14:textId="77777777" w:rsidR="00CB077B" w:rsidRDefault="00CB077B" w:rsidP="00D8195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333B1" w14:textId="2140FF05" w:rsidR="00CB077B" w:rsidRPr="008C32B9" w:rsidRDefault="00CB077B" w:rsidP="00C749C1">
    <w:pPr>
      <w:pStyle w:val="Footer"/>
      <w:framePr w:wrap="around" w:vAnchor="text" w:hAnchor="page" w:x="10441" w:y="-239"/>
      <w:rPr>
        <w:rStyle w:val="PageNumber"/>
        <w:rFonts w:ascii="Arial" w:hAnsi="Arial" w:cs="Arial"/>
        <w:color w:val="414042"/>
        <w:sz w:val="16"/>
        <w:szCs w:val="16"/>
      </w:rPr>
    </w:pPr>
    <w:r w:rsidRPr="008C32B9">
      <w:rPr>
        <w:rStyle w:val="PageNumber"/>
        <w:rFonts w:ascii="Arial" w:hAnsi="Arial" w:cs="Arial"/>
        <w:color w:val="414042"/>
        <w:sz w:val="16"/>
        <w:szCs w:val="16"/>
      </w:rPr>
      <w:fldChar w:fldCharType="begin"/>
    </w:r>
    <w:r w:rsidRPr="008C32B9">
      <w:rPr>
        <w:rStyle w:val="PageNumber"/>
        <w:rFonts w:ascii="Arial" w:hAnsi="Arial" w:cs="Arial"/>
        <w:color w:val="414042"/>
        <w:sz w:val="16"/>
        <w:szCs w:val="16"/>
      </w:rPr>
      <w:instrText xml:space="preserve">PAGE  </w:instrText>
    </w:r>
    <w:r w:rsidRPr="008C32B9">
      <w:rPr>
        <w:rStyle w:val="PageNumber"/>
        <w:rFonts w:ascii="Arial" w:hAnsi="Arial" w:cs="Arial"/>
        <w:color w:val="414042"/>
        <w:sz w:val="16"/>
        <w:szCs w:val="16"/>
      </w:rPr>
      <w:fldChar w:fldCharType="separate"/>
    </w:r>
    <w:r w:rsidR="00114BE0">
      <w:rPr>
        <w:rStyle w:val="PageNumber"/>
        <w:rFonts w:ascii="Arial" w:hAnsi="Arial" w:cs="Arial"/>
        <w:noProof/>
        <w:color w:val="414042"/>
        <w:sz w:val="16"/>
        <w:szCs w:val="16"/>
      </w:rPr>
      <w:t>21</w:t>
    </w:r>
    <w:r w:rsidRPr="008C32B9">
      <w:rPr>
        <w:rStyle w:val="PageNumber"/>
        <w:rFonts w:ascii="Arial" w:hAnsi="Arial" w:cs="Arial"/>
        <w:color w:val="414042"/>
        <w:sz w:val="16"/>
        <w:szCs w:val="16"/>
      </w:rPr>
      <w:fldChar w:fldCharType="end"/>
    </w:r>
  </w:p>
  <w:p w14:paraId="2032F96D" w14:textId="77777777" w:rsidR="00CB077B" w:rsidRPr="008C32B9" w:rsidRDefault="00CB077B" w:rsidP="00D81956">
    <w:pPr>
      <w:pStyle w:val="Footer"/>
      <w:ind w:right="360"/>
      <w:rPr>
        <w:rFonts w:ascii="Arial" w:hAnsi="Arial" w:cs="Arial"/>
        <w:color w:val="414042"/>
        <w:sz w:val="16"/>
        <w:szCs w:val="16"/>
      </w:rPr>
    </w:pPr>
    <w:r w:rsidRPr="008C32B9">
      <w:rPr>
        <w:rFonts w:ascii="Arial" w:hAnsi="Arial" w:cs="Arial"/>
        <w:color w:val="414042"/>
        <w:sz w:val="16"/>
        <w:szCs w:val="16"/>
      </w:rPr>
      <w:t xml:space="preserve"> </w:t>
    </w:r>
    <w:r>
      <w:rPr>
        <w:rFonts w:ascii="Arial" w:hAnsi="Arial" w:cs="Arial"/>
        <w:noProof/>
        <w:color w:val="414042"/>
        <w:sz w:val="16"/>
        <w:szCs w:val="16"/>
        <w:lang w:val="en-GB" w:eastAsia="en-GB"/>
      </w:rPr>
      <mc:AlternateContent>
        <mc:Choice Requires="wpg">
          <w:drawing>
            <wp:anchor distT="0" distB="0" distL="114300" distR="114300" simplePos="0" relativeHeight="251663360" behindDoc="0" locked="0" layoutInCell="1" allowOverlap="1" wp14:anchorId="54CDDDBF" wp14:editId="78C0B8BF">
              <wp:simplePos x="0" y="0"/>
              <wp:positionH relativeFrom="column">
                <wp:posOffset>-913765</wp:posOffset>
              </wp:positionH>
              <wp:positionV relativeFrom="paragraph">
                <wp:posOffset>-341630</wp:posOffset>
              </wp:positionV>
              <wp:extent cx="7559675" cy="69215"/>
              <wp:effectExtent l="0" t="0" r="0" b="0"/>
              <wp:wrapTight wrapText="bothSides">
                <wp:wrapPolygon edited="0">
                  <wp:start x="0" y="0"/>
                  <wp:lineTo x="0" y="17835"/>
                  <wp:lineTo x="21555" y="17835"/>
                  <wp:lineTo x="2155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23A4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3404CF4D" w14:textId="77777777" w:rsidR="00CB077B" w:rsidRDefault="00CB077B"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EC008C"/>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E40E51" w14:textId="77777777" w:rsidR="00CB077B" w:rsidRDefault="00CB077B"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F57E2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87ED92" w14:textId="77777777" w:rsidR="00CB077B" w:rsidRDefault="00CB077B"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72BF44"/>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7C1786" w14:textId="77777777" w:rsidR="00CB077B" w:rsidRDefault="00CB077B"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ED1C24"/>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BEBD8" w14:textId="77777777" w:rsidR="00CB077B" w:rsidRDefault="00CB077B"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CDDDBF" id="Group 10" o:spid="_x0000_s1027" style="position:absolute;margin-left:-71.95pt;margin-top:-26.9pt;width:595.25pt;height:5.45pt;z-index:251663360" coordsize="8548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">
              <v:rect id="Rectangle 11" o:spid="_x0000_s1028" style="position:absolute;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" fillcolor="#23a4de" stroked="f">
                <v:textbox>
                  <w:txbxContent>
                    <w:p w14:paraId="3404CF4D" w14:textId="77777777" w:rsidR="00CB077B" w:rsidRDefault="00CB077B" w:rsidP="00C749C1"/>
                  </w:txbxContent>
                </v:textbox>
              </v:rect>
              <v:rect id="Rectangle 12" o:spid="_x0000_s1029" style="position:absolute;left:17096;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" fillcolor="#ec008c" stroked="f">
                <v:textbox>
                  <w:txbxContent>
                    <w:p w14:paraId="62E40E51" w14:textId="77777777" w:rsidR="00CB077B" w:rsidRDefault="00CB077B" w:rsidP="00C749C1"/>
                  </w:txbxContent>
                </v:textbox>
              </v:rect>
              <v:rect id="Rectangle 13" o:spid="_x0000_s1030" style="position:absolute;left:34192;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" fillcolor="#f57e20" stroked="f">
                <v:textbox>
                  <w:txbxContent>
                    <w:p w14:paraId="2087ED92" w14:textId="77777777" w:rsidR="00CB077B" w:rsidRDefault="00CB077B" w:rsidP="00C749C1"/>
                  </w:txbxContent>
                </v:textbox>
              </v:rect>
              <v:rect id="Rectangle 14" o:spid="_x0000_s1031" style="position:absolute;left:51288;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" fillcolor="#72bf44" stroked="f">
                <v:textbox>
                  <w:txbxContent>
                    <w:p w14:paraId="557C1786" w14:textId="77777777" w:rsidR="00CB077B" w:rsidRDefault="00CB077B" w:rsidP="00C749C1"/>
                  </w:txbxContent>
                </v:textbox>
              </v:rect>
              <v:rect id="Rectangle 15" o:spid="_x0000_s1032" style="position:absolute;left:68384;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" fillcolor="#ed1c24" stroked="f">
                <v:textbox>
                  <w:txbxContent>
                    <w:p w14:paraId="3D3BEBD8" w14:textId="77777777" w:rsidR="00CB077B" w:rsidRDefault="00CB077B" w:rsidP="00C749C1"/>
                  </w:txbxContent>
                </v:textbox>
              </v:rect>
              <w10:wrap type="tight"/>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1C919" w14:textId="77777777" w:rsidR="008446DD" w:rsidRDefault="008446DD" w:rsidP="00280C3B">
      <w:r>
        <w:separator/>
      </w:r>
    </w:p>
  </w:footnote>
  <w:footnote w:type="continuationSeparator" w:id="0">
    <w:p w14:paraId="632D534E" w14:textId="77777777" w:rsidR="008446DD" w:rsidRDefault="008446DD" w:rsidP="00280C3B">
      <w:r>
        <w:continuationSeparator/>
      </w:r>
    </w:p>
  </w:footnote>
  <w:footnote w:id="1">
    <w:p w14:paraId="147C5D24" w14:textId="77777777" w:rsidR="00CB077B" w:rsidRPr="002A0AE4" w:rsidRDefault="00CB077B">
      <w:pPr>
        <w:pStyle w:val="FootnoteText"/>
        <w:rPr>
          <w:lang w:val="en-GB"/>
        </w:rPr>
      </w:pPr>
      <w:r>
        <w:rPr>
          <w:rStyle w:val="FootnoteReference"/>
        </w:rPr>
        <w:footnoteRef/>
      </w:r>
      <w:r>
        <w:t xml:space="preserve"> </w:t>
      </w:r>
      <w:r>
        <w:rPr>
          <w:rFonts w:ascii="Arial" w:hAnsi="Arial" w:cs="Arial"/>
          <w:sz w:val="20"/>
          <w:szCs w:val="20"/>
          <w:lang w:val="en-GB"/>
        </w:rPr>
        <w:t>Further information</w:t>
      </w:r>
      <w:r w:rsidRPr="003D0C54">
        <w:rPr>
          <w:rFonts w:ascii="Arial" w:hAnsi="Arial" w:cs="Arial"/>
          <w:sz w:val="20"/>
          <w:szCs w:val="20"/>
          <w:lang w:val="en-GB"/>
        </w:rPr>
        <w:t xml:space="preserve"> available from</w:t>
      </w:r>
      <w:r>
        <w:rPr>
          <w:lang w:val="en-GB"/>
        </w:rPr>
        <w:t xml:space="preserve"> </w:t>
      </w:r>
      <w:hyperlink r:id="rId1" w:history="1">
        <w:r w:rsidRPr="003D0C54">
          <w:rPr>
            <w:rStyle w:val="Hyperlink"/>
            <w:rFonts w:ascii="Arial" w:hAnsi="Arial" w:cs="Arial"/>
            <w:sz w:val="20"/>
            <w:szCs w:val="20"/>
          </w:rPr>
          <w:t>Mental Health Review - Still Waiting (niccy.org)</w:t>
        </w:r>
      </w:hyperlink>
    </w:p>
  </w:footnote>
  <w:footnote w:id="2">
    <w:p w14:paraId="020DFB55" w14:textId="77777777" w:rsidR="00CB077B" w:rsidRPr="003D0C54" w:rsidRDefault="00CB077B">
      <w:pPr>
        <w:pStyle w:val="FootnoteText"/>
        <w:rPr>
          <w:rFonts w:ascii="Arial" w:hAnsi="Arial" w:cs="Arial"/>
          <w:sz w:val="20"/>
          <w:szCs w:val="20"/>
          <w:lang w:val="en-GB"/>
        </w:rPr>
      </w:pPr>
      <w:r>
        <w:rPr>
          <w:rStyle w:val="FootnoteReference"/>
        </w:rPr>
        <w:footnoteRef/>
      </w:r>
      <w:r>
        <w:t xml:space="preserve"> </w:t>
      </w:r>
      <w:r>
        <w:rPr>
          <w:lang w:val="en-GB"/>
        </w:rPr>
        <w:t xml:space="preserve"> </w:t>
      </w:r>
      <w:r>
        <w:rPr>
          <w:rFonts w:ascii="Arial" w:hAnsi="Arial" w:cs="Arial"/>
          <w:sz w:val="20"/>
          <w:szCs w:val="20"/>
          <w:lang w:val="en-GB"/>
        </w:rPr>
        <w:t>Ibid.</w:t>
      </w:r>
    </w:p>
  </w:footnote>
  <w:footnote w:id="3">
    <w:p w14:paraId="6D6FA9C4" w14:textId="77777777" w:rsidR="00CB077B" w:rsidRPr="00717168" w:rsidRDefault="00CB077B">
      <w:pPr>
        <w:pStyle w:val="FootnoteText"/>
        <w:rPr>
          <w:rFonts w:ascii="Arial" w:hAnsi="Arial" w:cs="Arial"/>
          <w:sz w:val="20"/>
          <w:szCs w:val="20"/>
          <w:lang w:val="en-GB"/>
        </w:rPr>
      </w:pPr>
      <w:r>
        <w:rPr>
          <w:rStyle w:val="FootnoteReference"/>
        </w:rPr>
        <w:footnoteRef/>
      </w:r>
      <w:r>
        <w:t xml:space="preserve"> </w:t>
      </w:r>
      <w:r w:rsidRPr="00717168">
        <w:rPr>
          <w:rFonts w:ascii="Arial" w:hAnsi="Arial" w:cs="Arial"/>
          <w:sz w:val="20"/>
          <w:szCs w:val="20"/>
          <w:lang w:val="en-GB"/>
        </w:rPr>
        <w:t xml:space="preserve">Further details on CAMHS services are available from CAMHS Pathway Document- HSCB 2018 </w:t>
      </w:r>
    </w:p>
  </w:footnote>
  <w:footnote w:id="4">
    <w:p w14:paraId="6FD0C5C1" w14:textId="77777777" w:rsidR="00CB077B" w:rsidRDefault="00CB077B" w:rsidP="006A03C1">
      <w:pPr>
        <w:pStyle w:val="FootnoteText"/>
        <w:rPr>
          <w:lang w:val="en-GB"/>
        </w:rPr>
      </w:pPr>
      <w:r>
        <w:rPr>
          <w:rStyle w:val="FootnoteReference"/>
        </w:rPr>
        <w:footnoteRef/>
      </w:r>
      <w:hyperlink r:id="rId2" w:history="1">
        <w:r w:rsidRPr="009F4F70">
          <w:rPr>
            <w:rStyle w:val="Hyperlink"/>
            <w:rFonts w:ascii="Arial" w:hAnsi="Arial" w:cs="Arial"/>
            <w:sz w:val="20"/>
            <w:szCs w:val="20"/>
          </w:rPr>
          <w:t>HSCB Board minutes- Sept 2019</w:t>
        </w:r>
      </w:hyperlink>
      <w:r w:rsidRPr="006A03C1">
        <w:rPr>
          <w:rFonts w:ascii="Arial" w:hAnsi="Arial" w:cs="Arial"/>
          <w:sz w:val="20"/>
          <w:szCs w:val="20"/>
        </w:rPr>
        <w:t>, p16</w:t>
      </w:r>
    </w:p>
  </w:footnote>
  <w:footnote w:id="5">
    <w:p w14:paraId="373F7021" w14:textId="77777777" w:rsidR="00CB077B" w:rsidRPr="00641E86" w:rsidRDefault="00CB077B" w:rsidP="00F30EF6">
      <w:pPr>
        <w:pStyle w:val="FootnoteText"/>
        <w:rPr>
          <w:lang w:val="en-GB"/>
        </w:rPr>
      </w:pPr>
      <w:r>
        <w:rPr>
          <w:rStyle w:val="FootnoteReference"/>
        </w:rPr>
        <w:footnoteRef/>
      </w:r>
      <w:r>
        <w:t xml:space="preserve"> </w:t>
      </w:r>
      <w:r>
        <w:rPr>
          <w:rFonts w:ascii="Arial" w:hAnsi="Arial" w:cs="Arial"/>
          <w:sz w:val="20"/>
          <w:szCs w:val="20"/>
        </w:rPr>
        <w:t>HSCB (2018</w:t>
      </w:r>
      <w:r w:rsidRPr="00641E86">
        <w:rPr>
          <w:rFonts w:ascii="Arial" w:hAnsi="Arial" w:cs="Arial"/>
          <w:sz w:val="20"/>
          <w:szCs w:val="20"/>
        </w:rPr>
        <w:t>) Regional CAMHS Services Review Group (CAMHS Dataset),</w:t>
      </w:r>
      <w:r>
        <w:rPr>
          <w:rFonts w:ascii="Arial" w:hAnsi="Arial" w:cs="Arial"/>
          <w:sz w:val="20"/>
          <w:szCs w:val="20"/>
        </w:rPr>
        <w:t xml:space="preserve"> Definitions, Version 9, p10 (3.25-2.36)</w:t>
      </w:r>
    </w:p>
  </w:footnote>
  <w:footnote w:id="6">
    <w:p w14:paraId="17BD74F0" w14:textId="77777777" w:rsidR="00CB077B" w:rsidRPr="00223F44" w:rsidRDefault="00CB077B" w:rsidP="00AA0ECE">
      <w:pPr>
        <w:pStyle w:val="FootnoteText"/>
        <w:rPr>
          <w:lang w:val="en-GB"/>
        </w:rPr>
      </w:pPr>
      <w:r>
        <w:rPr>
          <w:rStyle w:val="FootnoteReference"/>
        </w:rPr>
        <w:footnoteRef/>
      </w:r>
      <w:r>
        <w:t xml:space="preserve"> </w:t>
      </w:r>
      <w:hyperlink r:id="rId3" w:history="1">
        <w:r w:rsidRPr="008C63C4">
          <w:rPr>
            <w:rStyle w:val="Hyperlink"/>
          </w:rPr>
          <w:t>HSCB Board Meeting Minutes Sept 2019</w:t>
        </w:r>
      </w:hyperlink>
      <w:r>
        <w:t>, p. 17</w:t>
      </w:r>
    </w:p>
  </w:footnote>
  <w:footnote w:id="7">
    <w:p w14:paraId="48BB6250" w14:textId="77777777" w:rsidR="00CB077B" w:rsidRPr="00265022" w:rsidRDefault="00CB077B" w:rsidP="00724DE8">
      <w:pPr>
        <w:pStyle w:val="FootnoteText"/>
      </w:pPr>
      <w:r>
        <w:rPr>
          <w:rStyle w:val="FootnoteReference"/>
        </w:rPr>
        <w:footnoteRef/>
      </w:r>
      <w:r>
        <w:t xml:space="preserve"> </w:t>
      </w:r>
      <w:r w:rsidRPr="00265022">
        <w:rPr>
          <w:rFonts w:ascii="Arial" w:hAnsi="Arial" w:cs="Arial"/>
          <w:color w:val="414042"/>
          <w:sz w:val="20"/>
          <w:szCs w:val="20"/>
          <w:lang w:val="en-GB"/>
        </w:rPr>
        <w:t>Meeting with Iveagh Staff-03.05.2019</w:t>
      </w:r>
    </w:p>
  </w:footnote>
  <w:footnote w:id="8">
    <w:p w14:paraId="57B761EA" w14:textId="77777777" w:rsidR="00CB077B" w:rsidRPr="00421728" w:rsidRDefault="00CB077B" w:rsidP="00724DE8">
      <w:pPr>
        <w:pStyle w:val="FootnoteText"/>
        <w:rPr>
          <w:lang w:val="en-GB"/>
        </w:rPr>
      </w:pPr>
      <w:r>
        <w:rPr>
          <w:rStyle w:val="FootnoteReference"/>
        </w:rPr>
        <w:footnoteRef/>
      </w:r>
      <w:r>
        <w:t xml:space="preserve"> </w:t>
      </w:r>
      <w:r w:rsidRPr="00421728">
        <w:rPr>
          <w:rFonts w:ascii="Arial" w:hAnsi="Arial" w:cs="Arial"/>
          <w:color w:val="414042"/>
          <w:sz w:val="20"/>
          <w:szCs w:val="20"/>
          <w:lang w:val="en-GB"/>
        </w:rPr>
        <w:t>Information shared with NICCY Legal Team, June 2018;</w:t>
      </w:r>
      <w:r w:rsidRPr="00421728">
        <w:rPr>
          <w:rFonts w:ascii="Arial" w:hAnsi="Arial" w:cs="Arial"/>
          <w:sz w:val="20"/>
          <w:szCs w:val="20"/>
        </w:rPr>
        <w:t xml:space="preserve"> </w:t>
      </w:r>
      <w:r w:rsidRPr="00421728">
        <w:rPr>
          <w:rFonts w:ascii="Arial" w:hAnsi="Arial" w:cs="Arial"/>
          <w:color w:val="414042"/>
          <w:sz w:val="20"/>
          <w:szCs w:val="20"/>
          <w:lang w:val="en-GB"/>
        </w:rPr>
        <w:t>Letters from HSCB to NICCY dated July 2020</w:t>
      </w:r>
    </w:p>
  </w:footnote>
  <w:footnote w:id="9">
    <w:p w14:paraId="5A3BD196" w14:textId="77777777" w:rsidR="00CB077B" w:rsidRPr="00A8765C" w:rsidRDefault="00CB077B">
      <w:pPr>
        <w:pStyle w:val="FootnoteText"/>
        <w:rPr>
          <w:lang w:val="en-GB"/>
        </w:rPr>
      </w:pPr>
      <w:r>
        <w:rPr>
          <w:rStyle w:val="FootnoteReference"/>
        </w:rPr>
        <w:footnoteRef/>
      </w:r>
      <w:r>
        <w:t xml:space="preserve"> </w:t>
      </w:r>
      <w:r w:rsidRPr="00A8765C">
        <w:rPr>
          <w:rStyle w:val="NICCYBodyTextChar"/>
          <w:rFonts w:ascii="Arial" w:hAnsi="Arial" w:cs="Arial"/>
          <w:sz w:val="18"/>
          <w:szCs w:val="18"/>
        </w:rPr>
        <w:t>ECR Data Report provided to NICCY by HSCB- 22.10.20</w:t>
      </w:r>
    </w:p>
  </w:footnote>
  <w:footnote w:id="10">
    <w:p w14:paraId="43E43C63" w14:textId="77777777" w:rsidR="00CB077B" w:rsidRPr="00BF7915" w:rsidRDefault="00CB077B">
      <w:pPr>
        <w:pStyle w:val="FootnoteText"/>
        <w:rPr>
          <w:lang w:val="en-GB"/>
        </w:rPr>
      </w:pPr>
      <w:r>
        <w:rPr>
          <w:rStyle w:val="FootnoteReference"/>
        </w:rPr>
        <w:footnoteRef/>
      </w:r>
      <w:r w:rsidRPr="00BF7915">
        <w:rPr>
          <w:rFonts w:ascii="Arial" w:hAnsi="Arial" w:cs="Arial"/>
          <w:sz w:val="20"/>
          <w:szCs w:val="20"/>
        </w:rPr>
        <w:t xml:space="preserve"> </w:t>
      </w:r>
      <w:r w:rsidRPr="00BF7915">
        <w:rPr>
          <w:rFonts w:ascii="Arial" w:hAnsi="Arial" w:cs="Arial"/>
          <w:sz w:val="20"/>
          <w:szCs w:val="20"/>
          <w:lang w:val="en-GB"/>
        </w:rPr>
        <w:t>ibid</w:t>
      </w:r>
    </w:p>
  </w:footnote>
  <w:footnote w:id="11">
    <w:p w14:paraId="218B4CD5" w14:textId="2FB6329C" w:rsidR="00CB077B" w:rsidRPr="00FB169C" w:rsidRDefault="00CB077B" w:rsidP="00FB169C">
      <w:pPr>
        <w:rPr>
          <w:rFonts w:ascii="Arial" w:eastAsiaTheme="minorEastAsia" w:hAnsi="Arial" w:cs="Arial"/>
          <w:i/>
          <w:color w:val="414042"/>
        </w:rPr>
      </w:pPr>
      <w:r>
        <w:rPr>
          <w:rStyle w:val="FootnoteReference"/>
        </w:rPr>
        <w:footnoteRef/>
      </w:r>
      <w:r>
        <w:t xml:space="preserve"> </w:t>
      </w:r>
      <w:r w:rsidRPr="00FB169C">
        <w:rPr>
          <w:rFonts w:ascii="Arial" w:eastAsiaTheme="minorEastAsia" w:hAnsi="Arial" w:cs="Arial"/>
          <w:color w:val="414042"/>
        </w:rPr>
        <w:t xml:space="preserve">NICCY requested data from the Department for Health pertaining to this issue. We were informed that </w:t>
      </w:r>
      <w:r w:rsidRPr="00FB169C">
        <w:rPr>
          <w:rFonts w:ascii="Arial" w:eastAsiaTheme="minorEastAsia" w:hAnsi="Arial" w:cs="Arial"/>
          <w:i/>
          <w:color w:val="414042"/>
        </w:rPr>
        <w:t xml:space="preserve">‘It is not currently possible for HSC Trusts to provide the reason for attendance to the Department, as the administrative systems in use do not hold diagnostic information in a standardised format.’ (emailed dated 17.09.2020). </w:t>
      </w:r>
      <w:r w:rsidRPr="00FB169C">
        <w:rPr>
          <w:rFonts w:ascii="Arial" w:hAnsi="Arial" w:cs="Arial"/>
        </w:rPr>
        <w:t>However, in July 2020, the DoH responded to an Assembly Written Question detailing the number of people presenting to (i) Altnagelvin Hospital; and (ii) Causeway Hospital, in relation to mental ill-health, broken down by age category for the period Jun 2019-May 2020 using data provided by the WHSCT (AQW 5324/17-22)</w:t>
      </w:r>
    </w:p>
    <w:p w14:paraId="780F3CE0" w14:textId="77777777" w:rsidR="00CB077B" w:rsidRPr="00CE595A" w:rsidRDefault="00CB077B" w:rsidP="000D404B">
      <w:pPr>
        <w:pStyle w:val="NICCYBodyTest"/>
      </w:pPr>
    </w:p>
    <w:p w14:paraId="7B9F51BC" w14:textId="77777777" w:rsidR="00CB077B" w:rsidRPr="00CA3C9B" w:rsidRDefault="00CB077B" w:rsidP="000D404B">
      <w:pPr>
        <w:pStyle w:val="FootnoteText"/>
        <w:rPr>
          <w:lang w:val="en-GB"/>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72"/>
      <w:gridCol w:w="4802"/>
    </w:tblGrid>
    <w:tr w:rsidR="00CB077B" w14:paraId="2101A97E" w14:textId="77777777" w:rsidTr="000D52AB">
      <w:tc>
        <w:tcPr>
          <w:tcW w:w="5027" w:type="dxa"/>
          <w:shd w:val="clear" w:color="auto" w:fill="auto"/>
        </w:tcPr>
        <w:p w14:paraId="68413990" w14:textId="77777777" w:rsidR="00CB077B" w:rsidRDefault="00CB077B" w:rsidP="000D52AB">
          <w:pPr>
            <w:pStyle w:val="CompanyName"/>
            <w:rPr>
              <w:rFonts w:ascii="Futura Book" w:hAnsi="Futura Book" w:cs="Arial"/>
              <w:lang w:val="en-GB"/>
            </w:rPr>
          </w:pPr>
        </w:p>
      </w:tc>
      <w:tc>
        <w:tcPr>
          <w:tcW w:w="4855" w:type="dxa"/>
          <w:shd w:val="clear" w:color="auto" w:fill="auto"/>
        </w:tcPr>
        <w:p w14:paraId="294A4339" w14:textId="77777777" w:rsidR="00CB077B" w:rsidRDefault="00CB077B" w:rsidP="000D52AB">
          <w:pPr>
            <w:pStyle w:val="CompanyName"/>
            <w:rPr>
              <w:rFonts w:ascii="Futura Book" w:hAnsi="Futura Book" w:cs="Arial"/>
              <w:lang w:val="en-GB"/>
            </w:rPr>
          </w:pPr>
        </w:p>
      </w:tc>
    </w:tr>
  </w:tbl>
  <w:p w14:paraId="57CFFAB3" w14:textId="77777777" w:rsidR="00CB077B" w:rsidRDefault="00CB077B">
    <w:pPr>
      <w:pStyle w:val="Header"/>
    </w:pPr>
    <w:r>
      <w:rPr>
        <w:rFonts w:ascii="Futura Book" w:hAnsi="Futura Book" w:cs="Arial"/>
        <w:noProof/>
        <w:lang w:val="en-GB" w:eastAsia="en-GB"/>
      </w:rPr>
      <w:drawing>
        <wp:anchor distT="0" distB="0" distL="114300" distR="114300" simplePos="0" relativeHeight="251661312" behindDoc="0" locked="0" layoutInCell="1" allowOverlap="1" wp14:anchorId="016EBAAC" wp14:editId="0FFC1568">
          <wp:simplePos x="0" y="0"/>
          <wp:positionH relativeFrom="column">
            <wp:posOffset>4572000</wp:posOffset>
          </wp:positionH>
          <wp:positionV relativeFrom="paragraph">
            <wp:posOffset>190500</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6E89"/>
    <w:multiLevelType w:val="hybridMultilevel"/>
    <w:tmpl w:val="92A067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70893"/>
    <w:multiLevelType w:val="hybridMultilevel"/>
    <w:tmpl w:val="65FAA974"/>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2" w15:restartNumberingAfterBreak="0">
    <w:nsid w:val="09412F1C"/>
    <w:multiLevelType w:val="hybridMultilevel"/>
    <w:tmpl w:val="1632C67E"/>
    <w:lvl w:ilvl="0" w:tplc="08CCC1E2">
      <w:start w:val="100"/>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0424E"/>
    <w:multiLevelType w:val="hybridMultilevel"/>
    <w:tmpl w:val="923EEE16"/>
    <w:lvl w:ilvl="0" w:tplc="7C88D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B4AC2"/>
    <w:multiLevelType w:val="hybridMultilevel"/>
    <w:tmpl w:val="64629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383F24"/>
    <w:multiLevelType w:val="hybridMultilevel"/>
    <w:tmpl w:val="9C4A4CAC"/>
    <w:lvl w:ilvl="0" w:tplc="B36000CA">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327EF"/>
    <w:multiLevelType w:val="hybridMultilevel"/>
    <w:tmpl w:val="99A84FA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F4F5B4A"/>
    <w:multiLevelType w:val="hybridMultilevel"/>
    <w:tmpl w:val="808885CA"/>
    <w:lvl w:ilvl="0" w:tplc="BBFC450E">
      <w:start w:val="1"/>
      <w:numFmt w:val="decimal"/>
      <w:lvlText w:val="%1."/>
      <w:lvlJc w:val="left"/>
      <w:pPr>
        <w:ind w:left="397" w:hanging="360"/>
      </w:pPr>
      <w:rPr>
        <w:rFonts w:hint="default"/>
      </w:rPr>
    </w:lvl>
    <w:lvl w:ilvl="1" w:tplc="08090019" w:tentative="1">
      <w:start w:val="1"/>
      <w:numFmt w:val="lowerLetter"/>
      <w:lvlText w:val="%2."/>
      <w:lvlJc w:val="left"/>
      <w:pPr>
        <w:ind w:left="1117" w:hanging="360"/>
      </w:pPr>
    </w:lvl>
    <w:lvl w:ilvl="2" w:tplc="0809001B" w:tentative="1">
      <w:start w:val="1"/>
      <w:numFmt w:val="lowerRoman"/>
      <w:lvlText w:val="%3."/>
      <w:lvlJc w:val="right"/>
      <w:pPr>
        <w:ind w:left="1837" w:hanging="180"/>
      </w:pPr>
    </w:lvl>
    <w:lvl w:ilvl="3" w:tplc="0809000F" w:tentative="1">
      <w:start w:val="1"/>
      <w:numFmt w:val="decimal"/>
      <w:lvlText w:val="%4."/>
      <w:lvlJc w:val="left"/>
      <w:pPr>
        <w:ind w:left="2557" w:hanging="360"/>
      </w:pPr>
    </w:lvl>
    <w:lvl w:ilvl="4" w:tplc="08090019" w:tentative="1">
      <w:start w:val="1"/>
      <w:numFmt w:val="lowerLetter"/>
      <w:lvlText w:val="%5."/>
      <w:lvlJc w:val="left"/>
      <w:pPr>
        <w:ind w:left="3277" w:hanging="360"/>
      </w:pPr>
    </w:lvl>
    <w:lvl w:ilvl="5" w:tplc="0809001B" w:tentative="1">
      <w:start w:val="1"/>
      <w:numFmt w:val="lowerRoman"/>
      <w:lvlText w:val="%6."/>
      <w:lvlJc w:val="right"/>
      <w:pPr>
        <w:ind w:left="3997" w:hanging="180"/>
      </w:pPr>
    </w:lvl>
    <w:lvl w:ilvl="6" w:tplc="0809000F" w:tentative="1">
      <w:start w:val="1"/>
      <w:numFmt w:val="decimal"/>
      <w:lvlText w:val="%7."/>
      <w:lvlJc w:val="left"/>
      <w:pPr>
        <w:ind w:left="4717" w:hanging="360"/>
      </w:pPr>
    </w:lvl>
    <w:lvl w:ilvl="7" w:tplc="08090019" w:tentative="1">
      <w:start w:val="1"/>
      <w:numFmt w:val="lowerLetter"/>
      <w:lvlText w:val="%8."/>
      <w:lvlJc w:val="left"/>
      <w:pPr>
        <w:ind w:left="5437" w:hanging="360"/>
      </w:pPr>
    </w:lvl>
    <w:lvl w:ilvl="8" w:tplc="0809001B" w:tentative="1">
      <w:start w:val="1"/>
      <w:numFmt w:val="lowerRoman"/>
      <w:lvlText w:val="%9."/>
      <w:lvlJc w:val="right"/>
      <w:pPr>
        <w:ind w:left="6157" w:hanging="180"/>
      </w:pPr>
    </w:lvl>
  </w:abstractNum>
  <w:abstractNum w:abstractNumId="8" w15:restartNumberingAfterBreak="0">
    <w:nsid w:val="21294FB8"/>
    <w:multiLevelType w:val="hybridMultilevel"/>
    <w:tmpl w:val="0DFE13B6"/>
    <w:lvl w:ilvl="0" w:tplc="7C88D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91314"/>
    <w:multiLevelType w:val="hybridMultilevel"/>
    <w:tmpl w:val="76C2844C"/>
    <w:lvl w:ilvl="0" w:tplc="08CCC1E2">
      <w:start w:val="10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E0450"/>
    <w:multiLevelType w:val="hybridMultilevel"/>
    <w:tmpl w:val="4F4801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DF6CC5"/>
    <w:multiLevelType w:val="hybridMultilevel"/>
    <w:tmpl w:val="2932D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51862"/>
    <w:multiLevelType w:val="hybridMultilevel"/>
    <w:tmpl w:val="7AAED5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B0A5D14"/>
    <w:multiLevelType w:val="hybridMultilevel"/>
    <w:tmpl w:val="2FD436F0"/>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4" w15:restartNumberingAfterBreak="0">
    <w:nsid w:val="300E40FB"/>
    <w:multiLevelType w:val="hybridMultilevel"/>
    <w:tmpl w:val="333E4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6E3E80"/>
    <w:multiLevelType w:val="hybridMultilevel"/>
    <w:tmpl w:val="ECC85EC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824985"/>
    <w:multiLevelType w:val="hybridMultilevel"/>
    <w:tmpl w:val="3E107D40"/>
    <w:lvl w:ilvl="0" w:tplc="55B0D852">
      <w:start w:val="1"/>
      <w:numFmt w:val="decimal"/>
      <w:lvlText w:val="%1."/>
      <w:lvlJc w:val="left"/>
      <w:pPr>
        <w:ind w:left="170" w:hanging="17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E2B23"/>
    <w:multiLevelType w:val="hybridMultilevel"/>
    <w:tmpl w:val="3E26A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93797"/>
    <w:multiLevelType w:val="hybridMultilevel"/>
    <w:tmpl w:val="906E4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2B5FFE"/>
    <w:multiLevelType w:val="hybridMultilevel"/>
    <w:tmpl w:val="5A1EC0F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0117B0"/>
    <w:multiLevelType w:val="hybridMultilevel"/>
    <w:tmpl w:val="9B8CF3D4"/>
    <w:lvl w:ilvl="0" w:tplc="605E622C">
      <w:numFmt w:val="bullet"/>
      <w:lvlText w:val="-"/>
      <w:lvlJc w:val="left"/>
      <w:pPr>
        <w:ind w:left="720" w:hanging="360"/>
      </w:pPr>
      <w:rPr>
        <w:rFonts w:ascii="Futura Book" w:eastAsia="Times New Roman" w:hAnsi="Futura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92946"/>
    <w:multiLevelType w:val="hybridMultilevel"/>
    <w:tmpl w:val="C6E02968"/>
    <w:lvl w:ilvl="0" w:tplc="0120AB72">
      <w:start w:val="1"/>
      <w:numFmt w:val="decimal"/>
      <w:lvlText w:val="%1."/>
      <w:lvlJc w:val="left"/>
      <w:pPr>
        <w:ind w:left="170" w:firstLine="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E201A"/>
    <w:multiLevelType w:val="hybridMultilevel"/>
    <w:tmpl w:val="6634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5050FD"/>
    <w:multiLevelType w:val="hybridMultilevel"/>
    <w:tmpl w:val="7988E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9F1513"/>
    <w:multiLevelType w:val="hybridMultilevel"/>
    <w:tmpl w:val="4294BD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A94F83"/>
    <w:multiLevelType w:val="hybridMultilevel"/>
    <w:tmpl w:val="145A472C"/>
    <w:lvl w:ilvl="0" w:tplc="CDE2E64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50AE5"/>
    <w:multiLevelType w:val="hybridMultilevel"/>
    <w:tmpl w:val="3DBCC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138BB"/>
    <w:multiLevelType w:val="hybridMultilevel"/>
    <w:tmpl w:val="3A16B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9A04DB"/>
    <w:multiLevelType w:val="hybridMultilevel"/>
    <w:tmpl w:val="CA4C7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
  </w:num>
  <w:num w:numId="3">
    <w:abstractNumId w:val="8"/>
  </w:num>
  <w:num w:numId="4">
    <w:abstractNumId w:val="21"/>
  </w:num>
  <w:num w:numId="5">
    <w:abstractNumId w:val="16"/>
  </w:num>
  <w:num w:numId="6">
    <w:abstractNumId w:val="23"/>
  </w:num>
  <w:num w:numId="7">
    <w:abstractNumId w:val="27"/>
  </w:num>
  <w:num w:numId="8">
    <w:abstractNumId w:val="24"/>
  </w:num>
  <w:num w:numId="9">
    <w:abstractNumId w:val="20"/>
  </w:num>
  <w:num w:numId="10">
    <w:abstractNumId w:val="22"/>
  </w:num>
  <w:num w:numId="11">
    <w:abstractNumId w:val="4"/>
  </w:num>
  <w:num w:numId="12">
    <w:abstractNumId w:val="10"/>
  </w:num>
  <w:num w:numId="13">
    <w:abstractNumId w:val="18"/>
  </w:num>
  <w:num w:numId="14">
    <w:abstractNumId w:val="26"/>
  </w:num>
  <w:num w:numId="15">
    <w:abstractNumId w:val="13"/>
  </w:num>
  <w:num w:numId="16">
    <w:abstractNumId w:val="17"/>
  </w:num>
  <w:num w:numId="17">
    <w:abstractNumId w:val="19"/>
  </w:num>
  <w:num w:numId="18">
    <w:abstractNumId w:val="15"/>
  </w:num>
  <w:num w:numId="19">
    <w:abstractNumId w:val="12"/>
  </w:num>
  <w:num w:numId="20">
    <w:abstractNumId w:val="11"/>
  </w:num>
  <w:num w:numId="21">
    <w:abstractNumId w:val="14"/>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num>
  <w:num w:numId="25">
    <w:abstractNumId w:val="7"/>
  </w:num>
  <w:num w:numId="26">
    <w:abstractNumId w:val="0"/>
  </w:num>
  <w:num w:numId="27">
    <w:abstractNumId w:val="5"/>
  </w:num>
  <w:num w:numId="28">
    <w:abstractNumId w:val="25"/>
  </w:num>
  <w:num w:numId="29">
    <w:abstractNumId w:val="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80"/>
  <w:doNotDisplayPageBoundaries/>
  <w:defaultTabStop w:val="39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000F9A"/>
    <w:rsid w:val="00010305"/>
    <w:rsid w:val="00010677"/>
    <w:rsid w:val="00015451"/>
    <w:rsid w:val="0001552B"/>
    <w:rsid w:val="00016061"/>
    <w:rsid w:val="00020CD2"/>
    <w:rsid w:val="00021531"/>
    <w:rsid w:val="000262CD"/>
    <w:rsid w:val="00026AEF"/>
    <w:rsid w:val="000303BC"/>
    <w:rsid w:val="00044611"/>
    <w:rsid w:val="00052FB1"/>
    <w:rsid w:val="00053EBD"/>
    <w:rsid w:val="00056911"/>
    <w:rsid w:val="00062242"/>
    <w:rsid w:val="00062DCF"/>
    <w:rsid w:val="0006485E"/>
    <w:rsid w:val="00076B94"/>
    <w:rsid w:val="00081A1D"/>
    <w:rsid w:val="0008385A"/>
    <w:rsid w:val="000928BE"/>
    <w:rsid w:val="0009775E"/>
    <w:rsid w:val="000A2975"/>
    <w:rsid w:val="000A73CA"/>
    <w:rsid w:val="000A7EC4"/>
    <w:rsid w:val="000B1AFA"/>
    <w:rsid w:val="000B6F33"/>
    <w:rsid w:val="000B760B"/>
    <w:rsid w:val="000C1B06"/>
    <w:rsid w:val="000C3AD9"/>
    <w:rsid w:val="000C3DAC"/>
    <w:rsid w:val="000C675A"/>
    <w:rsid w:val="000D404B"/>
    <w:rsid w:val="000D52AB"/>
    <w:rsid w:val="000D655D"/>
    <w:rsid w:val="000D6689"/>
    <w:rsid w:val="000E1151"/>
    <w:rsid w:val="000E12BB"/>
    <w:rsid w:val="000E16EE"/>
    <w:rsid w:val="000E1C8C"/>
    <w:rsid w:val="000E33EF"/>
    <w:rsid w:val="000E3A87"/>
    <w:rsid w:val="000F1D20"/>
    <w:rsid w:val="000F4EFC"/>
    <w:rsid w:val="000F57AF"/>
    <w:rsid w:val="000F6211"/>
    <w:rsid w:val="000F6279"/>
    <w:rsid w:val="000F7268"/>
    <w:rsid w:val="000F7B67"/>
    <w:rsid w:val="001018B9"/>
    <w:rsid w:val="00101EB7"/>
    <w:rsid w:val="001029BD"/>
    <w:rsid w:val="00104BBC"/>
    <w:rsid w:val="00105AE8"/>
    <w:rsid w:val="00106254"/>
    <w:rsid w:val="0011120E"/>
    <w:rsid w:val="001118FA"/>
    <w:rsid w:val="00113CB9"/>
    <w:rsid w:val="00114BE0"/>
    <w:rsid w:val="0012033A"/>
    <w:rsid w:val="00121DC3"/>
    <w:rsid w:val="00125670"/>
    <w:rsid w:val="00125E78"/>
    <w:rsid w:val="0013025C"/>
    <w:rsid w:val="001341EE"/>
    <w:rsid w:val="00136B08"/>
    <w:rsid w:val="00136D61"/>
    <w:rsid w:val="0014703B"/>
    <w:rsid w:val="00150FC5"/>
    <w:rsid w:val="00154AB2"/>
    <w:rsid w:val="001557BE"/>
    <w:rsid w:val="00156856"/>
    <w:rsid w:val="00160D2E"/>
    <w:rsid w:val="00163AEC"/>
    <w:rsid w:val="00166663"/>
    <w:rsid w:val="0016731E"/>
    <w:rsid w:val="00170A9D"/>
    <w:rsid w:val="00171A78"/>
    <w:rsid w:val="0018563C"/>
    <w:rsid w:val="00185863"/>
    <w:rsid w:val="00187856"/>
    <w:rsid w:val="001905DC"/>
    <w:rsid w:val="001936E2"/>
    <w:rsid w:val="001A5717"/>
    <w:rsid w:val="001A5748"/>
    <w:rsid w:val="001B1227"/>
    <w:rsid w:val="001B3C8E"/>
    <w:rsid w:val="001B5FDE"/>
    <w:rsid w:val="001B75E8"/>
    <w:rsid w:val="001C2FA3"/>
    <w:rsid w:val="001C3A41"/>
    <w:rsid w:val="001C598C"/>
    <w:rsid w:val="001D0A7E"/>
    <w:rsid w:val="001E6FB5"/>
    <w:rsid w:val="001E7504"/>
    <w:rsid w:val="001F04E5"/>
    <w:rsid w:val="001F2135"/>
    <w:rsid w:val="001F4D71"/>
    <w:rsid w:val="001F7B75"/>
    <w:rsid w:val="00200CE0"/>
    <w:rsid w:val="002016FC"/>
    <w:rsid w:val="00211950"/>
    <w:rsid w:val="00211C67"/>
    <w:rsid w:val="00217989"/>
    <w:rsid w:val="002211F9"/>
    <w:rsid w:val="002219D3"/>
    <w:rsid w:val="00223F44"/>
    <w:rsid w:val="00224DCE"/>
    <w:rsid w:val="00231CBE"/>
    <w:rsid w:val="00234551"/>
    <w:rsid w:val="002403BE"/>
    <w:rsid w:val="00240B36"/>
    <w:rsid w:val="00241DC5"/>
    <w:rsid w:val="00244238"/>
    <w:rsid w:val="00244A57"/>
    <w:rsid w:val="002466D6"/>
    <w:rsid w:val="00247063"/>
    <w:rsid w:val="00250A51"/>
    <w:rsid w:val="00255C32"/>
    <w:rsid w:val="0025713D"/>
    <w:rsid w:val="002576FE"/>
    <w:rsid w:val="00262D5A"/>
    <w:rsid w:val="0027049C"/>
    <w:rsid w:val="0027568B"/>
    <w:rsid w:val="00277DFC"/>
    <w:rsid w:val="00280C3B"/>
    <w:rsid w:val="002815C0"/>
    <w:rsid w:val="0028345C"/>
    <w:rsid w:val="00284BBF"/>
    <w:rsid w:val="002900E8"/>
    <w:rsid w:val="00290B46"/>
    <w:rsid w:val="00291F5C"/>
    <w:rsid w:val="00293726"/>
    <w:rsid w:val="00295CF1"/>
    <w:rsid w:val="002A0370"/>
    <w:rsid w:val="002A0AE4"/>
    <w:rsid w:val="002A2562"/>
    <w:rsid w:val="002A5F60"/>
    <w:rsid w:val="002A6A82"/>
    <w:rsid w:val="002B2321"/>
    <w:rsid w:val="002B5A6E"/>
    <w:rsid w:val="002B6266"/>
    <w:rsid w:val="002B78A5"/>
    <w:rsid w:val="002B7E29"/>
    <w:rsid w:val="002C00D6"/>
    <w:rsid w:val="002C0CC8"/>
    <w:rsid w:val="002C2721"/>
    <w:rsid w:val="002C2C92"/>
    <w:rsid w:val="002D1DA4"/>
    <w:rsid w:val="002D1F0D"/>
    <w:rsid w:val="002D24C5"/>
    <w:rsid w:val="002D290F"/>
    <w:rsid w:val="002D2DE6"/>
    <w:rsid w:val="002D4F48"/>
    <w:rsid w:val="002D61E3"/>
    <w:rsid w:val="002E1DE9"/>
    <w:rsid w:val="002E4FFC"/>
    <w:rsid w:val="00300A90"/>
    <w:rsid w:val="00304E76"/>
    <w:rsid w:val="0030595B"/>
    <w:rsid w:val="003070D5"/>
    <w:rsid w:val="00307134"/>
    <w:rsid w:val="0031102C"/>
    <w:rsid w:val="00311601"/>
    <w:rsid w:val="00313FA5"/>
    <w:rsid w:val="00315296"/>
    <w:rsid w:val="00317724"/>
    <w:rsid w:val="00317947"/>
    <w:rsid w:val="00317CDF"/>
    <w:rsid w:val="0032107A"/>
    <w:rsid w:val="00325DBA"/>
    <w:rsid w:val="0033034D"/>
    <w:rsid w:val="00334D86"/>
    <w:rsid w:val="003373AF"/>
    <w:rsid w:val="00345E13"/>
    <w:rsid w:val="00352FC8"/>
    <w:rsid w:val="00353DDC"/>
    <w:rsid w:val="00355691"/>
    <w:rsid w:val="0035749A"/>
    <w:rsid w:val="00385621"/>
    <w:rsid w:val="0039053D"/>
    <w:rsid w:val="003906E1"/>
    <w:rsid w:val="00391976"/>
    <w:rsid w:val="00392404"/>
    <w:rsid w:val="00392457"/>
    <w:rsid w:val="00392500"/>
    <w:rsid w:val="003930A9"/>
    <w:rsid w:val="00397BC0"/>
    <w:rsid w:val="00397DB7"/>
    <w:rsid w:val="003A3A82"/>
    <w:rsid w:val="003B2075"/>
    <w:rsid w:val="003B53F2"/>
    <w:rsid w:val="003C1C8D"/>
    <w:rsid w:val="003C1D37"/>
    <w:rsid w:val="003C26BD"/>
    <w:rsid w:val="003C5E1F"/>
    <w:rsid w:val="003D0B61"/>
    <w:rsid w:val="003D0C54"/>
    <w:rsid w:val="003E2708"/>
    <w:rsid w:val="003E40D1"/>
    <w:rsid w:val="003E4823"/>
    <w:rsid w:val="003F42C5"/>
    <w:rsid w:val="003F5501"/>
    <w:rsid w:val="003F749A"/>
    <w:rsid w:val="00402028"/>
    <w:rsid w:val="004054B5"/>
    <w:rsid w:val="00406397"/>
    <w:rsid w:val="00407A68"/>
    <w:rsid w:val="00407FDB"/>
    <w:rsid w:val="00411F6F"/>
    <w:rsid w:val="00414F6A"/>
    <w:rsid w:val="00416CCF"/>
    <w:rsid w:val="00417951"/>
    <w:rsid w:val="00417AD3"/>
    <w:rsid w:val="00421489"/>
    <w:rsid w:val="00422801"/>
    <w:rsid w:val="00426F9B"/>
    <w:rsid w:val="004276BD"/>
    <w:rsid w:val="00432B30"/>
    <w:rsid w:val="004341B1"/>
    <w:rsid w:val="00435E4C"/>
    <w:rsid w:val="00436AB6"/>
    <w:rsid w:val="00440942"/>
    <w:rsid w:val="00441ABB"/>
    <w:rsid w:val="004432D5"/>
    <w:rsid w:val="00443CD9"/>
    <w:rsid w:val="00451456"/>
    <w:rsid w:val="004528CE"/>
    <w:rsid w:val="00453A09"/>
    <w:rsid w:val="00454963"/>
    <w:rsid w:val="004662DB"/>
    <w:rsid w:val="00466BD3"/>
    <w:rsid w:val="004674FD"/>
    <w:rsid w:val="00467A44"/>
    <w:rsid w:val="00470BAD"/>
    <w:rsid w:val="00472F6C"/>
    <w:rsid w:val="0047398A"/>
    <w:rsid w:val="00482CEB"/>
    <w:rsid w:val="004858C6"/>
    <w:rsid w:val="00486D77"/>
    <w:rsid w:val="004A0472"/>
    <w:rsid w:val="004A1C58"/>
    <w:rsid w:val="004A3462"/>
    <w:rsid w:val="004A3F14"/>
    <w:rsid w:val="004A7064"/>
    <w:rsid w:val="004A77FE"/>
    <w:rsid w:val="004B0FB0"/>
    <w:rsid w:val="004B6DE0"/>
    <w:rsid w:val="004C026E"/>
    <w:rsid w:val="004C1962"/>
    <w:rsid w:val="004C2663"/>
    <w:rsid w:val="004C4489"/>
    <w:rsid w:val="004C45FC"/>
    <w:rsid w:val="004D51D4"/>
    <w:rsid w:val="004D6647"/>
    <w:rsid w:val="004D6D5C"/>
    <w:rsid w:val="004E1807"/>
    <w:rsid w:val="004E6966"/>
    <w:rsid w:val="004E6B82"/>
    <w:rsid w:val="004E7318"/>
    <w:rsid w:val="004F3266"/>
    <w:rsid w:val="004F5D7C"/>
    <w:rsid w:val="004F6D5E"/>
    <w:rsid w:val="0050043B"/>
    <w:rsid w:val="005033EB"/>
    <w:rsid w:val="00511A12"/>
    <w:rsid w:val="00512770"/>
    <w:rsid w:val="005211AE"/>
    <w:rsid w:val="0052219D"/>
    <w:rsid w:val="00522FAE"/>
    <w:rsid w:val="00523C41"/>
    <w:rsid w:val="00524BB9"/>
    <w:rsid w:val="00524C6F"/>
    <w:rsid w:val="005263FF"/>
    <w:rsid w:val="0052788F"/>
    <w:rsid w:val="0053267F"/>
    <w:rsid w:val="00533A63"/>
    <w:rsid w:val="005406B2"/>
    <w:rsid w:val="00543E7F"/>
    <w:rsid w:val="00545DE7"/>
    <w:rsid w:val="00546293"/>
    <w:rsid w:val="00546E54"/>
    <w:rsid w:val="00554318"/>
    <w:rsid w:val="005572CA"/>
    <w:rsid w:val="00562245"/>
    <w:rsid w:val="005710B5"/>
    <w:rsid w:val="00571D71"/>
    <w:rsid w:val="00572301"/>
    <w:rsid w:val="0057694C"/>
    <w:rsid w:val="005820FF"/>
    <w:rsid w:val="00585572"/>
    <w:rsid w:val="00585A32"/>
    <w:rsid w:val="00586057"/>
    <w:rsid w:val="005901C7"/>
    <w:rsid w:val="00590443"/>
    <w:rsid w:val="00592A22"/>
    <w:rsid w:val="005938BF"/>
    <w:rsid w:val="00597551"/>
    <w:rsid w:val="00597C74"/>
    <w:rsid w:val="005A2749"/>
    <w:rsid w:val="005A2D94"/>
    <w:rsid w:val="005A6C75"/>
    <w:rsid w:val="005A7AAB"/>
    <w:rsid w:val="005B3C86"/>
    <w:rsid w:val="005B4664"/>
    <w:rsid w:val="005B5177"/>
    <w:rsid w:val="005B7FE1"/>
    <w:rsid w:val="005C275B"/>
    <w:rsid w:val="005C425F"/>
    <w:rsid w:val="005D1ACE"/>
    <w:rsid w:val="005D5A57"/>
    <w:rsid w:val="005E5DBE"/>
    <w:rsid w:val="005E7248"/>
    <w:rsid w:val="005E7605"/>
    <w:rsid w:val="005F460B"/>
    <w:rsid w:val="0060064E"/>
    <w:rsid w:val="006013F5"/>
    <w:rsid w:val="00602A6A"/>
    <w:rsid w:val="00610480"/>
    <w:rsid w:val="00610EF8"/>
    <w:rsid w:val="006117E1"/>
    <w:rsid w:val="006145FD"/>
    <w:rsid w:val="00620CBA"/>
    <w:rsid w:val="00622F14"/>
    <w:rsid w:val="00624A39"/>
    <w:rsid w:val="006270DE"/>
    <w:rsid w:val="00627D03"/>
    <w:rsid w:val="00631B5D"/>
    <w:rsid w:val="00631EC9"/>
    <w:rsid w:val="00635C5E"/>
    <w:rsid w:val="00637B92"/>
    <w:rsid w:val="00641E86"/>
    <w:rsid w:val="00644574"/>
    <w:rsid w:val="00644D8D"/>
    <w:rsid w:val="00647DA0"/>
    <w:rsid w:val="00652AC5"/>
    <w:rsid w:val="006570A7"/>
    <w:rsid w:val="006714BD"/>
    <w:rsid w:val="00671BA8"/>
    <w:rsid w:val="006749FE"/>
    <w:rsid w:val="00682838"/>
    <w:rsid w:val="00683423"/>
    <w:rsid w:val="00684DF6"/>
    <w:rsid w:val="00690060"/>
    <w:rsid w:val="006923FF"/>
    <w:rsid w:val="006955A6"/>
    <w:rsid w:val="006968E0"/>
    <w:rsid w:val="006A03C1"/>
    <w:rsid w:val="006A2D6E"/>
    <w:rsid w:val="006A3821"/>
    <w:rsid w:val="006B1312"/>
    <w:rsid w:val="006B2228"/>
    <w:rsid w:val="006B2E61"/>
    <w:rsid w:val="006B3743"/>
    <w:rsid w:val="006B4DB9"/>
    <w:rsid w:val="006B5944"/>
    <w:rsid w:val="006B5AA7"/>
    <w:rsid w:val="006B600E"/>
    <w:rsid w:val="006B7BFD"/>
    <w:rsid w:val="006C0AF5"/>
    <w:rsid w:val="006C1562"/>
    <w:rsid w:val="006C2566"/>
    <w:rsid w:val="006C2EC0"/>
    <w:rsid w:val="006C3833"/>
    <w:rsid w:val="006D2141"/>
    <w:rsid w:val="006D37F7"/>
    <w:rsid w:val="006D76AC"/>
    <w:rsid w:val="006E4F46"/>
    <w:rsid w:val="006E55BB"/>
    <w:rsid w:val="006F698E"/>
    <w:rsid w:val="006F707C"/>
    <w:rsid w:val="007003EF"/>
    <w:rsid w:val="007056B4"/>
    <w:rsid w:val="00706FAD"/>
    <w:rsid w:val="0070760C"/>
    <w:rsid w:val="00707C36"/>
    <w:rsid w:val="007119E1"/>
    <w:rsid w:val="00712011"/>
    <w:rsid w:val="00717168"/>
    <w:rsid w:val="00724DE8"/>
    <w:rsid w:val="0072507D"/>
    <w:rsid w:val="00727D62"/>
    <w:rsid w:val="007320F2"/>
    <w:rsid w:val="00734573"/>
    <w:rsid w:val="007371C9"/>
    <w:rsid w:val="00741575"/>
    <w:rsid w:val="00744778"/>
    <w:rsid w:val="007551F2"/>
    <w:rsid w:val="007560BF"/>
    <w:rsid w:val="007570B8"/>
    <w:rsid w:val="0075738A"/>
    <w:rsid w:val="00763F03"/>
    <w:rsid w:val="007640B9"/>
    <w:rsid w:val="0076451B"/>
    <w:rsid w:val="007662CB"/>
    <w:rsid w:val="00767EF6"/>
    <w:rsid w:val="00775CA0"/>
    <w:rsid w:val="00776224"/>
    <w:rsid w:val="00777AFA"/>
    <w:rsid w:val="00781BCC"/>
    <w:rsid w:val="007832FD"/>
    <w:rsid w:val="007873E2"/>
    <w:rsid w:val="00791E93"/>
    <w:rsid w:val="00791F3D"/>
    <w:rsid w:val="00795517"/>
    <w:rsid w:val="00795FEB"/>
    <w:rsid w:val="0079643E"/>
    <w:rsid w:val="007969ED"/>
    <w:rsid w:val="007A0835"/>
    <w:rsid w:val="007A1EEF"/>
    <w:rsid w:val="007A5BE8"/>
    <w:rsid w:val="007A5E2D"/>
    <w:rsid w:val="007A7CA1"/>
    <w:rsid w:val="007B03A0"/>
    <w:rsid w:val="007B1BFA"/>
    <w:rsid w:val="007B2087"/>
    <w:rsid w:val="007C7353"/>
    <w:rsid w:val="007D1472"/>
    <w:rsid w:val="007D2BA7"/>
    <w:rsid w:val="007D53F6"/>
    <w:rsid w:val="007D65ED"/>
    <w:rsid w:val="007D7FFB"/>
    <w:rsid w:val="007E3474"/>
    <w:rsid w:val="007E41B3"/>
    <w:rsid w:val="007E5483"/>
    <w:rsid w:val="007E7062"/>
    <w:rsid w:val="007F407A"/>
    <w:rsid w:val="008010C3"/>
    <w:rsid w:val="00802B1F"/>
    <w:rsid w:val="00805157"/>
    <w:rsid w:val="008051B8"/>
    <w:rsid w:val="0080650D"/>
    <w:rsid w:val="00810CBA"/>
    <w:rsid w:val="00811B32"/>
    <w:rsid w:val="00813EA6"/>
    <w:rsid w:val="0082334B"/>
    <w:rsid w:val="00824E39"/>
    <w:rsid w:val="008264CA"/>
    <w:rsid w:val="008264D4"/>
    <w:rsid w:val="00827729"/>
    <w:rsid w:val="00831BDB"/>
    <w:rsid w:val="00832E0C"/>
    <w:rsid w:val="00836E09"/>
    <w:rsid w:val="00837F32"/>
    <w:rsid w:val="008446DD"/>
    <w:rsid w:val="00844B23"/>
    <w:rsid w:val="008461C1"/>
    <w:rsid w:val="0084720D"/>
    <w:rsid w:val="00850196"/>
    <w:rsid w:val="008579B6"/>
    <w:rsid w:val="00862350"/>
    <w:rsid w:val="008651A2"/>
    <w:rsid w:val="00870392"/>
    <w:rsid w:val="0087334B"/>
    <w:rsid w:val="00873EBD"/>
    <w:rsid w:val="008743CB"/>
    <w:rsid w:val="00876369"/>
    <w:rsid w:val="008770C8"/>
    <w:rsid w:val="008803A1"/>
    <w:rsid w:val="00880968"/>
    <w:rsid w:val="00882748"/>
    <w:rsid w:val="00887DAD"/>
    <w:rsid w:val="00887F40"/>
    <w:rsid w:val="00891D81"/>
    <w:rsid w:val="00891F85"/>
    <w:rsid w:val="00894B5E"/>
    <w:rsid w:val="008A2071"/>
    <w:rsid w:val="008A31A5"/>
    <w:rsid w:val="008A32FE"/>
    <w:rsid w:val="008A4D96"/>
    <w:rsid w:val="008A7A69"/>
    <w:rsid w:val="008B4347"/>
    <w:rsid w:val="008B4D02"/>
    <w:rsid w:val="008B5295"/>
    <w:rsid w:val="008C16DC"/>
    <w:rsid w:val="008C17A4"/>
    <w:rsid w:val="008C32B9"/>
    <w:rsid w:val="008C63C4"/>
    <w:rsid w:val="008C75E0"/>
    <w:rsid w:val="008D4234"/>
    <w:rsid w:val="008D46D6"/>
    <w:rsid w:val="008D60AA"/>
    <w:rsid w:val="008E094A"/>
    <w:rsid w:val="008E3324"/>
    <w:rsid w:val="008E3945"/>
    <w:rsid w:val="008F229F"/>
    <w:rsid w:val="008F559A"/>
    <w:rsid w:val="00901550"/>
    <w:rsid w:val="0090198D"/>
    <w:rsid w:val="00901A1F"/>
    <w:rsid w:val="009108C4"/>
    <w:rsid w:val="0092080F"/>
    <w:rsid w:val="00923471"/>
    <w:rsid w:val="009261BF"/>
    <w:rsid w:val="00926599"/>
    <w:rsid w:val="00927508"/>
    <w:rsid w:val="00930B09"/>
    <w:rsid w:val="009324A6"/>
    <w:rsid w:val="00936F8C"/>
    <w:rsid w:val="00940355"/>
    <w:rsid w:val="009405BC"/>
    <w:rsid w:val="0094060E"/>
    <w:rsid w:val="009439D6"/>
    <w:rsid w:val="00944F7A"/>
    <w:rsid w:val="00945779"/>
    <w:rsid w:val="009468D9"/>
    <w:rsid w:val="009524D8"/>
    <w:rsid w:val="00957E7A"/>
    <w:rsid w:val="009606DC"/>
    <w:rsid w:val="00960B67"/>
    <w:rsid w:val="00962902"/>
    <w:rsid w:val="009636CD"/>
    <w:rsid w:val="00965EF6"/>
    <w:rsid w:val="00967022"/>
    <w:rsid w:val="009675A2"/>
    <w:rsid w:val="0097195A"/>
    <w:rsid w:val="00971F9A"/>
    <w:rsid w:val="00973A7F"/>
    <w:rsid w:val="00974C2F"/>
    <w:rsid w:val="00981036"/>
    <w:rsid w:val="00982039"/>
    <w:rsid w:val="00982D6C"/>
    <w:rsid w:val="0098520E"/>
    <w:rsid w:val="00987E04"/>
    <w:rsid w:val="009937E5"/>
    <w:rsid w:val="00995F11"/>
    <w:rsid w:val="009968DB"/>
    <w:rsid w:val="009A5DED"/>
    <w:rsid w:val="009A6A11"/>
    <w:rsid w:val="009B0EA3"/>
    <w:rsid w:val="009B358F"/>
    <w:rsid w:val="009B5957"/>
    <w:rsid w:val="009B62D9"/>
    <w:rsid w:val="009B65C1"/>
    <w:rsid w:val="009C2A12"/>
    <w:rsid w:val="009C3436"/>
    <w:rsid w:val="009C394B"/>
    <w:rsid w:val="009C3C49"/>
    <w:rsid w:val="009C47CE"/>
    <w:rsid w:val="009C6D0D"/>
    <w:rsid w:val="009C7E42"/>
    <w:rsid w:val="009D1EC1"/>
    <w:rsid w:val="009D2154"/>
    <w:rsid w:val="009D22B0"/>
    <w:rsid w:val="009D4B4E"/>
    <w:rsid w:val="009D610C"/>
    <w:rsid w:val="009D6A39"/>
    <w:rsid w:val="009D790A"/>
    <w:rsid w:val="009E199D"/>
    <w:rsid w:val="009E5121"/>
    <w:rsid w:val="009E68C1"/>
    <w:rsid w:val="009E6D40"/>
    <w:rsid w:val="009F2391"/>
    <w:rsid w:val="009F26AE"/>
    <w:rsid w:val="009F3562"/>
    <w:rsid w:val="009F4F70"/>
    <w:rsid w:val="009F54D4"/>
    <w:rsid w:val="00A0365E"/>
    <w:rsid w:val="00A03AF5"/>
    <w:rsid w:val="00A03E18"/>
    <w:rsid w:val="00A04C5E"/>
    <w:rsid w:val="00A0561F"/>
    <w:rsid w:val="00A058AB"/>
    <w:rsid w:val="00A16045"/>
    <w:rsid w:val="00A16E2C"/>
    <w:rsid w:val="00A208D5"/>
    <w:rsid w:val="00A214B5"/>
    <w:rsid w:val="00A327A6"/>
    <w:rsid w:val="00A35982"/>
    <w:rsid w:val="00A35BB7"/>
    <w:rsid w:val="00A35F9D"/>
    <w:rsid w:val="00A366FE"/>
    <w:rsid w:val="00A40DB2"/>
    <w:rsid w:val="00A437E1"/>
    <w:rsid w:val="00A45911"/>
    <w:rsid w:val="00A51451"/>
    <w:rsid w:val="00A53D00"/>
    <w:rsid w:val="00A54371"/>
    <w:rsid w:val="00A55DEF"/>
    <w:rsid w:val="00A567C0"/>
    <w:rsid w:val="00A650A4"/>
    <w:rsid w:val="00A6527E"/>
    <w:rsid w:val="00A66FEF"/>
    <w:rsid w:val="00A74DB2"/>
    <w:rsid w:val="00A82039"/>
    <w:rsid w:val="00A84A85"/>
    <w:rsid w:val="00A8765C"/>
    <w:rsid w:val="00AA0ECE"/>
    <w:rsid w:val="00AA4BE6"/>
    <w:rsid w:val="00AA5DA1"/>
    <w:rsid w:val="00AB013F"/>
    <w:rsid w:val="00AB2B7B"/>
    <w:rsid w:val="00AB3952"/>
    <w:rsid w:val="00AB701D"/>
    <w:rsid w:val="00AC1516"/>
    <w:rsid w:val="00AC20ED"/>
    <w:rsid w:val="00AC3B8D"/>
    <w:rsid w:val="00AC47FC"/>
    <w:rsid w:val="00AC6036"/>
    <w:rsid w:val="00AD1C9F"/>
    <w:rsid w:val="00AD6BC9"/>
    <w:rsid w:val="00AF200F"/>
    <w:rsid w:val="00AF5786"/>
    <w:rsid w:val="00AF7F87"/>
    <w:rsid w:val="00B00C90"/>
    <w:rsid w:val="00B03F92"/>
    <w:rsid w:val="00B0643F"/>
    <w:rsid w:val="00B10652"/>
    <w:rsid w:val="00B2164A"/>
    <w:rsid w:val="00B257BC"/>
    <w:rsid w:val="00B27536"/>
    <w:rsid w:val="00B34619"/>
    <w:rsid w:val="00B40290"/>
    <w:rsid w:val="00B42F22"/>
    <w:rsid w:val="00B4395D"/>
    <w:rsid w:val="00B4531D"/>
    <w:rsid w:val="00B532D1"/>
    <w:rsid w:val="00B55320"/>
    <w:rsid w:val="00B55F42"/>
    <w:rsid w:val="00B569CD"/>
    <w:rsid w:val="00B61DE2"/>
    <w:rsid w:val="00B679AF"/>
    <w:rsid w:val="00B772D7"/>
    <w:rsid w:val="00B80C79"/>
    <w:rsid w:val="00B80D34"/>
    <w:rsid w:val="00B815A3"/>
    <w:rsid w:val="00B83F5F"/>
    <w:rsid w:val="00B84764"/>
    <w:rsid w:val="00B867D3"/>
    <w:rsid w:val="00B87840"/>
    <w:rsid w:val="00B87A3C"/>
    <w:rsid w:val="00BA44A0"/>
    <w:rsid w:val="00BA73F3"/>
    <w:rsid w:val="00BB58FE"/>
    <w:rsid w:val="00BB603F"/>
    <w:rsid w:val="00BC060D"/>
    <w:rsid w:val="00BC1A64"/>
    <w:rsid w:val="00BC50AD"/>
    <w:rsid w:val="00BC7B90"/>
    <w:rsid w:val="00BD09EC"/>
    <w:rsid w:val="00BE2571"/>
    <w:rsid w:val="00BE3CB1"/>
    <w:rsid w:val="00BE70A9"/>
    <w:rsid w:val="00BF10AB"/>
    <w:rsid w:val="00BF605C"/>
    <w:rsid w:val="00BF7915"/>
    <w:rsid w:val="00BF7FB7"/>
    <w:rsid w:val="00C026C7"/>
    <w:rsid w:val="00C03FE9"/>
    <w:rsid w:val="00C060FE"/>
    <w:rsid w:val="00C06BD6"/>
    <w:rsid w:val="00C14A2E"/>
    <w:rsid w:val="00C17D6D"/>
    <w:rsid w:val="00C20D05"/>
    <w:rsid w:val="00C26BC9"/>
    <w:rsid w:val="00C339BE"/>
    <w:rsid w:val="00C3656B"/>
    <w:rsid w:val="00C4329B"/>
    <w:rsid w:val="00C4711A"/>
    <w:rsid w:val="00C47CDB"/>
    <w:rsid w:val="00C54EED"/>
    <w:rsid w:val="00C55EF7"/>
    <w:rsid w:val="00C57510"/>
    <w:rsid w:val="00C60AA9"/>
    <w:rsid w:val="00C64A23"/>
    <w:rsid w:val="00C65917"/>
    <w:rsid w:val="00C65B71"/>
    <w:rsid w:val="00C703B4"/>
    <w:rsid w:val="00C70433"/>
    <w:rsid w:val="00C749C1"/>
    <w:rsid w:val="00C77299"/>
    <w:rsid w:val="00C7739E"/>
    <w:rsid w:val="00C8144B"/>
    <w:rsid w:val="00C8162E"/>
    <w:rsid w:val="00C84277"/>
    <w:rsid w:val="00C847C0"/>
    <w:rsid w:val="00C85F64"/>
    <w:rsid w:val="00C87379"/>
    <w:rsid w:val="00C90455"/>
    <w:rsid w:val="00C9597D"/>
    <w:rsid w:val="00CA006E"/>
    <w:rsid w:val="00CA05F6"/>
    <w:rsid w:val="00CA15B5"/>
    <w:rsid w:val="00CA1CEF"/>
    <w:rsid w:val="00CA3C9B"/>
    <w:rsid w:val="00CA4D7F"/>
    <w:rsid w:val="00CA5CF5"/>
    <w:rsid w:val="00CB077B"/>
    <w:rsid w:val="00CC0BC1"/>
    <w:rsid w:val="00CC10EB"/>
    <w:rsid w:val="00CC497B"/>
    <w:rsid w:val="00CD2ED4"/>
    <w:rsid w:val="00CD510F"/>
    <w:rsid w:val="00CD5B60"/>
    <w:rsid w:val="00CD72AA"/>
    <w:rsid w:val="00CE1D1D"/>
    <w:rsid w:val="00CE3999"/>
    <w:rsid w:val="00CE595A"/>
    <w:rsid w:val="00CE658C"/>
    <w:rsid w:val="00CF634A"/>
    <w:rsid w:val="00D01067"/>
    <w:rsid w:val="00D017E6"/>
    <w:rsid w:val="00D04D0C"/>
    <w:rsid w:val="00D1577F"/>
    <w:rsid w:val="00D2049F"/>
    <w:rsid w:val="00D20B31"/>
    <w:rsid w:val="00D27BD0"/>
    <w:rsid w:val="00D27F60"/>
    <w:rsid w:val="00D31BD0"/>
    <w:rsid w:val="00D45AAE"/>
    <w:rsid w:val="00D52A2B"/>
    <w:rsid w:val="00D539BA"/>
    <w:rsid w:val="00D5502C"/>
    <w:rsid w:val="00D55EFD"/>
    <w:rsid w:val="00D57E25"/>
    <w:rsid w:val="00D60DE1"/>
    <w:rsid w:val="00D636C9"/>
    <w:rsid w:val="00D758E2"/>
    <w:rsid w:val="00D81956"/>
    <w:rsid w:val="00D8200B"/>
    <w:rsid w:val="00D90E4D"/>
    <w:rsid w:val="00D913F3"/>
    <w:rsid w:val="00D946E4"/>
    <w:rsid w:val="00D94E0A"/>
    <w:rsid w:val="00DA0A0D"/>
    <w:rsid w:val="00DA0A52"/>
    <w:rsid w:val="00DA0BBF"/>
    <w:rsid w:val="00DB1128"/>
    <w:rsid w:val="00DB33CF"/>
    <w:rsid w:val="00DB7E5C"/>
    <w:rsid w:val="00DC2397"/>
    <w:rsid w:val="00DC25A7"/>
    <w:rsid w:val="00DC26EC"/>
    <w:rsid w:val="00DC2714"/>
    <w:rsid w:val="00DC2BDA"/>
    <w:rsid w:val="00DC38B9"/>
    <w:rsid w:val="00DC5558"/>
    <w:rsid w:val="00DC56A6"/>
    <w:rsid w:val="00DC7832"/>
    <w:rsid w:val="00DD6AF8"/>
    <w:rsid w:val="00DD6F37"/>
    <w:rsid w:val="00DE2179"/>
    <w:rsid w:val="00DE34F7"/>
    <w:rsid w:val="00DE39B3"/>
    <w:rsid w:val="00DE4EC1"/>
    <w:rsid w:val="00DE4EE2"/>
    <w:rsid w:val="00DE6935"/>
    <w:rsid w:val="00DF20BC"/>
    <w:rsid w:val="00E00668"/>
    <w:rsid w:val="00E036DB"/>
    <w:rsid w:val="00E03CDC"/>
    <w:rsid w:val="00E14AC9"/>
    <w:rsid w:val="00E155D1"/>
    <w:rsid w:val="00E21B44"/>
    <w:rsid w:val="00E22BD6"/>
    <w:rsid w:val="00E22F0A"/>
    <w:rsid w:val="00E23131"/>
    <w:rsid w:val="00E234A4"/>
    <w:rsid w:val="00E2543F"/>
    <w:rsid w:val="00E26E61"/>
    <w:rsid w:val="00E314A0"/>
    <w:rsid w:val="00E317F6"/>
    <w:rsid w:val="00E33C3D"/>
    <w:rsid w:val="00E35880"/>
    <w:rsid w:val="00E35AF8"/>
    <w:rsid w:val="00E36994"/>
    <w:rsid w:val="00E41AA4"/>
    <w:rsid w:val="00E42AAE"/>
    <w:rsid w:val="00E51948"/>
    <w:rsid w:val="00E52A06"/>
    <w:rsid w:val="00E628A8"/>
    <w:rsid w:val="00E667E6"/>
    <w:rsid w:val="00E772D5"/>
    <w:rsid w:val="00E80195"/>
    <w:rsid w:val="00E81466"/>
    <w:rsid w:val="00E83E34"/>
    <w:rsid w:val="00E850A7"/>
    <w:rsid w:val="00E93689"/>
    <w:rsid w:val="00E9401D"/>
    <w:rsid w:val="00E95361"/>
    <w:rsid w:val="00E962B5"/>
    <w:rsid w:val="00E975D3"/>
    <w:rsid w:val="00EA03A8"/>
    <w:rsid w:val="00EA1207"/>
    <w:rsid w:val="00EA55B7"/>
    <w:rsid w:val="00EB5A9A"/>
    <w:rsid w:val="00EB7761"/>
    <w:rsid w:val="00EC2DB4"/>
    <w:rsid w:val="00EC5FFA"/>
    <w:rsid w:val="00ED37FC"/>
    <w:rsid w:val="00ED5E8F"/>
    <w:rsid w:val="00EE096F"/>
    <w:rsid w:val="00EE2D09"/>
    <w:rsid w:val="00EE428D"/>
    <w:rsid w:val="00EE7908"/>
    <w:rsid w:val="00EF1CB7"/>
    <w:rsid w:val="00EF213B"/>
    <w:rsid w:val="00EF62E7"/>
    <w:rsid w:val="00F01E7C"/>
    <w:rsid w:val="00F03FA5"/>
    <w:rsid w:val="00F13E0C"/>
    <w:rsid w:val="00F13F45"/>
    <w:rsid w:val="00F140BC"/>
    <w:rsid w:val="00F15068"/>
    <w:rsid w:val="00F1520F"/>
    <w:rsid w:val="00F16DE2"/>
    <w:rsid w:val="00F176E8"/>
    <w:rsid w:val="00F230D9"/>
    <w:rsid w:val="00F2456B"/>
    <w:rsid w:val="00F2697A"/>
    <w:rsid w:val="00F301FD"/>
    <w:rsid w:val="00F30EF6"/>
    <w:rsid w:val="00F32634"/>
    <w:rsid w:val="00F335C3"/>
    <w:rsid w:val="00F41850"/>
    <w:rsid w:val="00F44560"/>
    <w:rsid w:val="00F45DB3"/>
    <w:rsid w:val="00F50D57"/>
    <w:rsid w:val="00F51A0F"/>
    <w:rsid w:val="00F540C9"/>
    <w:rsid w:val="00F60279"/>
    <w:rsid w:val="00F6108B"/>
    <w:rsid w:val="00F6463B"/>
    <w:rsid w:val="00F70385"/>
    <w:rsid w:val="00F75DA2"/>
    <w:rsid w:val="00F824EA"/>
    <w:rsid w:val="00F83DBE"/>
    <w:rsid w:val="00F91A52"/>
    <w:rsid w:val="00F94E35"/>
    <w:rsid w:val="00FA13CC"/>
    <w:rsid w:val="00FA2859"/>
    <w:rsid w:val="00FA425C"/>
    <w:rsid w:val="00FA4F64"/>
    <w:rsid w:val="00FA59D0"/>
    <w:rsid w:val="00FA60E3"/>
    <w:rsid w:val="00FB165A"/>
    <w:rsid w:val="00FB169C"/>
    <w:rsid w:val="00FB5C13"/>
    <w:rsid w:val="00FC00FC"/>
    <w:rsid w:val="00FD1B99"/>
    <w:rsid w:val="00FD1FE5"/>
    <w:rsid w:val="00FD2138"/>
    <w:rsid w:val="00FE2B31"/>
    <w:rsid w:val="00FE3000"/>
    <w:rsid w:val="00FE345F"/>
    <w:rsid w:val="00FE3D72"/>
    <w:rsid w:val="00FF4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D50DF"/>
  <w15:docId w15:val="{EC5F8C4C-9607-48C8-BAF5-0596D0AF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3F5"/>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rsid w:val="0097195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644D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aliases w:val="Char,5_G,Footnote Text Char Char,Footnote Text Char1 Char Char,Footnote Text Char Char Char Char,Footnote Text Char1 Char Char1 Char Char,Footnote Text Char Char Char Char1 Char Char,ft Char Char Char Char Char Char,Footnote Text Cha, Char"/>
    <w:basedOn w:val="Normal"/>
    <w:link w:val="FootnoteTextChar"/>
    <w:unhideWhenUsed/>
    <w:qFormat/>
    <w:rsid w:val="00280C3B"/>
    <w:rPr>
      <w:rFonts w:asciiTheme="minorHAnsi" w:eastAsiaTheme="minorEastAsia" w:hAnsiTheme="minorHAnsi" w:cstheme="minorBidi"/>
      <w:sz w:val="24"/>
      <w:szCs w:val="24"/>
      <w:lang w:val="en-US"/>
    </w:rPr>
  </w:style>
  <w:style w:type="character" w:customStyle="1" w:styleId="FootnoteTextChar">
    <w:name w:val="Footnote Text Char"/>
    <w:aliases w:val="Char Char,5_G Char,Footnote Text Char Char Char,Footnote Text Char1 Char Char Char,Footnote Text Char Char Char Char Char,Footnote Text Char1 Char Char1 Char Char Char,Footnote Text Char Char Char Char1 Char Char Char, Char Char"/>
    <w:basedOn w:val="DefaultParagraphFont"/>
    <w:link w:val="FootnoteText"/>
    <w:rsid w:val="00280C3B"/>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link w:val="Char2"/>
    <w:uiPriority w:val="99"/>
    <w:unhideWhenUsed/>
    <w:qFormat/>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5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036"/>
    <w:pPr>
      <w:ind w:left="720"/>
      <w:contextualSpacing/>
    </w:pPr>
  </w:style>
  <w:style w:type="paragraph" w:customStyle="1" w:styleId="NICCYBodyText">
    <w:name w:val="NICCY Body Text"/>
    <w:basedOn w:val="BasicParagraph"/>
    <w:link w:val="NICCYBodyTextChar"/>
    <w:qFormat/>
    <w:rsid w:val="004C4489"/>
    <w:rPr>
      <w:rFonts w:ascii="Arial" w:hAnsi="Arial" w:cs="Arial"/>
      <w:color w:val="414042"/>
    </w:rPr>
  </w:style>
  <w:style w:type="paragraph" w:customStyle="1" w:styleId="NICCYSubtitle">
    <w:name w:val="NICCY Subtitle"/>
    <w:basedOn w:val="BasicParagraph"/>
    <w:link w:val="NICCYSubtitleChar"/>
    <w:qFormat/>
    <w:rsid w:val="004C4489"/>
    <w:rPr>
      <w:rFonts w:ascii="Arial" w:hAnsi="Arial" w:cs="Arial"/>
      <w:b/>
      <w:color w:val="ED1C24"/>
    </w:rPr>
  </w:style>
  <w:style w:type="character" w:customStyle="1" w:styleId="BasicParagraphChar">
    <w:name w:val="[Basic Paragraph] Char"/>
    <w:basedOn w:val="DefaultParagraphFont"/>
    <w:link w:val="BasicParagraph"/>
    <w:uiPriority w:val="99"/>
    <w:rsid w:val="004C4489"/>
    <w:rPr>
      <w:rFonts w:ascii="MinionPro-Regular" w:hAnsi="MinionPro-Regular" w:cs="MinionPro-Regular"/>
      <w:color w:val="000000"/>
      <w:lang w:val="en-GB"/>
    </w:rPr>
  </w:style>
  <w:style w:type="character" w:customStyle="1" w:styleId="NICCYBodyTextChar">
    <w:name w:val="NICCY Body Text Char"/>
    <w:basedOn w:val="BasicParagraphChar"/>
    <w:link w:val="NICCYBodyText"/>
    <w:rsid w:val="004C4489"/>
    <w:rPr>
      <w:rFonts w:ascii="MinionPro-Regular" w:hAnsi="MinionPro-Regular" w:cs="MinionPro-Regular"/>
      <w:color w:val="000000"/>
      <w:lang w:val="en-GB"/>
    </w:rPr>
  </w:style>
  <w:style w:type="paragraph" w:customStyle="1" w:styleId="NICCYSubline">
    <w:name w:val="NICCY Subline"/>
    <w:basedOn w:val="BasicParagraph"/>
    <w:link w:val="NICCYSublineChar"/>
    <w:qFormat/>
    <w:rsid w:val="004C4489"/>
    <w:rPr>
      <w:rFonts w:ascii="Arial" w:hAnsi="Arial" w:cs="Arial"/>
      <w:b/>
      <w:color w:val="ED1C24"/>
    </w:rPr>
  </w:style>
  <w:style w:type="character" w:customStyle="1" w:styleId="NICCYSubtitleChar">
    <w:name w:val="NICCY Subtitle Char"/>
    <w:basedOn w:val="BasicParagraphChar"/>
    <w:link w:val="NICCYSubtitle"/>
    <w:rsid w:val="004C4489"/>
    <w:rPr>
      <w:rFonts w:ascii="Arial" w:hAnsi="Arial" w:cs="Arial"/>
      <w:b/>
      <w:color w:val="ED1C24"/>
      <w:lang w:val="en-GB"/>
    </w:rPr>
  </w:style>
  <w:style w:type="paragraph" w:customStyle="1" w:styleId="NICCYHeading">
    <w:name w:val="NICCY Heading"/>
    <w:basedOn w:val="BasicParagraph"/>
    <w:link w:val="NICCYHeadingChar"/>
    <w:qFormat/>
    <w:rsid w:val="004C4489"/>
    <w:rPr>
      <w:rFonts w:ascii="Arial" w:hAnsi="Arial" w:cs="Arial"/>
      <w:b/>
      <w:color w:val="ED1C24"/>
      <w:sz w:val="36"/>
      <w:szCs w:val="36"/>
    </w:rPr>
  </w:style>
  <w:style w:type="character" w:customStyle="1" w:styleId="NICCYSublineChar">
    <w:name w:val="NICCY Subline Char"/>
    <w:basedOn w:val="BasicParagraphChar"/>
    <w:link w:val="NICCYSubline"/>
    <w:rsid w:val="004C4489"/>
    <w:rPr>
      <w:rFonts w:ascii="Arial" w:hAnsi="Arial" w:cs="Arial"/>
      <w:b/>
      <w:color w:val="ED1C24"/>
      <w:lang w:val="en-GB"/>
    </w:rPr>
  </w:style>
  <w:style w:type="paragraph" w:styleId="NoSpacing">
    <w:name w:val="No Spacing"/>
    <w:uiPriority w:val="1"/>
    <w:rsid w:val="004C4489"/>
    <w:rPr>
      <w:rFonts w:ascii="Times New Roman" w:eastAsia="Times New Roman" w:hAnsi="Times New Roman" w:cs="Times New Roman"/>
      <w:sz w:val="20"/>
      <w:szCs w:val="20"/>
      <w:lang w:val="en-GB"/>
    </w:rPr>
  </w:style>
  <w:style w:type="character" w:customStyle="1" w:styleId="NICCYHeadingChar">
    <w:name w:val="NICCY Heading Char"/>
    <w:basedOn w:val="BasicParagraphChar"/>
    <w:link w:val="NICCYHeading"/>
    <w:rsid w:val="004C4489"/>
    <w:rPr>
      <w:rFonts w:ascii="Arial" w:hAnsi="Arial" w:cs="Arial"/>
      <w:b/>
      <w:color w:val="ED1C24"/>
      <w:sz w:val="36"/>
      <w:szCs w:val="36"/>
      <w:lang w:val="en-GB"/>
    </w:rPr>
  </w:style>
  <w:style w:type="paragraph" w:customStyle="1" w:styleId="NICCYSubtitle0">
    <w:name w:val="NICCY Sub title"/>
    <w:basedOn w:val="BasicParagraph"/>
    <w:link w:val="NICCYSubtitleChar0"/>
    <w:qFormat/>
    <w:rsid w:val="009C3C49"/>
    <w:rPr>
      <w:rFonts w:ascii="Arial" w:hAnsi="Arial" w:cs="Arial"/>
      <w:b/>
      <w:color w:val="F57E20"/>
    </w:rPr>
  </w:style>
  <w:style w:type="character" w:customStyle="1" w:styleId="NICCYSubtitleChar0">
    <w:name w:val="NICCY Sub title Char"/>
    <w:basedOn w:val="BasicParagraphChar"/>
    <w:link w:val="NICCYSubtitle0"/>
    <w:rsid w:val="009C3C49"/>
    <w:rPr>
      <w:rFonts w:ascii="Arial" w:hAnsi="Arial" w:cs="Arial"/>
      <w:b/>
      <w:color w:val="F57E20"/>
      <w:lang w:val="en-GB"/>
    </w:rPr>
  </w:style>
  <w:style w:type="character" w:customStyle="1" w:styleId="Heading2Char">
    <w:name w:val="Heading 2 Char"/>
    <w:basedOn w:val="DefaultParagraphFont"/>
    <w:link w:val="Heading2"/>
    <w:uiPriority w:val="9"/>
    <w:semiHidden/>
    <w:rsid w:val="00644D8D"/>
    <w:rPr>
      <w:rFonts w:asciiTheme="majorHAnsi" w:eastAsiaTheme="majorEastAsia" w:hAnsiTheme="majorHAnsi" w:cstheme="majorBidi"/>
      <w:b/>
      <w:bCs/>
      <w:color w:val="4F81BD" w:themeColor="accent1"/>
      <w:sz w:val="26"/>
      <w:szCs w:val="26"/>
      <w:lang w:val="en-GB"/>
    </w:rPr>
  </w:style>
  <w:style w:type="paragraph" w:customStyle="1" w:styleId="Default">
    <w:name w:val="Default"/>
    <w:basedOn w:val="Normal"/>
    <w:rsid w:val="00026AEF"/>
    <w:pPr>
      <w:autoSpaceDE w:val="0"/>
      <w:autoSpaceDN w:val="0"/>
    </w:pPr>
    <w:rPr>
      <w:rFonts w:ascii="Arial" w:eastAsiaTheme="minorHAnsi" w:hAnsi="Arial" w:cs="Arial"/>
      <w:color w:val="000000"/>
      <w:sz w:val="24"/>
      <w:szCs w:val="24"/>
      <w:lang w:val="en-US"/>
    </w:rPr>
  </w:style>
  <w:style w:type="paragraph" w:customStyle="1" w:styleId="NICCYSubTitle1">
    <w:name w:val="NICCY Sub Title"/>
    <w:basedOn w:val="Normal"/>
    <w:link w:val="NICCYSubTitleChar1"/>
    <w:rsid w:val="00987E04"/>
    <w:pPr>
      <w:widowControl w:val="0"/>
      <w:autoSpaceDE w:val="0"/>
      <w:autoSpaceDN w:val="0"/>
      <w:adjustRightInd w:val="0"/>
      <w:spacing w:line="288" w:lineRule="auto"/>
      <w:textAlignment w:val="center"/>
    </w:pPr>
    <w:rPr>
      <w:rFonts w:ascii="Arial" w:eastAsiaTheme="minorEastAsia" w:hAnsi="Arial" w:cs="Arial"/>
      <w:b/>
      <w:color w:val="23A4DE"/>
      <w:sz w:val="24"/>
      <w:szCs w:val="24"/>
    </w:rPr>
  </w:style>
  <w:style w:type="character" w:customStyle="1" w:styleId="NICCYSubTitleChar1">
    <w:name w:val="NICCY Sub Title Char"/>
    <w:basedOn w:val="DefaultParagraphFont"/>
    <w:link w:val="NICCYSubTitle1"/>
    <w:rsid w:val="00987E04"/>
    <w:rPr>
      <w:rFonts w:ascii="Arial" w:hAnsi="Arial" w:cs="Arial"/>
      <w:b/>
      <w:color w:val="23A4DE"/>
      <w:lang w:val="en-GB"/>
    </w:rPr>
  </w:style>
  <w:style w:type="paragraph" w:customStyle="1" w:styleId="NICCYBodyTest">
    <w:name w:val="NICCY Body Test"/>
    <w:basedOn w:val="Normal"/>
    <w:link w:val="NICCYBodyTestChar"/>
    <w:qFormat/>
    <w:rsid w:val="00987E04"/>
    <w:pPr>
      <w:widowControl w:val="0"/>
      <w:autoSpaceDE w:val="0"/>
      <w:autoSpaceDN w:val="0"/>
      <w:adjustRightInd w:val="0"/>
      <w:spacing w:line="288" w:lineRule="auto"/>
      <w:textAlignment w:val="center"/>
    </w:pPr>
    <w:rPr>
      <w:rFonts w:ascii="Arial" w:eastAsiaTheme="minorEastAsia" w:hAnsi="Arial" w:cs="Arial"/>
      <w:color w:val="414042"/>
      <w:sz w:val="24"/>
      <w:szCs w:val="24"/>
    </w:rPr>
  </w:style>
  <w:style w:type="character" w:customStyle="1" w:styleId="NICCYBodyTestChar">
    <w:name w:val="NICCY Body Test Char"/>
    <w:basedOn w:val="DefaultParagraphFont"/>
    <w:link w:val="NICCYBodyTest"/>
    <w:rsid w:val="00987E04"/>
    <w:rPr>
      <w:rFonts w:ascii="Arial" w:hAnsi="Arial" w:cs="Arial"/>
      <w:color w:val="414042"/>
      <w:lang w:val="en-GB"/>
    </w:rPr>
  </w:style>
  <w:style w:type="paragraph" w:customStyle="1" w:styleId="SingleTxtG">
    <w:name w:val="_ Single Txt_G"/>
    <w:basedOn w:val="Normal"/>
    <w:link w:val="SingleTxtGChar"/>
    <w:qFormat/>
    <w:rsid w:val="00987E04"/>
    <w:pPr>
      <w:suppressAutoHyphens/>
      <w:spacing w:after="120" w:line="240" w:lineRule="atLeast"/>
      <w:ind w:left="1134" w:right="1134"/>
      <w:jc w:val="both"/>
    </w:pPr>
  </w:style>
  <w:style w:type="character" w:customStyle="1" w:styleId="SingleTxtGChar">
    <w:name w:val="_ Single Txt_G Char"/>
    <w:link w:val="SingleTxtG"/>
    <w:locked/>
    <w:rsid w:val="00987E04"/>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223F44"/>
    <w:rPr>
      <w:color w:val="0000FF" w:themeColor="hyperlink"/>
      <w:u w:val="single"/>
    </w:rPr>
  </w:style>
  <w:style w:type="paragraph" w:styleId="Caption">
    <w:name w:val="caption"/>
    <w:basedOn w:val="Normal"/>
    <w:next w:val="Normal"/>
    <w:uiPriority w:val="35"/>
    <w:unhideWhenUsed/>
    <w:qFormat/>
    <w:rsid w:val="00610EF8"/>
    <w:pPr>
      <w:spacing w:after="200"/>
    </w:pPr>
    <w:rPr>
      <w:i/>
      <w:iCs/>
      <w:color w:val="1F497D" w:themeColor="text2"/>
      <w:sz w:val="18"/>
      <w:szCs w:val="18"/>
    </w:rPr>
  </w:style>
  <w:style w:type="character" w:customStyle="1" w:styleId="Heading1Char">
    <w:name w:val="Heading 1 Char"/>
    <w:basedOn w:val="DefaultParagraphFont"/>
    <w:link w:val="Heading1"/>
    <w:uiPriority w:val="9"/>
    <w:rsid w:val="0097195A"/>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97195A"/>
    <w:pPr>
      <w:spacing w:line="259" w:lineRule="auto"/>
      <w:outlineLvl w:val="9"/>
    </w:pPr>
    <w:rPr>
      <w:lang w:val="en-US"/>
    </w:rPr>
  </w:style>
  <w:style w:type="character" w:styleId="CommentReference">
    <w:name w:val="annotation reference"/>
    <w:basedOn w:val="DefaultParagraphFont"/>
    <w:uiPriority w:val="99"/>
    <w:semiHidden/>
    <w:unhideWhenUsed/>
    <w:rsid w:val="00D20B31"/>
    <w:rPr>
      <w:sz w:val="16"/>
      <w:szCs w:val="16"/>
    </w:rPr>
  </w:style>
  <w:style w:type="paragraph" w:styleId="CommentText">
    <w:name w:val="annotation text"/>
    <w:basedOn w:val="Normal"/>
    <w:link w:val="CommentTextChar"/>
    <w:uiPriority w:val="99"/>
    <w:unhideWhenUsed/>
    <w:rsid w:val="00D20B31"/>
  </w:style>
  <w:style w:type="character" w:customStyle="1" w:styleId="CommentTextChar">
    <w:name w:val="Comment Text Char"/>
    <w:basedOn w:val="DefaultParagraphFont"/>
    <w:link w:val="CommentText"/>
    <w:uiPriority w:val="99"/>
    <w:rsid w:val="00D20B3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20B31"/>
    <w:rPr>
      <w:b/>
      <w:bCs/>
    </w:rPr>
  </w:style>
  <w:style w:type="character" w:customStyle="1" w:styleId="CommentSubjectChar">
    <w:name w:val="Comment Subject Char"/>
    <w:basedOn w:val="CommentTextChar"/>
    <w:link w:val="CommentSubject"/>
    <w:uiPriority w:val="99"/>
    <w:semiHidden/>
    <w:rsid w:val="00D20B31"/>
    <w:rPr>
      <w:rFonts w:ascii="Times New Roman" w:eastAsia="Times New Roman" w:hAnsi="Times New Roman" w:cs="Times New Roman"/>
      <w:b/>
      <w:bCs/>
      <w:sz w:val="20"/>
      <w:szCs w:val="20"/>
      <w:lang w:val="en-GB"/>
    </w:rPr>
  </w:style>
  <w:style w:type="paragraph" w:styleId="Revision">
    <w:name w:val="Revision"/>
    <w:hidden/>
    <w:uiPriority w:val="99"/>
    <w:semiHidden/>
    <w:rsid w:val="00C703B4"/>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4276BD"/>
    <w:rPr>
      <w:color w:val="800080" w:themeColor="followedHyperlink"/>
      <w:u w:val="single"/>
    </w:rPr>
  </w:style>
  <w:style w:type="paragraph" w:styleId="NormalWeb">
    <w:name w:val="Normal (Web)"/>
    <w:basedOn w:val="Normal"/>
    <w:uiPriority w:val="99"/>
    <w:semiHidden/>
    <w:unhideWhenUsed/>
    <w:rsid w:val="005A6C75"/>
    <w:pPr>
      <w:spacing w:before="100" w:beforeAutospacing="1" w:after="100" w:afterAutospacing="1"/>
    </w:pPr>
    <w:rPr>
      <w:rFonts w:eastAsiaTheme="minorEastAsia"/>
      <w:sz w:val="24"/>
      <w:szCs w:val="24"/>
      <w:lang w:eastAsia="en-GB"/>
    </w:rPr>
  </w:style>
  <w:style w:type="paragraph" w:styleId="EndnoteText">
    <w:name w:val="endnote text"/>
    <w:basedOn w:val="Normal"/>
    <w:link w:val="EndnoteTextChar"/>
    <w:uiPriority w:val="99"/>
    <w:semiHidden/>
    <w:unhideWhenUsed/>
    <w:rsid w:val="00307134"/>
  </w:style>
  <w:style w:type="character" w:customStyle="1" w:styleId="EndnoteTextChar">
    <w:name w:val="Endnote Text Char"/>
    <w:basedOn w:val="DefaultParagraphFont"/>
    <w:link w:val="EndnoteText"/>
    <w:uiPriority w:val="99"/>
    <w:semiHidden/>
    <w:rsid w:val="00307134"/>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307134"/>
    <w:rPr>
      <w:vertAlign w:val="superscript"/>
    </w:rPr>
  </w:style>
  <w:style w:type="paragraph" w:customStyle="1" w:styleId="Char2">
    <w:name w:val="Char2"/>
    <w:basedOn w:val="Normal"/>
    <w:link w:val="FootnoteReference"/>
    <w:uiPriority w:val="99"/>
    <w:rsid w:val="00724DE8"/>
    <w:pPr>
      <w:spacing w:after="160" w:line="240" w:lineRule="exact"/>
      <w:jc w:val="both"/>
    </w:pPr>
    <w:rPr>
      <w:rFonts w:asciiTheme="minorHAnsi" w:eastAsiaTheme="minorEastAsia" w:hAnsiTheme="minorHAnsi" w:cstheme="minorBidi"/>
      <w:sz w:val="24"/>
      <w:szCs w:val="24"/>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2343">
      <w:bodyDiv w:val="1"/>
      <w:marLeft w:val="0"/>
      <w:marRight w:val="0"/>
      <w:marTop w:val="0"/>
      <w:marBottom w:val="0"/>
      <w:divBdr>
        <w:top w:val="none" w:sz="0" w:space="0" w:color="auto"/>
        <w:left w:val="none" w:sz="0" w:space="0" w:color="auto"/>
        <w:bottom w:val="none" w:sz="0" w:space="0" w:color="auto"/>
        <w:right w:val="none" w:sz="0" w:space="0" w:color="auto"/>
      </w:divBdr>
    </w:div>
    <w:div w:id="122818094">
      <w:bodyDiv w:val="1"/>
      <w:marLeft w:val="0"/>
      <w:marRight w:val="0"/>
      <w:marTop w:val="0"/>
      <w:marBottom w:val="0"/>
      <w:divBdr>
        <w:top w:val="none" w:sz="0" w:space="0" w:color="auto"/>
        <w:left w:val="none" w:sz="0" w:space="0" w:color="auto"/>
        <w:bottom w:val="none" w:sz="0" w:space="0" w:color="auto"/>
        <w:right w:val="none" w:sz="0" w:space="0" w:color="auto"/>
      </w:divBdr>
    </w:div>
    <w:div w:id="148135182">
      <w:bodyDiv w:val="1"/>
      <w:marLeft w:val="0"/>
      <w:marRight w:val="0"/>
      <w:marTop w:val="0"/>
      <w:marBottom w:val="0"/>
      <w:divBdr>
        <w:top w:val="none" w:sz="0" w:space="0" w:color="auto"/>
        <w:left w:val="none" w:sz="0" w:space="0" w:color="auto"/>
        <w:bottom w:val="none" w:sz="0" w:space="0" w:color="auto"/>
        <w:right w:val="none" w:sz="0" w:space="0" w:color="auto"/>
      </w:divBdr>
    </w:div>
    <w:div w:id="158690782">
      <w:bodyDiv w:val="1"/>
      <w:marLeft w:val="0"/>
      <w:marRight w:val="0"/>
      <w:marTop w:val="0"/>
      <w:marBottom w:val="0"/>
      <w:divBdr>
        <w:top w:val="none" w:sz="0" w:space="0" w:color="auto"/>
        <w:left w:val="none" w:sz="0" w:space="0" w:color="auto"/>
        <w:bottom w:val="none" w:sz="0" w:space="0" w:color="auto"/>
        <w:right w:val="none" w:sz="0" w:space="0" w:color="auto"/>
      </w:divBdr>
    </w:div>
    <w:div w:id="182742276">
      <w:bodyDiv w:val="1"/>
      <w:marLeft w:val="0"/>
      <w:marRight w:val="0"/>
      <w:marTop w:val="0"/>
      <w:marBottom w:val="0"/>
      <w:divBdr>
        <w:top w:val="none" w:sz="0" w:space="0" w:color="auto"/>
        <w:left w:val="none" w:sz="0" w:space="0" w:color="auto"/>
        <w:bottom w:val="none" w:sz="0" w:space="0" w:color="auto"/>
        <w:right w:val="none" w:sz="0" w:space="0" w:color="auto"/>
      </w:divBdr>
    </w:div>
    <w:div w:id="187764568">
      <w:bodyDiv w:val="1"/>
      <w:marLeft w:val="0"/>
      <w:marRight w:val="0"/>
      <w:marTop w:val="0"/>
      <w:marBottom w:val="0"/>
      <w:divBdr>
        <w:top w:val="none" w:sz="0" w:space="0" w:color="auto"/>
        <w:left w:val="none" w:sz="0" w:space="0" w:color="auto"/>
        <w:bottom w:val="none" w:sz="0" w:space="0" w:color="auto"/>
        <w:right w:val="none" w:sz="0" w:space="0" w:color="auto"/>
      </w:divBdr>
    </w:div>
    <w:div w:id="188645052">
      <w:bodyDiv w:val="1"/>
      <w:marLeft w:val="0"/>
      <w:marRight w:val="0"/>
      <w:marTop w:val="0"/>
      <w:marBottom w:val="0"/>
      <w:divBdr>
        <w:top w:val="none" w:sz="0" w:space="0" w:color="auto"/>
        <w:left w:val="none" w:sz="0" w:space="0" w:color="auto"/>
        <w:bottom w:val="none" w:sz="0" w:space="0" w:color="auto"/>
        <w:right w:val="none" w:sz="0" w:space="0" w:color="auto"/>
      </w:divBdr>
    </w:div>
    <w:div w:id="220756016">
      <w:bodyDiv w:val="1"/>
      <w:marLeft w:val="0"/>
      <w:marRight w:val="0"/>
      <w:marTop w:val="0"/>
      <w:marBottom w:val="0"/>
      <w:divBdr>
        <w:top w:val="none" w:sz="0" w:space="0" w:color="auto"/>
        <w:left w:val="none" w:sz="0" w:space="0" w:color="auto"/>
        <w:bottom w:val="none" w:sz="0" w:space="0" w:color="auto"/>
        <w:right w:val="none" w:sz="0" w:space="0" w:color="auto"/>
      </w:divBdr>
    </w:div>
    <w:div w:id="292828763">
      <w:bodyDiv w:val="1"/>
      <w:marLeft w:val="0"/>
      <w:marRight w:val="0"/>
      <w:marTop w:val="0"/>
      <w:marBottom w:val="0"/>
      <w:divBdr>
        <w:top w:val="none" w:sz="0" w:space="0" w:color="auto"/>
        <w:left w:val="none" w:sz="0" w:space="0" w:color="auto"/>
        <w:bottom w:val="none" w:sz="0" w:space="0" w:color="auto"/>
        <w:right w:val="none" w:sz="0" w:space="0" w:color="auto"/>
      </w:divBdr>
    </w:div>
    <w:div w:id="315844820">
      <w:bodyDiv w:val="1"/>
      <w:marLeft w:val="0"/>
      <w:marRight w:val="0"/>
      <w:marTop w:val="0"/>
      <w:marBottom w:val="0"/>
      <w:divBdr>
        <w:top w:val="none" w:sz="0" w:space="0" w:color="auto"/>
        <w:left w:val="none" w:sz="0" w:space="0" w:color="auto"/>
        <w:bottom w:val="none" w:sz="0" w:space="0" w:color="auto"/>
        <w:right w:val="none" w:sz="0" w:space="0" w:color="auto"/>
      </w:divBdr>
    </w:div>
    <w:div w:id="317802773">
      <w:bodyDiv w:val="1"/>
      <w:marLeft w:val="0"/>
      <w:marRight w:val="0"/>
      <w:marTop w:val="0"/>
      <w:marBottom w:val="0"/>
      <w:divBdr>
        <w:top w:val="none" w:sz="0" w:space="0" w:color="auto"/>
        <w:left w:val="none" w:sz="0" w:space="0" w:color="auto"/>
        <w:bottom w:val="none" w:sz="0" w:space="0" w:color="auto"/>
        <w:right w:val="none" w:sz="0" w:space="0" w:color="auto"/>
      </w:divBdr>
    </w:div>
    <w:div w:id="322776913">
      <w:bodyDiv w:val="1"/>
      <w:marLeft w:val="0"/>
      <w:marRight w:val="0"/>
      <w:marTop w:val="0"/>
      <w:marBottom w:val="0"/>
      <w:divBdr>
        <w:top w:val="none" w:sz="0" w:space="0" w:color="auto"/>
        <w:left w:val="none" w:sz="0" w:space="0" w:color="auto"/>
        <w:bottom w:val="none" w:sz="0" w:space="0" w:color="auto"/>
        <w:right w:val="none" w:sz="0" w:space="0" w:color="auto"/>
      </w:divBdr>
    </w:div>
    <w:div w:id="342318963">
      <w:bodyDiv w:val="1"/>
      <w:marLeft w:val="0"/>
      <w:marRight w:val="0"/>
      <w:marTop w:val="0"/>
      <w:marBottom w:val="0"/>
      <w:divBdr>
        <w:top w:val="none" w:sz="0" w:space="0" w:color="auto"/>
        <w:left w:val="none" w:sz="0" w:space="0" w:color="auto"/>
        <w:bottom w:val="none" w:sz="0" w:space="0" w:color="auto"/>
        <w:right w:val="none" w:sz="0" w:space="0" w:color="auto"/>
      </w:divBdr>
    </w:div>
    <w:div w:id="421727042">
      <w:bodyDiv w:val="1"/>
      <w:marLeft w:val="0"/>
      <w:marRight w:val="0"/>
      <w:marTop w:val="0"/>
      <w:marBottom w:val="0"/>
      <w:divBdr>
        <w:top w:val="none" w:sz="0" w:space="0" w:color="auto"/>
        <w:left w:val="none" w:sz="0" w:space="0" w:color="auto"/>
        <w:bottom w:val="none" w:sz="0" w:space="0" w:color="auto"/>
        <w:right w:val="none" w:sz="0" w:space="0" w:color="auto"/>
      </w:divBdr>
    </w:div>
    <w:div w:id="430272981">
      <w:bodyDiv w:val="1"/>
      <w:marLeft w:val="0"/>
      <w:marRight w:val="0"/>
      <w:marTop w:val="0"/>
      <w:marBottom w:val="0"/>
      <w:divBdr>
        <w:top w:val="none" w:sz="0" w:space="0" w:color="auto"/>
        <w:left w:val="none" w:sz="0" w:space="0" w:color="auto"/>
        <w:bottom w:val="none" w:sz="0" w:space="0" w:color="auto"/>
        <w:right w:val="none" w:sz="0" w:space="0" w:color="auto"/>
      </w:divBdr>
    </w:div>
    <w:div w:id="453866189">
      <w:bodyDiv w:val="1"/>
      <w:marLeft w:val="0"/>
      <w:marRight w:val="0"/>
      <w:marTop w:val="0"/>
      <w:marBottom w:val="0"/>
      <w:divBdr>
        <w:top w:val="none" w:sz="0" w:space="0" w:color="auto"/>
        <w:left w:val="none" w:sz="0" w:space="0" w:color="auto"/>
        <w:bottom w:val="none" w:sz="0" w:space="0" w:color="auto"/>
        <w:right w:val="none" w:sz="0" w:space="0" w:color="auto"/>
      </w:divBdr>
    </w:div>
    <w:div w:id="525366596">
      <w:bodyDiv w:val="1"/>
      <w:marLeft w:val="0"/>
      <w:marRight w:val="0"/>
      <w:marTop w:val="0"/>
      <w:marBottom w:val="0"/>
      <w:divBdr>
        <w:top w:val="none" w:sz="0" w:space="0" w:color="auto"/>
        <w:left w:val="none" w:sz="0" w:space="0" w:color="auto"/>
        <w:bottom w:val="none" w:sz="0" w:space="0" w:color="auto"/>
        <w:right w:val="none" w:sz="0" w:space="0" w:color="auto"/>
      </w:divBdr>
    </w:div>
    <w:div w:id="550189183">
      <w:bodyDiv w:val="1"/>
      <w:marLeft w:val="0"/>
      <w:marRight w:val="0"/>
      <w:marTop w:val="0"/>
      <w:marBottom w:val="0"/>
      <w:divBdr>
        <w:top w:val="none" w:sz="0" w:space="0" w:color="auto"/>
        <w:left w:val="none" w:sz="0" w:space="0" w:color="auto"/>
        <w:bottom w:val="none" w:sz="0" w:space="0" w:color="auto"/>
        <w:right w:val="none" w:sz="0" w:space="0" w:color="auto"/>
      </w:divBdr>
    </w:div>
    <w:div w:id="555165239">
      <w:bodyDiv w:val="1"/>
      <w:marLeft w:val="0"/>
      <w:marRight w:val="0"/>
      <w:marTop w:val="0"/>
      <w:marBottom w:val="0"/>
      <w:divBdr>
        <w:top w:val="none" w:sz="0" w:space="0" w:color="auto"/>
        <w:left w:val="none" w:sz="0" w:space="0" w:color="auto"/>
        <w:bottom w:val="none" w:sz="0" w:space="0" w:color="auto"/>
        <w:right w:val="none" w:sz="0" w:space="0" w:color="auto"/>
      </w:divBdr>
    </w:div>
    <w:div w:id="702368168">
      <w:bodyDiv w:val="1"/>
      <w:marLeft w:val="0"/>
      <w:marRight w:val="0"/>
      <w:marTop w:val="0"/>
      <w:marBottom w:val="0"/>
      <w:divBdr>
        <w:top w:val="none" w:sz="0" w:space="0" w:color="auto"/>
        <w:left w:val="none" w:sz="0" w:space="0" w:color="auto"/>
        <w:bottom w:val="none" w:sz="0" w:space="0" w:color="auto"/>
        <w:right w:val="none" w:sz="0" w:space="0" w:color="auto"/>
      </w:divBdr>
    </w:div>
    <w:div w:id="739448171">
      <w:bodyDiv w:val="1"/>
      <w:marLeft w:val="0"/>
      <w:marRight w:val="0"/>
      <w:marTop w:val="0"/>
      <w:marBottom w:val="0"/>
      <w:divBdr>
        <w:top w:val="none" w:sz="0" w:space="0" w:color="auto"/>
        <w:left w:val="none" w:sz="0" w:space="0" w:color="auto"/>
        <w:bottom w:val="none" w:sz="0" w:space="0" w:color="auto"/>
        <w:right w:val="none" w:sz="0" w:space="0" w:color="auto"/>
      </w:divBdr>
    </w:div>
    <w:div w:id="779103540">
      <w:bodyDiv w:val="1"/>
      <w:marLeft w:val="0"/>
      <w:marRight w:val="0"/>
      <w:marTop w:val="0"/>
      <w:marBottom w:val="0"/>
      <w:divBdr>
        <w:top w:val="none" w:sz="0" w:space="0" w:color="auto"/>
        <w:left w:val="none" w:sz="0" w:space="0" w:color="auto"/>
        <w:bottom w:val="none" w:sz="0" w:space="0" w:color="auto"/>
        <w:right w:val="none" w:sz="0" w:space="0" w:color="auto"/>
      </w:divBdr>
    </w:div>
    <w:div w:id="846138988">
      <w:bodyDiv w:val="1"/>
      <w:marLeft w:val="0"/>
      <w:marRight w:val="0"/>
      <w:marTop w:val="0"/>
      <w:marBottom w:val="0"/>
      <w:divBdr>
        <w:top w:val="none" w:sz="0" w:space="0" w:color="auto"/>
        <w:left w:val="none" w:sz="0" w:space="0" w:color="auto"/>
        <w:bottom w:val="none" w:sz="0" w:space="0" w:color="auto"/>
        <w:right w:val="none" w:sz="0" w:space="0" w:color="auto"/>
      </w:divBdr>
    </w:div>
    <w:div w:id="903367955">
      <w:bodyDiv w:val="1"/>
      <w:marLeft w:val="0"/>
      <w:marRight w:val="0"/>
      <w:marTop w:val="0"/>
      <w:marBottom w:val="0"/>
      <w:divBdr>
        <w:top w:val="none" w:sz="0" w:space="0" w:color="auto"/>
        <w:left w:val="none" w:sz="0" w:space="0" w:color="auto"/>
        <w:bottom w:val="none" w:sz="0" w:space="0" w:color="auto"/>
        <w:right w:val="none" w:sz="0" w:space="0" w:color="auto"/>
      </w:divBdr>
    </w:div>
    <w:div w:id="957109077">
      <w:bodyDiv w:val="1"/>
      <w:marLeft w:val="0"/>
      <w:marRight w:val="0"/>
      <w:marTop w:val="0"/>
      <w:marBottom w:val="0"/>
      <w:divBdr>
        <w:top w:val="none" w:sz="0" w:space="0" w:color="auto"/>
        <w:left w:val="none" w:sz="0" w:space="0" w:color="auto"/>
        <w:bottom w:val="none" w:sz="0" w:space="0" w:color="auto"/>
        <w:right w:val="none" w:sz="0" w:space="0" w:color="auto"/>
      </w:divBdr>
    </w:div>
    <w:div w:id="1118452784">
      <w:bodyDiv w:val="1"/>
      <w:marLeft w:val="0"/>
      <w:marRight w:val="0"/>
      <w:marTop w:val="0"/>
      <w:marBottom w:val="0"/>
      <w:divBdr>
        <w:top w:val="none" w:sz="0" w:space="0" w:color="auto"/>
        <w:left w:val="none" w:sz="0" w:space="0" w:color="auto"/>
        <w:bottom w:val="none" w:sz="0" w:space="0" w:color="auto"/>
        <w:right w:val="none" w:sz="0" w:space="0" w:color="auto"/>
      </w:divBdr>
    </w:div>
    <w:div w:id="1154449146">
      <w:bodyDiv w:val="1"/>
      <w:marLeft w:val="0"/>
      <w:marRight w:val="0"/>
      <w:marTop w:val="0"/>
      <w:marBottom w:val="0"/>
      <w:divBdr>
        <w:top w:val="none" w:sz="0" w:space="0" w:color="auto"/>
        <w:left w:val="none" w:sz="0" w:space="0" w:color="auto"/>
        <w:bottom w:val="none" w:sz="0" w:space="0" w:color="auto"/>
        <w:right w:val="none" w:sz="0" w:space="0" w:color="auto"/>
      </w:divBdr>
    </w:div>
    <w:div w:id="1169906533">
      <w:bodyDiv w:val="1"/>
      <w:marLeft w:val="0"/>
      <w:marRight w:val="0"/>
      <w:marTop w:val="0"/>
      <w:marBottom w:val="0"/>
      <w:divBdr>
        <w:top w:val="none" w:sz="0" w:space="0" w:color="auto"/>
        <w:left w:val="none" w:sz="0" w:space="0" w:color="auto"/>
        <w:bottom w:val="none" w:sz="0" w:space="0" w:color="auto"/>
        <w:right w:val="none" w:sz="0" w:space="0" w:color="auto"/>
      </w:divBdr>
    </w:div>
    <w:div w:id="1182400962">
      <w:bodyDiv w:val="1"/>
      <w:marLeft w:val="0"/>
      <w:marRight w:val="0"/>
      <w:marTop w:val="0"/>
      <w:marBottom w:val="0"/>
      <w:divBdr>
        <w:top w:val="none" w:sz="0" w:space="0" w:color="auto"/>
        <w:left w:val="none" w:sz="0" w:space="0" w:color="auto"/>
        <w:bottom w:val="none" w:sz="0" w:space="0" w:color="auto"/>
        <w:right w:val="none" w:sz="0" w:space="0" w:color="auto"/>
      </w:divBdr>
    </w:div>
    <w:div w:id="1188179301">
      <w:bodyDiv w:val="1"/>
      <w:marLeft w:val="0"/>
      <w:marRight w:val="0"/>
      <w:marTop w:val="0"/>
      <w:marBottom w:val="0"/>
      <w:divBdr>
        <w:top w:val="none" w:sz="0" w:space="0" w:color="auto"/>
        <w:left w:val="none" w:sz="0" w:space="0" w:color="auto"/>
        <w:bottom w:val="none" w:sz="0" w:space="0" w:color="auto"/>
        <w:right w:val="none" w:sz="0" w:space="0" w:color="auto"/>
      </w:divBdr>
    </w:div>
    <w:div w:id="1197350128">
      <w:bodyDiv w:val="1"/>
      <w:marLeft w:val="0"/>
      <w:marRight w:val="0"/>
      <w:marTop w:val="0"/>
      <w:marBottom w:val="0"/>
      <w:divBdr>
        <w:top w:val="none" w:sz="0" w:space="0" w:color="auto"/>
        <w:left w:val="none" w:sz="0" w:space="0" w:color="auto"/>
        <w:bottom w:val="none" w:sz="0" w:space="0" w:color="auto"/>
        <w:right w:val="none" w:sz="0" w:space="0" w:color="auto"/>
      </w:divBdr>
    </w:div>
    <w:div w:id="1216426939">
      <w:bodyDiv w:val="1"/>
      <w:marLeft w:val="0"/>
      <w:marRight w:val="0"/>
      <w:marTop w:val="0"/>
      <w:marBottom w:val="0"/>
      <w:divBdr>
        <w:top w:val="none" w:sz="0" w:space="0" w:color="auto"/>
        <w:left w:val="none" w:sz="0" w:space="0" w:color="auto"/>
        <w:bottom w:val="none" w:sz="0" w:space="0" w:color="auto"/>
        <w:right w:val="none" w:sz="0" w:space="0" w:color="auto"/>
      </w:divBdr>
    </w:div>
    <w:div w:id="1258250568">
      <w:bodyDiv w:val="1"/>
      <w:marLeft w:val="0"/>
      <w:marRight w:val="0"/>
      <w:marTop w:val="0"/>
      <w:marBottom w:val="0"/>
      <w:divBdr>
        <w:top w:val="none" w:sz="0" w:space="0" w:color="auto"/>
        <w:left w:val="none" w:sz="0" w:space="0" w:color="auto"/>
        <w:bottom w:val="none" w:sz="0" w:space="0" w:color="auto"/>
        <w:right w:val="none" w:sz="0" w:space="0" w:color="auto"/>
      </w:divBdr>
    </w:div>
    <w:div w:id="1269657983">
      <w:bodyDiv w:val="1"/>
      <w:marLeft w:val="0"/>
      <w:marRight w:val="0"/>
      <w:marTop w:val="0"/>
      <w:marBottom w:val="0"/>
      <w:divBdr>
        <w:top w:val="none" w:sz="0" w:space="0" w:color="auto"/>
        <w:left w:val="none" w:sz="0" w:space="0" w:color="auto"/>
        <w:bottom w:val="none" w:sz="0" w:space="0" w:color="auto"/>
        <w:right w:val="none" w:sz="0" w:space="0" w:color="auto"/>
      </w:divBdr>
    </w:div>
    <w:div w:id="1315060838">
      <w:bodyDiv w:val="1"/>
      <w:marLeft w:val="0"/>
      <w:marRight w:val="0"/>
      <w:marTop w:val="0"/>
      <w:marBottom w:val="0"/>
      <w:divBdr>
        <w:top w:val="none" w:sz="0" w:space="0" w:color="auto"/>
        <w:left w:val="none" w:sz="0" w:space="0" w:color="auto"/>
        <w:bottom w:val="none" w:sz="0" w:space="0" w:color="auto"/>
        <w:right w:val="none" w:sz="0" w:space="0" w:color="auto"/>
      </w:divBdr>
    </w:div>
    <w:div w:id="1338997091">
      <w:bodyDiv w:val="1"/>
      <w:marLeft w:val="0"/>
      <w:marRight w:val="0"/>
      <w:marTop w:val="0"/>
      <w:marBottom w:val="0"/>
      <w:divBdr>
        <w:top w:val="none" w:sz="0" w:space="0" w:color="auto"/>
        <w:left w:val="none" w:sz="0" w:space="0" w:color="auto"/>
        <w:bottom w:val="none" w:sz="0" w:space="0" w:color="auto"/>
        <w:right w:val="none" w:sz="0" w:space="0" w:color="auto"/>
      </w:divBdr>
    </w:div>
    <w:div w:id="1372877148">
      <w:bodyDiv w:val="1"/>
      <w:marLeft w:val="0"/>
      <w:marRight w:val="0"/>
      <w:marTop w:val="0"/>
      <w:marBottom w:val="0"/>
      <w:divBdr>
        <w:top w:val="none" w:sz="0" w:space="0" w:color="auto"/>
        <w:left w:val="none" w:sz="0" w:space="0" w:color="auto"/>
        <w:bottom w:val="none" w:sz="0" w:space="0" w:color="auto"/>
        <w:right w:val="none" w:sz="0" w:space="0" w:color="auto"/>
      </w:divBdr>
    </w:div>
    <w:div w:id="1411732922">
      <w:bodyDiv w:val="1"/>
      <w:marLeft w:val="0"/>
      <w:marRight w:val="0"/>
      <w:marTop w:val="0"/>
      <w:marBottom w:val="0"/>
      <w:divBdr>
        <w:top w:val="none" w:sz="0" w:space="0" w:color="auto"/>
        <w:left w:val="none" w:sz="0" w:space="0" w:color="auto"/>
        <w:bottom w:val="none" w:sz="0" w:space="0" w:color="auto"/>
        <w:right w:val="none" w:sz="0" w:space="0" w:color="auto"/>
      </w:divBdr>
    </w:div>
    <w:div w:id="1416829347">
      <w:bodyDiv w:val="1"/>
      <w:marLeft w:val="0"/>
      <w:marRight w:val="0"/>
      <w:marTop w:val="0"/>
      <w:marBottom w:val="0"/>
      <w:divBdr>
        <w:top w:val="none" w:sz="0" w:space="0" w:color="auto"/>
        <w:left w:val="none" w:sz="0" w:space="0" w:color="auto"/>
        <w:bottom w:val="none" w:sz="0" w:space="0" w:color="auto"/>
        <w:right w:val="none" w:sz="0" w:space="0" w:color="auto"/>
      </w:divBdr>
    </w:div>
    <w:div w:id="1438601869">
      <w:bodyDiv w:val="1"/>
      <w:marLeft w:val="0"/>
      <w:marRight w:val="0"/>
      <w:marTop w:val="0"/>
      <w:marBottom w:val="0"/>
      <w:divBdr>
        <w:top w:val="none" w:sz="0" w:space="0" w:color="auto"/>
        <w:left w:val="none" w:sz="0" w:space="0" w:color="auto"/>
        <w:bottom w:val="none" w:sz="0" w:space="0" w:color="auto"/>
        <w:right w:val="none" w:sz="0" w:space="0" w:color="auto"/>
      </w:divBdr>
    </w:div>
    <w:div w:id="1461801787">
      <w:bodyDiv w:val="1"/>
      <w:marLeft w:val="0"/>
      <w:marRight w:val="0"/>
      <w:marTop w:val="0"/>
      <w:marBottom w:val="0"/>
      <w:divBdr>
        <w:top w:val="none" w:sz="0" w:space="0" w:color="auto"/>
        <w:left w:val="none" w:sz="0" w:space="0" w:color="auto"/>
        <w:bottom w:val="none" w:sz="0" w:space="0" w:color="auto"/>
        <w:right w:val="none" w:sz="0" w:space="0" w:color="auto"/>
      </w:divBdr>
    </w:div>
    <w:div w:id="1512455768">
      <w:bodyDiv w:val="1"/>
      <w:marLeft w:val="0"/>
      <w:marRight w:val="0"/>
      <w:marTop w:val="0"/>
      <w:marBottom w:val="0"/>
      <w:divBdr>
        <w:top w:val="none" w:sz="0" w:space="0" w:color="auto"/>
        <w:left w:val="none" w:sz="0" w:space="0" w:color="auto"/>
        <w:bottom w:val="none" w:sz="0" w:space="0" w:color="auto"/>
        <w:right w:val="none" w:sz="0" w:space="0" w:color="auto"/>
      </w:divBdr>
    </w:div>
    <w:div w:id="1592275336">
      <w:bodyDiv w:val="1"/>
      <w:marLeft w:val="0"/>
      <w:marRight w:val="0"/>
      <w:marTop w:val="0"/>
      <w:marBottom w:val="0"/>
      <w:divBdr>
        <w:top w:val="none" w:sz="0" w:space="0" w:color="auto"/>
        <w:left w:val="none" w:sz="0" w:space="0" w:color="auto"/>
        <w:bottom w:val="none" w:sz="0" w:space="0" w:color="auto"/>
        <w:right w:val="none" w:sz="0" w:space="0" w:color="auto"/>
      </w:divBdr>
    </w:div>
    <w:div w:id="1673143925">
      <w:bodyDiv w:val="1"/>
      <w:marLeft w:val="0"/>
      <w:marRight w:val="0"/>
      <w:marTop w:val="0"/>
      <w:marBottom w:val="0"/>
      <w:divBdr>
        <w:top w:val="none" w:sz="0" w:space="0" w:color="auto"/>
        <w:left w:val="none" w:sz="0" w:space="0" w:color="auto"/>
        <w:bottom w:val="none" w:sz="0" w:space="0" w:color="auto"/>
        <w:right w:val="none" w:sz="0" w:space="0" w:color="auto"/>
      </w:divBdr>
    </w:div>
    <w:div w:id="1687439551">
      <w:bodyDiv w:val="1"/>
      <w:marLeft w:val="0"/>
      <w:marRight w:val="0"/>
      <w:marTop w:val="0"/>
      <w:marBottom w:val="0"/>
      <w:divBdr>
        <w:top w:val="none" w:sz="0" w:space="0" w:color="auto"/>
        <w:left w:val="none" w:sz="0" w:space="0" w:color="auto"/>
        <w:bottom w:val="none" w:sz="0" w:space="0" w:color="auto"/>
        <w:right w:val="none" w:sz="0" w:space="0" w:color="auto"/>
      </w:divBdr>
    </w:div>
    <w:div w:id="1757094515">
      <w:bodyDiv w:val="1"/>
      <w:marLeft w:val="0"/>
      <w:marRight w:val="0"/>
      <w:marTop w:val="0"/>
      <w:marBottom w:val="0"/>
      <w:divBdr>
        <w:top w:val="none" w:sz="0" w:space="0" w:color="auto"/>
        <w:left w:val="none" w:sz="0" w:space="0" w:color="auto"/>
        <w:bottom w:val="none" w:sz="0" w:space="0" w:color="auto"/>
        <w:right w:val="none" w:sz="0" w:space="0" w:color="auto"/>
      </w:divBdr>
    </w:div>
    <w:div w:id="1807162408">
      <w:bodyDiv w:val="1"/>
      <w:marLeft w:val="0"/>
      <w:marRight w:val="0"/>
      <w:marTop w:val="0"/>
      <w:marBottom w:val="0"/>
      <w:divBdr>
        <w:top w:val="none" w:sz="0" w:space="0" w:color="auto"/>
        <w:left w:val="none" w:sz="0" w:space="0" w:color="auto"/>
        <w:bottom w:val="none" w:sz="0" w:space="0" w:color="auto"/>
        <w:right w:val="none" w:sz="0" w:space="0" w:color="auto"/>
      </w:divBdr>
    </w:div>
    <w:div w:id="1813981948">
      <w:bodyDiv w:val="1"/>
      <w:marLeft w:val="0"/>
      <w:marRight w:val="0"/>
      <w:marTop w:val="0"/>
      <w:marBottom w:val="0"/>
      <w:divBdr>
        <w:top w:val="none" w:sz="0" w:space="0" w:color="auto"/>
        <w:left w:val="none" w:sz="0" w:space="0" w:color="auto"/>
        <w:bottom w:val="none" w:sz="0" w:space="0" w:color="auto"/>
        <w:right w:val="none" w:sz="0" w:space="0" w:color="auto"/>
      </w:divBdr>
    </w:div>
    <w:div w:id="1853492112">
      <w:bodyDiv w:val="1"/>
      <w:marLeft w:val="0"/>
      <w:marRight w:val="0"/>
      <w:marTop w:val="0"/>
      <w:marBottom w:val="0"/>
      <w:divBdr>
        <w:top w:val="none" w:sz="0" w:space="0" w:color="auto"/>
        <w:left w:val="none" w:sz="0" w:space="0" w:color="auto"/>
        <w:bottom w:val="none" w:sz="0" w:space="0" w:color="auto"/>
        <w:right w:val="none" w:sz="0" w:space="0" w:color="auto"/>
      </w:divBdr>
    </w:div>
    <w:div w:id="1859006375">
      <w:bodyDiv w:val="1"/>
      <w:marLeft w:val="0"/>
      <w:marRight w:val="0"/>
      <w:marTop w:val="0"/>
      <w:marBottom w:val="0"/>
      <w:divBdr>
        <w:top w:val="none" w:sz="0" w:space="0" w:color="auto"/>
        <w:left w:val="none" w:sz="0" w:space="0" w:color="auto"/>
        <w:bottom w:val="none" w:sz="0" w:space="0" w:color="auto"/>
        <w:right w:val="none" w:sz="0" w:space="0" w:color="auto"/>
      </w:divBdr>
    </w:div>
    <w:div w:id="1881169127">
      <w:bodyDiv w:val="1"/>
      <w:marLeft w:val="0"/>
      <w:marRight w:val="0"/>
      <w:marTop w:val="0"/>
      <w:marBottom w:val="0"/>
      <w:divBdr>
        <w:top w:val="none" w:sz="0" w:space="0" w:color="auto"/>
        <w:left w:val="none" w:sz="0" w:space="0" w:color="auto"/>
        <w:bottom w:val="none" w:sz="0" w:space="0" w:color="auto"/>
        <w:right w:val="none" w:sz="0" w:space="0" w:color="auto"/>
      </w:divBdr>
    </w:div>
    <w:div w:id="1906377547">
      <w:bodyDiv w:val="1"/>
      <w:marLeft w:val="0"/>
      <w:marRight w:val="0"/>
      <w:marTop w:val="0"/>
      <w:marBottom w:val="0"/>
      <w:divBdr>
        <w:top w:val="none" w:sz="0" w:space="0" w:color="auto"/>
        <w:left w:val="none" w:sz="0" w:space="0" w:color="auto"/>
        <w:bottom w:val="none" w:sz="0" w:space="0" w:color="auto"/>
        <w:right w:val="none" w:sz="0" w:space="0" w:color="auto"/>
      </w:divBdr>
    </w:div>
    <w:div w:id="1995720041">
      <w:bodyDiv w:val="1"/>
      <w:marLeft w:val="0"/>
      <w:marRight w:val="0"/>
      <w:marTop w:val="0"/>
      <w:marBottom w:val="0"/>
      <w:divBdr>
        <w:top w:val="none" w:sz="0" w:space="0" w:color="auto"/>
        <w:left w:val="none" w:sz="0" w:space="0" w:color="auto"/>
        <w:bottom w:val="none" w:sz="0" w:space="0" w:color="auto"/>
        <w:right w:val="none" w:sz="0" w:space="0" w:color="auto"/>
      </w:divBdr>
    </w:div>
    <w:div w:id="2054502976">
      <w:bodyDiv w:val="1"/>
      <w:marLeft w:val="0"/>
      <w:marRight w:val="0"/>
      <w:marTop w:val="0"/>
      <w:marBottom w:val="0"/>
      <w:divBdr>
        <w:top w:val="none" w:sz="0" w:space="0" w:color="auto"/>
        <w:left w:val="none" w:sz="0" w:space="0" w:color="auto"/>
        <w:bottom w:val="none" w:sz="0" w:space="0" w:color="auto"/>
        <w:right w:val="none" w:sz="0" w:space="0" w:color="auto"/>
      </w:divBdr>
    </w:div>
    <w:div w:id="2060744266">
      <w:bodyDiv w:val="1"/>
      <w:marLeft w:val="0"/>
      <w:marRight w:val="0"/>
      <w:marTop w:val="0"/>
      <w:marBottom w:val="0"/>
      <w:divBdr>
        <w:top w:val="none" w:sz="0" w:space="0" w:color="auto"/>
        <w:left w:val="none" w:sz="0" w:space="0" w:color="auto"/>
        <w:bottom w:val="none" w:sz="0" w:space="0" w:color="auto"/>
        <w:right w:val="none" w:sz="0" w:space="0" w:color="auto"/>
      </w:divBdr>
    </w:div>
    <w:div w:id="2129354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ccy.org/StillWaiting" TargetMode="External"/><Relationship Id="rId13" Type="http://schemas.openxmlformats.org/officeDocument/2006/relationships/chart" Target="charts/chart3.xm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s://www.niccy.org/StillWaiting" TargetMode="Externa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hscboard.hscni.net/download/PUBLIC-MEETINGS/HSC%20BOARD/board_meetings_2019/september_2019/Item-08-02-DSF-Overview-Report-March-2019.pdf" TargetMode="External"/><Relationship Id="rId2" Type="http://schemas.openxmlformats.org/officeDocument/2006/relationships/hyperlink" Target="http://www.hscboard.hscni.net/download/PUBLIC-MEETINGS/HSC%20BOARD/board_meetings_2019/september_2019/Item-08-02-DSF-Overview-Report-March-2019.pdf" TargetMode="External"/><Relationship Id="rId1" Type="http://schemas.openxmlformats.org/officeDocument/2006/relationships/hyperlink" Target="https://www.niccy.org/about-us/our-current-work/mental-health-review-still-wai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All CAMHS Referrals Received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'refs received'!$B$10:$B$12</c:f>
              <c:strCache>
                <c:ptCount val="3"/>
                <c:pt idx="0">
                  <c:v>2017-18</c:v>
                </c:pt>
                <c:pt idx="1">
                  <c:v>2018-19</c:v>
                </c:pt>
                <c:pt idx="2">
                  <c:v>2019-20</c:v>
                </c:pt>
              </c:strCache>
            </c:strRef>
          </c:cat>
          <c:val>
            <c:numRef>
              <c:f>'refs received'!$C$10:$C$12</c:f>
              <c:numCache>
                <c:formatCode>General</c:formatCode>
                <c:ptCount val="3"/>
                <c:pt idx="0">
                  <c:v>13125</c:v>
                </c:pt>
                <c:pt idx="1">
                  <c:v>15395</c:v>
                </c:pt>
                <c:pt idx="2">
                  <c:v>15057</c:v>
                </c:pt>
              </c:numCache>
            </c:numRef>
          </c:val>
          <c:extLst>
            <c:ext xmlns:c16="http://schemas.microsoft.com/office/drawing/2014/chart" uri="{C3380CC4-5D6E-409C-BE32-E72D297353CC}">
              <c16:uniqueId val="{00000000-E5EE-4D93-AD96-C4FEF3DEFB6C}"/>
            </c:ext>
          </c:extLst>
        </c:ser>
        <c:dLbls>
          <c:dLblPos val="outEnd"/>
          <c:showLegendKey val="0"/>
          <c:showVal val="1"/>
          <c:showCatName val="0"/>
          <c:showSerName val="0"/>
          <c:showPercent val="0"/>
          <c:showBubbleSize val="0"/>
        </c:dLbls>
        <c:gapWidth val="219"/>
        <c:overlap val="-27"/>
        <c:axId val="224155136"/>
        <c:axId val="200319744"/>
      </c:barChart>
      <c:catAx>
        <c:axId val="224155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0319744"/>
        <c:crosses val="autoZero"/>
        <c:auto val="1"/>
        <c:lblAlgn val="ctr"/>
        <c:lblOffset val="100"/>
        <c:noMultiLvlLbl val="0"/>
      </c:catAx>
      <c:valAx>
        <c:axId val="20031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Referrals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415513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t>CAMHS Waiting List (Greater than 9 wks) at 31 March 2017-2020</a:t>
            </a:r>
          </a:p>
        </c:rich>
      </c:tx>
      <c:overlay val="0"/>
      <c:spPr>
        <a:noFill/>
        <a:ln>
          <a:noFill/>
        </a:ln>
        <a:effectLst/>
      </c:spPr>
    </c:title>
    <c:autoTitleDeleted val="0"/>
    <c:plotArea>
      <c:layout/>
      <c:barChart>
        <c:barDir val="col"/>
        <c:grouping val="clustered"/>
        <c:varyColors val="0"/>
        <c:ser>
          <c:idx val="0"/>
          <c:order val="0"/>
          <c:tx>
            <c:strRef>
              <c:f>'Waiting Time Figs'!$B$41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Figs'!$C$40:$H$40</c:f>
              <c:strCache>
                <c:ptCount val="6"/>
                <c:pt idx="0">
                  <c:v>&gt;9-13 wks</c:v>
                </c:pt>
                <c:pt idx="1">
                  <c:v>&gt;13-18 wks</c:v>
                </c:pt>
                <c:pt idx="2">
                  <c:v>&gt;18-26 wks</c:v>
                </c:pt>
                <c:pt idx="3">
                  <c:v>&gt;26-39 wks</c:v>
                </c:pt>
                <c:pt idx="4">
                  <c:v>&gt;39-52 wks </c:v>
                </c:pt>
                <c:pt idx="5">
                  <c:v>&lt;52 wks</c:v>
                </c:pt>
              </c:strCache>
            </c:strRef>
          </c:cat>
          <c:val>
            <c:numRef>
              <c:f>'Waiting Time Figs'!$C$41:$H$41</c:f>
              <c:numCache>
                <c:formatCode>General</c:formatCode>
                <c:ptCount val="6"/>
                <c:pt idx="0">
                  <c:v>47</c:v>
                </c:pt>
                <c:pt idx="1">
                  <c:v>31</c:v>
                </c:pt>
                <c:pt idx="2">
                  <c:v>8</c:v>
                </c:pt>
                <c:pt idx="3">
                  <c:v>0</c:v>
                </c:pt>
                <c:pt idx="4">
                  <c:v>0</c:v>
                </c:pt>
                <c:pt idx="5">
                  <c:v>0</c:v>
                </c:pt>
              </c:numCache>
            </c:numRef>
          </c:val>
          <c:extLst>
            <c:ext xmlns:c16="http://schemas.microsoft.com/office/drawing/2014/chart" uri="{C3380CC4-5D6E-409C-BE32-E72D297353CC}">
              <c16:uniqueId val="{00000000-7FDF-4BB0-9B64-D2EDF8871C58}"/>
            </c:ext>
          </c:extLst>
        </c:ser>
        <c:ser>
          <c:idx val="1"/>
          <c:order val="1"/>
          <c:tx>
            <c:strRef>
              <c:f>'Waiting Time Figs'!$B$42</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Figs'!$C$40:$H$40</c:f>
              <c:strCache>
                <c:ptCount val="6"/>
                <c:pt idx="0">
                  <c:v>&gt;9-13 wks</c:v>
                </c:pt>
                <c:pt idx="1">
                  <c:v>&gt;13-18 wks</c:v>
                </c:pt>
                <c:pt idx="2">
                  <c:v>&gt;18-26 wks</c:v>
                </c:pt>
                <c:pt idx="3">
                  <c:v>&gt;26-39 wks</c:v>
                </c:pt>
                <c:pt idx="4">
                  <c:v>&gt;39-52 wks </c:v>
                </c:pt>
                <c:pt idx="5">
                  <c:v>&lt;52 wks</c:v>
                </c:pt>
              </c:strCache>
            </c:strRef>
          </c:cat>
          <c:val>
            <c:numRef>
              <c:f>'Waiting Time Figs'!$C$42:$H$42</c:f>
              <c:numCache>
                <c:formatCode>General</c:formatCode>
                <c:ptCount val="6"/>
                <c:pt idx="0">
                  <c:v>42</c:v>
                </c:pt>
                <c:pt idx="1">
                  <c:v>9</c:v>
                </c:pt>
                <c:pt idx="2">
                  <c:v>10</c:v>
                </c:pt>
                <c:pt idx="3">
                  <c:v>4</c:v>
                </c:pt>
                <c:pt idx="4">
                  <c:v>0</c:v>
                </c:pt>
                <c:pt idx="5">
                  <c:v>0</c:v>
                </c:pt>
              </c:numCache>
            </c:numRef>
          </c:val>
          <c:extLst>
            <c:ext xmlns:c16="http://schemas.microsoft.com/office/drawing/2014/chart" uri="{C3380CC4-5D6E-409C-BE32-E72D297353CC}">
              <c16:uniqueId val="{00000001-7FDF-4BB0-9B64-D2EDF8871C58}"/>
            </c:ext>
          </c:extLst>
        </c:ser>
        <c:ser>
          <c:idx val="2"/>
          <c:order val="2"/>
          <c:tx>
            <c:strRef>
              <c:f>'Waiting Time Figs'!$B$43</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Figs'!$C$40:$H$40</c:f>
              <c:strCache>
                <c:ptCount val="6"/>
                <c:pt idx="0">
                  <c:v>&gt;9-13 wks</c:v>
                </c:pt>
                <c:pt idx="1">
                  <c:v>&gt;13-18 wks</c:v>
                </c:pt>
                <c:pt idx="2">
                  <c:v>&gt;18-26 wks</c:v>
                </c:pt>
                <c:pt idx="3">
                  <c:v>&gt;26-39 wks</c:v>
                </c:pt>
                <c:pt idx="4">
                  <c:v>&gt;39-52 wks </c:v>
                </c:pt>
                <c:pt idx="5">
                  <c:v>&lt;52 wks</c:v>
                </c:pt>
              </c:strCache>
            </c:strRef>
          </c:cat>
          <c:val>
            <c:numRef>
              <c:f>'Waiting Time Figs'!$C$43:$H$43</c:f>
              <c:numCache>
                <c:formatCode>General</c:formatCode>
                <c:ptCount val="6"/>
                <c:pt idx="0">
                  <c:v>273</c:v>
                </c:pt>
                <c:pt idx="1">
                  <c:v>189</c:v>
                </c:pt>
                <c:pt idx="2">
                  <c:v>25</c:v>
                </c:pt>
                <c:pt idx="3">
                  <c:v>0</c:v>
                </c:pt>
                <c:pt idx="4">
                  <c:v>0</c:v>
                </c:pt>
                <c:pt idx="5">
                  <c:v>0</c:v>
                </c:pt>
              </c:numCache>
            </c:numRef>
          </c:val>
          <c:extLst>
            <c:ext xmlns:c16="http://schemas.microsoft.com/office/drawing/2014/chart" uri="{C3380CC4-5D6E-409C-BE32-E72D297353CC}">
              <c16:uniqueId val="{00000002-7FDF-4BB0-9B64-D2EDF8871C58}"/>
            </c:ext>
          </c:extLst>
        </c:ser>
        <c:ser>
          <c:idx val="3"/>
          <c:order val="3"/>
          <c:tx>
            <c:strRef>
              <c:f>'Waiting Time Figs'!$B$44</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Figs'!$C$40:$H$40</c:f>
              <c:strCache>
                <c:ptCount val="6"/>
                <c:pt idx="0">
                  <c:v>&gt;9-13 wks</c:v>
                </c:pt>
                <c:pt idx="1">
                  <c:v>&gt;13-18 wks</c:v>
                </c:pt>
                <c:pt idx="2">
                  <c:v>&gt;18-26 wks</c:v>
                </c:pt>
                <c:pt idx="3">
                  <c:v>&gt;26-39 wks</c:v>
                </c:pt>
                <c:pt idx="4">
                  <c:v>&gt;39-52 wks </c:v>
                </c:pt>
                <c:pt idx="5">
                  <c:v>&lt;52 wks</c:v>
                </c:pt>
              </c:strCache>
            </c:strRef>
          </c:cat>
          <c:val>
            <c:numRef>
              <c:f>'Waiting Time Figs'!$C$44:$H$44</c:f>
              <c:numCache>
                <c:formatCode>General</c:formatCode>
                <c:ptCount val="6"/>
                <c:pt idx="0">
                  <c:v>247</c:v>
                </c:pt>
                <c:pt idx="1">
                  <c:v>131</c:v>
                </c:pt>
                <c:pt idx="2">
                  <c:v>194</c:v>
                </c:pt>
                <c:pt idx="3">
                  <c:v>91</c:v>
                </c:pt>
                <c:pt idx="4">
                  <c:v>43</c:v>
                </c:pt>
                <c:pt idx="5">
                  <c:v>1</c:v>
                </c:pt>
              </c:numCache>
            </c:numRef>
          </c:val>
          <c:extLst>
            <c:ext xmlns:c16="http://schemas.microsoft.com/office/drawing/2014/chart" uri="{C3380CC4-5D6E-409C-BE32-E72D297353CC}">
              <c16:uniqueId val="{00000003-7FDF-4BB0-9B64-D2EDF8871C58}"/>
            </c:ext>
          </c:extLst>
        </c:ser>
        <c:dLbls>
          <c:dLblPos val="outEnd"/>
          <c:showLegendKey val="0"/>
          <c:showVal val="1"/>
          <c:showCatName val="0"/>
          <c:showSerName val="0"/>
          <c:showPercent val="0"/>
          <c:showBubbleSize val="0"/>
        </c:dLbls>
        <c:gapWidth val="219"/>
        <c:overlap val="-27"/>
        <c:axId val="416619136"/>
        <c:axId val="416629504"/>
      </c:barChart>
      <c:catAx>
        <c:axId val="41661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Length of Time Waiting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6629504"/>
        <c:crosses val="autoZero"/>
        <c:auto val="1"/>
        <c:lblAlgn val="ctr"/>
        <c:lblOffset val="100"/>
        <c:noMultiLvlLbl val="0"/>
      </c:catAx>
      <c:valAx>
        <c:axId val="41662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 Waiting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66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Under 18s waiting more than 13 wks for access to Psychological Therapies</a:t>
            </a:r>
          </a:p>
        </c:rich>
      </c:tx>
      <c:overlay val="0"/>
      <c:spPr>
        <a:noFill/>
        <a:ln>
          <a:noFill/>
        </a:ln>
        <a:effectLst/>
      </c:spPr>
    </c:title>
    <c:autoTitleDeleted val="0"/>
    <c:plotArea>
      <c:layout/>
      <c:areaChart>
        <c:grouping val="stacked"/>
        <c:varyColors val="0"/>
        <c:ser>
          <c:idx val="0"/>
          <c:order val="0"/>
          <c:tx>
            <c:strRef>
              <c:f>'Psychological Therapies'!$B$43</c:f>
              <c:strCache>
                <c:ptCount val="1"/>
                <c:pt idx="0">
                  <c:v>Child Psychology </c:v>
                </c:pt>
              </c:strCache>
            </c:strRef>
          </c:tx>
          <c:spPr>
            <a:solidFill>
              <a:schemeClr val="accent1"/>
            </a:solidFill>
            <a:ln>
              <a:noFill/>
            </a:ln>
            <a:effectLst/>
          </c:spPr>
          <c:dLbls>
            <c:dLbl>
              <c:idx val="0"/>
              <c:layout>
                <c:manualLayout>
                  <c:x val="2.02105263157894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60-4E4F-9AAA-CB837EE33701}"/>
                </c:ext>
              </c:extLst>
            </c:dLbl>
            <c:dLbl>
              <c:idx val="2"/>
              <c:layout>
                <c:manualLayout>
                  <c:x val="-3.3684210526315789E-2"/>
                  <c:y val="1.1228070175438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60-4E4F-9AAA-CB837EE337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'Psychological Therapies'!$C$42:$E$42</c:f>
              <c:numCache>
                <c:formatCode>mmm\-yy</c:formatCode>
                <c:ptCount val="3"/>
                <c:pt idx="0">
                  <c:v>43160</c:v>
                </c:pt>
                <c:pt idx="1">
                  <c:v>43525</c:v>
                </c:pt>
                <c:pt idx="2">
                  <c:v>43891</c:v>
                </c:pt>
              </c:numCache>
            </c:numRef>
          </c:cat>
          <c:val>
            <c:numRef>
              <c:f>'Psychological Therapies'!$C$43:$E$43</c:f>
              <c:numCache>
                <c:formatCode>General</c:formatCode>
                <c:ptCount val="3"/>
                <c:pt idx="0">
                  <c:v>87</c:v>
                </c:pt>
                <c:pt idx="1">
                  <c:v>139</c:v>
                </c:pt>
                <c:pt idx="2">
                  <c:v>248</c:v>
                </c:pt>
              </c:numCache>
            </c:numRef>
          </c:val>
          <c:extLst>
            <c:ext xmlns:c16="http://schemas.microsoft.com/office/drawing/2014/chart" uri="{C3380CC4-5D6E-409C-BE32-E72D297353CC}">
              <c16:uniqueId val="{00000002-6B60-4E4F-9AAA-CB837EE33701}"/>
            </c:ext>
          </c:extLst>
        </c:ser>
        <c:ser>
          <c:idx val="1"/>
          <c:order val="1"/>
          <c:tx>
            <c:strRef>
              <c:f>'Psychological Therapies'!$B$44</c:f>
              <c:strCache>
                <c:ptCount val="1"/>
                <c:pt idx="0">
                  <c:v>Childrens Learning Disability</c:v>
                </c:pt>
              </c:strCache>
            </c:strRef>
          </c:tx>
          <c:spPr>
            <a:solidFill>
              <a:schemeClr val="accent2"/>
            </a:solidFill>
            <a:ln>
              <a:noFill/>
            </a:ln>
            <a:effectLst/>
          </c:spPr>
          <c:dLbls>
            <c:dLbl>
              <c:idx val="0"/>
              <c:layout>
                <c:manualLayout>
                  <c:x val="1.68421052631578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0-4E4F-9AAA-CB837EE33701}"/>
                </c:ext>
              </c:extLst>
            </c:dLbl>
            <c:dLbl>
              <c:idx val="2"/>
              <c:layout>
                <c:manualLayout>
                  <c:x val="-3.53684210526315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60-4E4F-9AAA-CB837EE337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'Psychological Therapies'!$C$42:$E$42</c:f>
              <c:numCache>
                <c:formatCode>mmm\-yy</c:formatCode>
                <c:ptCount val="3"/>
                <c:pt idx="0">
                  <c:v>43160</c:v>
                </c:pt>
                <c:pt idx="1">
                  <c:v>43525</c:v>
                </c:pt>
                <c:pt idx="2">
                  <c:v>43891</c:v>
                </c:pt>
              </c:numCache>
            </c:numRef>
          </c:cat>
          <c:val>
            <c:numRef>
              <c:f>'Psychological Therapies'!$C$44:$E$44</c:f>
              <c:numCache>
                <c:formatCode>General</c:formatCode>
                <c:ptCount val="3"/>
                <c:pt idx="0">
                  <c:v>59</c:v>
                </c:pt>
                <c:pt idx="1">
                  <c:v>66</c:v>
                </c:pt>
                <c:pt idx="2">
                  <c:v>191</c:v>
                </c:pt>
              </c:numCache>
            </c:numRef>
          </c:val>
          <c:extLst>
            <c:ext xmlns:c16="http://schemas.microsoft.com/office/drawing/2014/chart" uri="{C3380CC4-5D6E-409C-BE32-E72D297353CC}">
              <c16:uniqueId val="{00000005-6B60-4E4F-9AAA-CB837EE33701}"/>
            </c:ext>
          </c:extLst>
        </c:ser>
        <c:dLbls>
          <c:showLegendKey val="0"/>
          <c:showVal val="1"/>
          <c:showCatName val="0"/>
          <c:showSerName val="0"/>
          <c:showPercent val="0"/>
          <c:showBubbleSize val="0"/>
        </c:dLbls>
        <c:axId val="416674944"/>
        <c:axId val="416676864"/>
      </c:areaChart>
      <c:dateAx>
        <c:axId val="41667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676864"/>
        <c:crosses val="autoZero"/>
        <c:auto val="1"/>
        <c:lblOffset val="100"/>
        <c:baseTimeUnit val="years"/>
      </c:dateAx>
      <c:valAx>
        <c:axId val="41667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No. Waiting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6749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b="1" i="0" u="none" strike="noStrike" baseline="0">
                <a:effectLst/>
                <a:latin typeface="Arial" panose="020B0604020202020204" pitchFamily="34" charset="0"/>
                <a:cs typeface="Arial" panose="020B0604020202020204" pitchFamily="34" charset="0"/>
              </a:rPr>
              <a:t>Regional Admissions and Discharges to Beechcroft </a:t>
            </a:r>
            <a:r>
              <a:rPr lang="en-GB" sz="1000" b="1" i="0" u="none" strike="noStrike" baseline="0">
                <a:latin typeface="Arial" panose="020B0604020202020204" pitchFamily="34" charset="0"/>
                <a:cs typeface="Arial" panose="020B0604020202020204" pitchFamily="34" charset="0"/>
              </a:rPr>
              <a:t> </a:t>
            </a:r>
            <a:endParaRPr lang="en-GB"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Beechcroft!$C$75</c:f>
              <c:strCache>
                <c:ptCount val="1"/>
                <c:pt idx="0">
                  <c:v>Admissions </c:v>
                </c:pt>
              </c:strCache>
            </c:strRef>
          </c:tx>
          <c:spPr>
            <a:solidFill>
              <a:schemeClr val="accent1"/>
            </a:solidFill>
            <a:ln>
              <a:noFill/>
            </a:ln>
            <a:effectLst/>
          </c:spPr>
          <c:invertIfNegative val="0"/>
          <c:dLbls>
            <c:dLbl>
              <c:idx val="0"/>
              <c:layout>
                <c:manualLayout>
                  <c:x val="8.305647840531543E-3"/>
                  <c:y val="-5.4307578375709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65-4E54-B3BD-EBC9CF637E2E}"/>
                </c:ext>
              </c:extLst>
            </c:dLbl>
            <c:dLbl>
              <c:idx val="1"/>
              <c:layout>
                <c:manualLayout>
                  <c:x val="-3.8067112847900309E-17"/>
                  <c:y val="-6.41816835349296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65-4E54-B3BD-EBC9CF637E2E}"/>
                </c:ext>
              </c:extLst>
            </c:dLbl>
            <c:dLbl>
              <c:idx val="2"/>
              <c:layout>
                <c:manualLayout>
                  <c:x val="-2.0764119601329283E-3"/>
                  <c:y val="-2.96223154776598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65-4E54-B3BD-EBC9CF637E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Beechcroft!$B$76:$B$82</c:f>
              <c:strCache>
                <c:ptCount val="7"/>
                <c:pt idx="0">
                  <c:v>2013 / 14</c:v>
                </c:pt>
                <c:pt idx="1">
                  <c:v>2014 / 15</c:v>
                </c:pt>
                <c:pt idx="2">
                  <c:v>2015 / 16</c:v>
                </c:pt>
                <c:pt idx="3">
                  <c:v>2016/17</c:v>
                </c:pt>
                <c:pt idx="4">
                  <c:v>2017/18</c:v>
                </c:pt>
                <c:pt idx="5">
                  <c:v>2018/19</c:v>
                </c:pt>
                <c:pt idx="6">
                  <c:v>2019/20</c:v>
                </c:pt>
              </c:strCache>
            </c:strRef>
          </c:cat>
          <c:val>
            <c:numRef>
              <c:f>Beechcroft!$C$76:$C$82</c:f>
              <c:numCache>
                <c:formatCode>General</c:formatCode>
                <c:ptCount val="7"/>
                <c:pt idx="0">
                  <c:v>186</c:v>
                </c:pt>
                <c:pt idx="1">
                  <c:v>165</c:v>
                </c:pt>
                <c:pt idx="2">
                  <c:v>161</c:v>
                </c:pt>
                <c:pt idx="3">
                  <c:v>158</c:v>
                </c:pt>
                <c:pt idx="4">
                  <c:v>233</c:v>
                </c:pt>
                <c:pt idx="5">
                  <c:v>223</c:v>
                </c:pt>
                <c:pt idx="6">
                  <c:v>202</c:v>
                </c:pt>
              </c:numCache>
            </c:numRef>
          </c:val>
          <c:extLst>
            <c:ext xmlns:c16="http://schemas.microsoft.com/office/drawing/2014/chart" uri="{C3380CC4-5D6E-409C-BE32-E72D297353CC}">
              <c16:uniqueId val="{00000000-9865-4E54-B3BD-EBC9CF637E2E}"/>
            </c:ext>
          </c:extLst>
        </c:ser>
        <c:ser>
          <c:idx val="1"/>
          <c:order val="1"/>
          <c:tx>
            <c:strRef>
              <c:f>Beechcroft!$D$75</c:f>
              <c:strCache>
                <c:ptCount val="1"/>
                <c:pt idx="0">
                  <c:v>Discharges</c:v>
                </c:pt>
              </c:strCache>
            </c:strRef>
          </c:tx>
          <c:spPr>
            <a:solidFill>
              <a:schemeClr val="accent2"/>
            </a:solidFill>
            <a:ln>
              <a:noFill/>
            </a:ln>
            <a:effectLst/>
          </c:spPr>
          <c:invertIfNegative val="0"/>
          <c:dLbls>
            <c:dLbl>
              <c:idx val="3"/>
              <c:layout>
                <c:manualLayout>
                  <c:x val="1.2458471760797342E-2"/>
                  <c:y val="-9.05115850286289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65-4E54-B3BD-EBC9CF637E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Beechcroft!$B$76:$B$82</c:f>
              <c:strCache>
                <c:ptCount val="7"/>
                <c:pt idx="0">
                  <c:v>2013 / 14</c:v>
                </c:pt>
                <c:pt idx="1">
                  <c:v>2014 / 15</c:v>
                </c:pt>
                <c:pt idx="2">
                  <c:v>2015 / 16</c:v>
                </c:pt>
                <c:pt idx="3">
                  <c:v>2016/17</c:v>
                </c:pt>
                <c:pt idx="4">
                  <c:v>2017/18</c:v>
                </c:pt>
                <c:pt idx="5">
                  <c:v>2018/19</c:v>
                </c:pt>
                <c:pt idx="6">
                  <c:v>2019/20</c:v>
                </c:pt>
              </c:strCache>
            </c:strRef>
          </c:cat>
          <c:val>
            <c:numRef>
              <c:f>Beechcroft!$D$76:$D$82</c:f>
              <c:numCache>
                <c:formatCode>General</c:formatCode>
                <c:ptCount val="7"/>
                <c:pt idx="0">
                  <c:v>183</c:v>
                </c:pt>
                <c:pt idx="1">
                  <c:v>165</c:v>
                </c:pt>
                <c:pt idx="2">
                  <c:v>157</c:v>
                </c:pt>
                <c:pt idx="3">
                  <c:v>131</c:v>
                </c:pt>
                <c:pt idx="4">
                  <c:v>141</c:v>
                </c:pt>
                <c:pt idx="5">
                  <c:v>123</c:v>
                </c:pt>
                <c:pt idx="6">
                  <c:v>118</c:v>
                </c:pt>
              </c:numCache>
            </c:numRef>
          </c:val>
          <c:extLst>
            <c:ext xmlns:c16="http://schemas.microsoft.com/office/drawing/2014/chart" uri="{C3380CC4-5D6E-409C-BE32-E72D297353CC}">
              <c16:uniqueId val="{00000001-9865-4E54-B3BD-EBC9CF637E2E}"/>
            </c:ext>
          </c:extLst>
        </c:ser>
        <c:dLbls>
          <c:dLblPos val="ctr"/>
          <c:showLegendKey val="0"/>
          <c:showVal val="1"/>
          <c:showCatName val="0"/>
          <c:showSerName val="0"/>
          <c:showPercent val="0"/>
          <c:showBubbleSize val="0"/>
        </c:dLbls>
        <c:gapWidth val="219"/>
        <c:overlap val="-27"/>
        <c:axId val="277331968"/>
        <c:axId val="277333504"/>
      </c:barChart>
      <c:catAx>
        <c:axId val="2773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7333504"/>
        <c:crosses val="autoZero"/>
        <c:auto val="1"/>
        <c:lblAlgn val="ctr"/>
        <c:lblOffset val="100"/>
        <c:noMultiLvlLbl val="0"/>
      </c:catAx>
      <c:valAx>
        <c:axId val="27733350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331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b="0"/>
              <a:t>Referral Sources for all types of appointment- 2017-2020</a:t>
            </a:r>
          </a:p>
        </c:rich>
      </c:tx>
      <c:layout>
        <c:manualLayout>
          <c:xMode val="edge"/>
          <c:yMode val="edge"/>
          <c:x val="0.20454341826457739"/>
          <c:y val="3.3590391365013794E-2"/>
        </c:manualLayout>
      </c:layout>
      <c:overlay val="0"/>
      <c:spPr>
        <a:noFill/>
        <a:ln>
          <a:noFill/>
        </a:ln>
        <a:effectLst/>
      </c:spPr>
    </c:title>
    <c:autoTitleDeleted val="0"/>
    <c:plotArea>
      <c:layout/>
      <c:barChart>
        <c:barDir val="bar"/>
        <c:grouping val="clustered"/>
        <c:varyColors val="0"/>
        <c:ser>
          <c:idx val="0"/>
          <c:order val="0"/>
          <c:tx>
            <c:strRef>
              <c:f>'source of referrals'!$C$21</c:f>
              <c:strCache>
                <c:ptCount val="1"/>
                <c:pt idx="0">
                  <c:v>2017 /18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referrals'!$B$22:$B$27</c:f>
              <c:strCache>
                <c:ptCount val="6"/>
                <c:pt idx="0">
                  <c:v>General Practitioner</c:v>
                </c:pt>
                <c:pt idx="1">
                  <c:v>Paediatrics / Child Health / Inpatient Service</c:v>
                </c:pt>
                <c:pt idx="2">
                  <c:v>Adult Mental health </c:v>
                </c:pt>
                <c:pt idx="3">
                  <c:v>Social Service</c:v>
                </c:pt>
                <c:pt idx="4">
                  <c:v>Education</c:v>
                </c:pt>
                <c:pt idx="5">
                  <c:v>Other </c:v>
                </c:pt>
              </c:strCache>
            </c:strRef>
          </c:cat>
          <c:val>
            <c:numRef>
              <c:f>'source of referrals'!$C$22:$C$27</c:f>
              <c:numCache>
                <c:formatCode>General</c:formatCode>
                <c:ptCount val="6"/>
                <c:pt idx="0">
                  <c:v>5700</c:v>
                </c:pt>
                <c:pt idx="1">
                  <c:v>1379</c:v>
                </c:pt>
                <c:pt idx="2">
                  <c:v>284</c:v>
                </c:pt>
                <c:pt idx="3">
                  <c:v>259</c:v>
                </c:pt>
                <c:pt idx="4">
                  <c:v>249</c:v>
                </c:pt>
                <c:pt idx="5">
                  <c:v>774</c:v>
                </c:pt>
              </c:numCache>
            </c:numRef>
          </c:val>
          <c:extLst>
            <c:ext xmlns:c16="http://schemas.microsoft.com/office/drawing/2014/chart" uri="{C3380CC4-5D6E-409C-BE32-E72D297353CC}">
              <c16:uniqueId val="{00000000-6B08-4832-97CF-EA70DE4DCE48}"/>
            </c:ext>
          </c:extLst>
        </c:ser>
        <c:ser>
          <c:idx val="1"/>
          <c:order val="1"/>
          <c:tx>
            <c:strRef>
              <c:f>'source of referrals'!$D$21</c:f>
              <c:strCache>
                <c:ptCount val="1"/>
                <c:pt idx="0">
                  <c:v>2018/19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referrals'!$B$22:$B$27</c:f>
              <c:strCache>
                <c:ptCount val="6"/>
                <c:pt idx="0">
                  <c:v>General Practitioner</c:v>
                </c:pt>
                <c:pt idx="1">
                  <c:v>Paediatrics / Child Health / Inpatient Service</c:v>
                </c:pt>
                <c:pt idx="2">
                  <c:v>Adult Mental health </c:v>
                </c:pt>
                <c:pt idx="3">
                  <c:v>Social Service</c:v>
                </c:pt>
                <c:pt idx="4">
                  <c:v>Education</c:v>
                </c:pt>
                <c:pt idx="5">
                  <c:v>Other </c:v>
                </c:pt>
              </c:strCache>
            </c:strRef>
          </c:cat>
          <c:val>
            <c:numRef>
              <c:f>'source of referrals'!$D$22:$D$27</c:f>
              <c:numCache>
                <c:formatCode>General</c:formatCode>
                <c:ptCount val="6"/>
                <c:pt idx="0">
                  <c:v>7729</c:v>
                </c:pt>
                <c:pt idx="1">
                  <c:v>1220</c:v>
                </c:pt>
                <c:pt idx="2">
                  <c:v>141</c:v>
                </c:pt>
                <c:pt idx="3">
                  <c:v>251</c:v>
                </c:pt>
                <c:pt idx="4">
                  <c:v>304</c:v>
                </c:pt>
                <c:pt idx="5">
                  <c:v>453</c:v>
                </c:pt>
              </c:numCache>
            </c:numRef>
          </c:val>
          <c:extLst>
            <c:ext xmlns:c16="http://schemas.microsoft.com/office/drawing/2014/chart" uri="{C3380CC4-5D6E-409C-BE32-E72D297353CC}">
              <c16:uniqueId val="{00000001-6B08-4832-97CF-EA70DE4DCE48}"/>
            </c:ext>
          </c:extLst>
        </c:ser>
        <c:ser>
          <c:idx val="2"/>
          <c:order val="2"/>
          <c:tx>
            <c:strRef>
              <c:f>'source of referrals'!$E$21</c:f>
              <c:strCache>
                <c:ptCount val="1"/>
                <c:pt idx="0">
                  <c:v>2019/20</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referrals'!$B$22:$B$27</c:f>
              <c:strCache>
                <c:ptCount val="6"/>
                <c:pt idx="0">
                  <c:v>General Practitioner</c:v>
                </c:pt>
                <c:pt idx="1">
                  <c:v>Paediatrics / Child Health / Inpatient Service</c:v>
                </c:pt>
                <c:pt idx="2">
                  <c:v>Adult Mental health </c:v>
                </c:pt>
                <c:pt idx="3">
                  <c:v>Social Service</c:v>
                </c:pt>
                <c:pt idx="4">
                  <c:v>Education</c:v>
                </c:pt>
                <c:pt idx="5">
                  <c:v>Other </c:v>
                </c:pt>
              </c:strCache>
            </c:strRef>
          </c:cat>
          <c:val>
            <c:numRef>
              <c:f>'source of referrals'!$E$22:$E$27</c:f>
              <c:numCache>
                <c:formatCode>General</c:formatCode>
                <c:ptCount val="6"/>
                <c:pt idx="0">
                  <c:v>6813</c:v>
                </c:pt>
                <c:pt idx="1">
                  <c:v>1170</c:v>
                </c:pt>
                <c:pt idx="2">
                  <c:v>145</c:v>
                </c:pt>
                <c:pt idx="3">
                  <c:v>186</c:v>
                </c:pt>
                <c:pt idx="4">
                  <c:v>251</c:v>
                </c:pt>
              </c:numCache>
            </c:numRef>
          </c:val>
          <c:extLst>
            <c:ext xmlns:c16="http://schemas.microsoft.com/office/drawing/2014/chart" uri="{C3380CC4-5D6E-409C-BE32-E72D297353CC}">
              <c16:uniqueId val="{00000002-6B08-4832-97CF-EA70DE4DCE48}"/>
            </c:ext>
          </c:extLst>
        </c:ser>
        <c:dLbls>
          <c:dLblPos val="outEnd"/>
          <c:showLegendKey val="0"/>
          <c:showVal val="1"/>
          <c:showCatName val="0"/>
          <c:showSerName val="0"/>
          <c:showPercent val="0"/>
          <c:showBubbleSize val="0"/>
        </c:dLbls>
        <c:gapWidth val="182"/>
        <c:axId val="279847680"/>
        <c:axId val="279849216"/>
      </c:barChart>
      <c:catAx>
        <c:axId val="27984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849216"/>
        <c:crosses val="autoZero"/>
        <c:auto val="1"/>
        <c:lblAlgn val="ctr"/>
        <c:lblOffset val="100"/>
        <c:noMultiLvlLbl val="0"/>
      </c:catAx>
      <c:valAx>
        <c:axId val="279849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84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0"/>
              <a:t>Referral Source for Crisis Intervention- 2017</a:t>
            </a:r>
            <a:r>
              <a:rPr lang="en-US" sz="1000" b="0" baseline="0"/>
              <a:t> 20</a:t>
            </a:r>
            <a:r>
              <a:rPr lang="en-US" sz="1000" b="0"/>
              <a:t>20</a:t>
            </a:r>
          </a:p>
        </c:rich>
      </c:tx>
      <c:overlay val="0"/>
      <c:spPr>
        <a:noFill/>
        <a:ln>
          <a:noFill/>
        </a:ln>
        <a:effectLst/>
      </c:spPr>
    </c:title>
    <c:autoTitleDeleted val="0"/>
    <c:plotArea>
      <c:layout/>
      <c:barChart>
        <c:barDir val="bar"/>
        <c:grouping val="clustered"/>
        <c:varyColors val="0"/>
        <c:ser>
          <c:idx val="0"/>
          <c:order val="0"/>
          <c:tx>
            <c:strRef>
              <c:f>'source of referrals'!$C$101</c:f>
              <c:strCache>
                <c:ptCount val="1"/>
                <c:pt idx="0">
                  <c:v>2017/18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referrals'!$B$102:$B$106</c:f>
              <c:strCache>
                <c:ptCount val="5"/>
                <c:pt idx="0">
                  <c:v>Emergency Department / CBYL</c:v>
                </c:pt>
                <c:pt idx="1">
                  <c:v>General Practitioner</c:v>
                </c:pt>
                <c:pt idx="2">
                  <c:v>General Hospital </c:v>
                </c:pt>
                <c:pt idx="3">
                  <c:v>CAMHS</c:v>
                </c:pt>
                <c:pt idx="4">
                  <c:v>Other </c:v>
                </c:pt>
              </c:strCache>
            </c:strRef>
          </c:cat>
          <c:val>
            <c:numRef>
              <c:f>'source of referrals'!$C$102:$C$106</c:f>
              <c:numCache>
                <c:formatCode>General</c:formatCode>
                <c:ptCount val="5"/>
                <c:pt idx="0">
                  <c:v>658</c:v>
                </c:pt>
                <c:pt idx="1">
                  <c:v>227</c:v>
                </c:pt>
                <c:pt idx="2">
                  <c:v>109</c:v>
                </c:pt>
                <c:pt idx="3">
                  <c:v>96</c:v>
                </c:pt>
                <c:pt idx="4">
                  <c:v>117</c:v>
                </c:pt>
              </c:numCache>
            </c:numRef>
          </c:val>
          <c:extLst>
            <c:ext xmlns:c16="http://schemas.microsoft.com/office/drawing/2014/chart" uri="{C3380CC4-5D6E-409C-BE32-E72D297353CC}">
              <c16:uniqueId val="{00000000-0A50-428C-BF3E-E7E874173A9C}"/>
            </c:ext>
          </c:extLst>
        </c:ser>
        <c:ser>
          <c:idx val="1"/>
          <c:order val="1"/>
          <c:tx>
            <c:strRef>
              <c:f>'source of referrals'!$D$101</c:f>
              <c:strCache>
                <c:ptCount val="1"/>
                <c:pt idx="0">
                  <c:v>2018/19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referrals'!$B$102:$B$106</c:f>
              <c:strCache>
                <c:ptCount val="5"/>
                <c:pt idx="0">
                  <c:v>Emergency Department / CBYL</c:v>
                </c:pt>
                <c:pt idx="1">
                  <c:v>General Practitioner</c:v>
                </c:pt>
                <c:pt idx="2">
                  <c:v>General Hospital </c:v>
                </c:pt>
                <c:pt idx="3">
                  <c:v>CAMHS</c:v>
                </c:pt>
                <c:pt idx="4">
                  <c:v>Other </c:v>
                </c:pt>
              </c:strCache>
            </c:strRef>
          </c:cat>
          <c:val>
            <c:numRef>
              <c:f>'source of referrals'!$D$102:$D$106</c:f>
              <c:numCache>
                <c:formatCode>General</c:formatCode>
                <c:ptCount val="5"/>
                <c:pt idx="0">
                  <c:v>484</c:v>
                </c:pt>
                <c:pt idx="1">
                  <c:v>397</c:v>
                </c:pt>
                <c:pt idx="2">
                  <c:v>714</c:v>
                </c:pt>
                <c:pt idx="3">
                  <c:v>0</c:v>
                </c:pt>
                <c:pt idx="4">
                  <c:v>201</c:v>
                </c:pt>
              </c:numCache>
            </c:numRef>
          </c:val>
          <c:extLst>
            <c:ext xmlns:c16="http://schemas.microsoft.com/office/drawing/2014/chart" uri="{C3380CC4-5D6E-409C-BE32-E72D297353CC}">
              <c16:uniqueId val="{00000001-0A50-428C-BF3E-E7E874173A9C}"/>
            </c:ext>
          </c:extLst>
        </c:ser>
        <c:ser>
          <c:idx val="2"/>
          <c:order val="2"/>
          <c:tx>
            <c:strRef>
              <c:f>'source of referrals'!$E$101</c:f>
              <c:strCache>
                <c:ptCount val="1"/>
                <c:pt idx="0">
                  <c:v>2019/20</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of referrals'!$B$102:$B$106</c:f>
              <c:strCache>
                <c:ptCount val="5"/>
                <c:pt idx="0">
                  <c:v>Emergency Department / CBYL</c:v>
                </c:pt>
                <c:pt idx="1">
                  <c:v>General Practitioner</c:v>
                </c:pt>
                <c:pt idx="2">
                  <c:v>General Hospital </c:v>
                </c:pt>
                <c:pt idx="3">
                  <c:v>CAMHS</c:v>
                </c:pt>
                <c:pt idx="4">
                  <c:v>Other </c:v>
                </c:pt>
              </c:strCache>
            </c:strRef>
          </c:cat>
          <c:val>
            <c:numRef>
              <c:f>'source of referrals'!$E$102:$E$106</c:f>
              <c:numCache>
                <c:formatCode>General</c:formatCode>
                <c:ptCount val="5"/>
                <c:pt idx="0">
                  <c:v>765</c:v>
                </c:pt>
                <c:pt idx="1">
                  <c:v>431</c:v>
                </c:pt>
                <c:pt idx="2">
                  <c:v>431</c:v>
                </c:pt>
                <c:pt idx="3">
                  <c:v>0</c:v>
                </c:pt>
                <c:pt idx="4">
                  <c:v>201</c:v>
                </c:pt>
              </c:numCache>
            </c:numRef>
          </c:val>
          <c:extLst>
            <c:ext xmlns:c16="http://schemas.microsoft.com/office/drawing/2014/chart" uri="{C3380CC4-5D6E-409C-BE32-E72D297353CC}">
              <c16:uniqueId val="{00000002-0A50-428C-BF3E-E7E874173A9C}"/>
            </c:ext>
          </c:extLst>
        </c:ser>
        <c:dLbls>
          <c:dLblPos val="outEnd"/>
          <c:showLegendKey val="0"/>
          <c:showVal val="1"/>
          <c:showCatName val="0"/>
          <c:showSerName val="0"/>
          <c:showPercent val="0"/>
          <c:showBubbleSize val="0"/>
        </c:dLbls>
        <c:gapWidth val="182"/>
        <c:axId val="280951424"/>
        <c:axId val="281654016"/>
      </c:barChart>
      <c:catAx>
        <c:axId val="280951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Referral Source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1654016"/>
        <c:crosses val="autoZero"/>
        <c:auto val="1"/>
        <c:lblAlgn val="ctr"/>
        <c:lblOffset val="100"/>
        <c:noMultiLvlLbl val="0"/>
      </c:catAx>
      <c:valAx>
        <c:axId val="281654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95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b="1"/>
              <a:t>Step 3 (Core) CAMHS-% and Frequency Non-Attendance</a:t>
            </a:r>
            <a:r>
              <a:rPr lang="en-GB" sz="1000" b="1" baseline="0"/>
              <a:t> at Apts</a:t>
            </a:r>
            <a:endParaRPr lang="en-GB" sz="1000" b="1"/>
          </a:p>
        </c:rich>
      </c:tx>
      <c:overlay val="0"/>
      <c:spPr>
        <a:noFill/>
        <a:ln>
          <a:noFill/>
        </a:ln>
        <a:effectLst/>
      </c:spPr>
    </c:title>
    <c:autoTitleDeleted val="0"/>
    <c:plotArea>
      <c:layout/>
      <c:barChart>
        <c:barDir val="col"/>
        <c:grouping val="clustered"/>
        <c:varyColors val="0"/>
        <c:ser>
          <c:idx val="0"/>
          <c:order val="0"/>
          <c:tx>
            <c:strRef>
              <c:f>'DNACNA(STEP3)'!$C$15</c:f>
              <c:strCache>
                <c:ptCount val="1"/>
                <c:pt idx="0">
                  <c:v>1st Appointment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'DNACNA(STEP3)'!$D$13:$J$14</c:f>
              <c:strCache>
                <c:ptCount val="7"/>
                <c:pt idx="0">
                  <c:v>2013/14</c:v>
                </c:pt>
                <c:pt idx="1">
                  <c:v>2014/15</c:v>
                </c:pt>
                <c:pt idx="2">
                  <c:v>2015/16</c:v>
                </c:pt>
                <c:pt idx="3">
                  <c:v>2016/17</c:v>
                </c:pt>
                <c:pt idx="4">
                  <c:v>2017/18</c:v>
                </c:pt>
                <c:pt idx="5">
                  <c:v>2018/19</c:v>
                </c:pt>
                <c:pt idx="6">
                  <c:v>2019/20</c:v>
                </c:pt>
              </c:strCache>
            </c:strRef>
          </c:cat>
          <c:val>
            <c:numRef>
              <c:f>'DNACNA(STEP3)'!$D$15:$J$15</c:f>
              <c:numCache>
                <c:formatCode>General</c:formatCode>
                <c:ptCount val="7"/>
                <c:pt idx="0">
                  <c:v>16</c:v>
                </c:pt>
                <c:pt idx="1">
                  <c:v>16</c:v>
                </c:pt>
                <c:pt idx="2">
                  <c:v>15</c:v>
                </c:pt>
                <c:pt idx="4">
                  <c:v>29</c:v>
                </c:pt>
                <c:pt idx="5">
                  <c:v>23</c:v>
                </c:pt>
                <c:pt idx="6">
                  <c:v>20</c:v>
                </c:pt>
              </c:numCache>
            </c:numRef>
          </c:val>
          <c:extLst>
            <c:ext xmlns:c16="http://schemas.microsoft.com/office/drawing/2014/chart" uri="{C3380CC4-5D6E-409C-BE32-E72D297353CC}">
              <c16:uniqueId val="{00000000-3464-4514-8CC7-6F6CC9255592}"/>
            </c:ext>
          </c:extLst>
        </c:ser>
        <c:ser>
          <c:idx val="1"/>
          <c:order val="1"/>
          <c:tx>
            <c:strRef>
              <c:f>'DNACNA(STEP3)'!$C$16</c:f>
              <c:strCache>
                <c:ptCount val="1"/>
                <c:pt idx="0">
                  <c:v>Review Appointment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'DNACNA(STEP3)'!$D$13:$J$14</c:f>
              <c:strCache>
                <c:ptCount val="7"/>
                <c:pt idx="0">
                  <c:v>2013/14</c:v>
                </c:pt>
                <c:pt idx="1">
                  <c:v>2014/15</c:v>
                </c:pt>
                <c:pt idx="2">
                  <c:v>2015/16</c:v>
                </c:pt>
                <c:pt idx="3">
                  <c:v>2016/17</c:v>
                </c:pt>
                <c:pt idx="4">
                  <c:v>2017/18</c:v>
                </c:pt>
                <c:pt idx="5">
                  <c:v>2018/19</c:v>
                </c:pt>
                <c:pt idx="6">
                  <c:v>2019/20</c:v>
                </c:pt>
              </c:strCache>
            </c:strRef>
          </c:cat>
          <c:val>
            <c:numRef>
              <c:f>'DNACNA(STEP3)'!$D$16:$J$16</c:f>
              <c:numCache>
                <c:formatCode>General</c:formatCode>
                <c:ptCount val="7"/>
                <c:pt idx="0">
                  <c:v>24</c:v>
                </c:pt>
                <c:pt idx="1">
                  <c:v>24</c:v>
                </c:pt>
                <c:pt idx="2">
                  <c:v>24</c:v>
                </c:pt>
                <c:pt idx="4">
                  <c:v>19</c:v>
                </c:pt>
                <c:pt idx="5">
                  <c:v>19</c:v>
                </c:pt>
                <c:pt idx="6">
                  <c:v>19</c:v>
                </c:pt>
              </c:numCache>
            </c:numRef>
          </c:val>
          <c:extLst>
            <c:ext xmlns:c16="http://schemas.microsoft.com/office/drawing/2014/chart" uri="{C3380CC4-5D6E-409C-BE32-E72D297353CC}">
              <c16:uniqueId val="{00000001-3464-4514-8CC7-6F6CC9255592}"/>
            </c:ext>
          </c:extLst>
        </c:ser>
        <c:dLbls>
          <c:showLegendKey val="0"/>
          <c:showVal val="1"/>
          <c:showCatName val="0"/>
          <c:showSerName val="0"/>
          <c:showPercent val="0"/>
          <c:showBubbleSize val="0"/>
        </c:dLbls>
        <c:gapWidth val="150"/>
        <c:overlap val="-25"/>
        <c:axId val="295583104"/>
        <c:axId val="295613568"/>
      </c:barChart>
      <c:catAx>
        <c:axId val="2955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5613568"/>
        <c:crosses val="autoZero"/>
        <c:auto val="1"/>
        <c:lblAlgn val="ctr"/>
        <c:lblOffset val="100"/>
        <c:noMultiLvlLbl val="0"/>
      </c:catAx>
      <c:valAx>
        <c:axId val="295613568"/>
        <c:scaling>
          <c:orientation val="minMax"/>
        </c:scaling>
        <c:delete val="1"/>
        <c:axPos val="l"/>
        <c:numFmt formatCode="General" sourceLinked="1"/>
        <c:majorTickMark val="none"/>
        <c:minorTickMark val="none"/>
        <c:tickLblPos val="nextTo"/>
        <c:crossAx val="29558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b="1"/>
              <a:t>Regional Global Non-Attendance</a:t>
            </a:r>
            <a:r>
              <a:rPr lang="en-GB" sz="1000" b="1" baseline="0"/>
              <a:t> for </a:t>
            </a:r>
            <a:r>
              <a:rPr lang="en-GB" sz="1000" b="1"/>
              <a:t>New &amp; Review Activity 2017/18- 2019/20 </a:t>
            </a:r>
          </a:p>
        </c:rich>
      </c:tx>
      <c:overlay val="0"/>
      <c:spPr>
        <a:noFill/>
        <a:ln>
          <a:noFill/>
        </a:ln>
        <a:effectLst/>
      </c:spPr>
    </c:title>
    <c:autoTitleDeleted val="0"/>
    <c:plotArea>
      <c:layout/>
      <c:barChart>
        <c:barDir val="col"/>
        <c:grouping val="clustered"/>
        <c:varyColors val="0"/>
        <c:ser>
          <c:idx val="0"/>
          <c:order val="0"/>
          <c:tx>
            <c:strRef>
              <c:f>'DNA Regional'!$P$8</c:f>
              <c:strCache>
                <c:ptCount val="1"/>
                <c:pt idx="0">
                  <c:v>New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'DNA Regional'!$Q$4:$S$7</c:f>
              <c:strCache>
                <c:ptCount val="3"/>
                <c:pt idx="0">
                  <c:v>17/18</c:v>
                </c:pt>
                <c:pt idx="1">
                  <c:v>18/19</c:v>
                </c:pt>
                <c:pt idx="2">
                  <c:v>19/20</c:v>
                </c:pt>
              </c:strCache>
            </c:strRef>
          </c:cat>
          <c:val>
            <c:numRef>
              <c:f>'DNA Regional'!$Q$8:$S$8</c:f>
              <c:numCache>
                <c:formatCode>General</c:formatCode>
                <c:ptCount val="3"/>
                <c:pt idx="0">
                  <c:v>26</c:v>
                </c:pt>
                <c:pt idx="1">
                  <c:v>20</c:v>
                </c:pt>
                <c:pt idx="2">
                  <c:v>20</c:v>
                </c:pt>
              </c:numCache>
            </c:numRef>
          </c:val>
          <c:extLst>
            <c:ext xmlns:c16="http://schemas.microsoft.com/office/drawing/2014/chart" uri="{C3380CC4-5D6E-409C-BE32-E72D297353CC}">
              <c16:uniqueId val="{00000000-4008-4ADB-9A7F-827C14530C2E}"/>
            </c:ext>
          </c:extLst>
        </c:ser>
        <c:ser>
          <c:idx val="1"/>
          <c:order val="1"/>
          <c:tx>
            <c:strRef>
              <c:f>'DNA Regional'!$P$9</c:f>
              <c:strCache>
                <c:ptCount val="1"/>
                <c:pt idx="0">
                  <c:v>Review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'DNA Regional'!$Q$4:$S$7</c:f>
              <c:strCache>
                <c:ptCount val="3"/>
                <c:pt idx="0">
                  <c:v>17/18</c:v>
                </c:pt>
                <c:pt idx="1">
                  <c:v>18/19</c:v>
                </c:pt>
                <c:pt idx="2">
                  <c:v>19/20</c:v>
                </c:pt>
              </c:strCache>
            </c:strRef>
          </c:cat>
          <c:val>
            <c:numRef>
              <c:f>'DNA Regional'!$Q$9:$S$9</c:f>
              <c:numCache>
                <c:formatCode>General</c:formatCode>
                <c:ptCount val="3"/>
                <c:pt idx="0">
                  <c:v>18</c:v>
                </c:pt>
                <c:pt idx="1">
                  <c:v>17</c:v>
                </c:pt>
                <c:pt idx="2">
                  <c:v>18</c:v>
                </c:pt>
              </c:numCache>
            </c:numRef>
          </c:val>
          <c:extLst>
            <c:ext xmlns:c16="http://schemas.microsoft.com/office/drawing/2014/chart" uri="{C3380CC4-5D6E-409C-BE32-E72D297353CC}">
              <c16:uniqueId val="{00000001-4008-4ADB-9A7F-827C14530C2E}"/>
            </c:ext>
          </c:extLst>
        </c:ser>
        <c:dLbls>
          <c:dLblPos val="outEnd"/>
          <c:showLegendKey val="0"/>
          <c:showVal val="1"/>
          <c:showCatName val="0"/>
          <c:showSerName val="0"/>
          <c:showPercent val="0"/>
          <c:showBubbleSize val="0"/>
        </c:dLbls>
        <c:gapWidth val="219"/>
        <c:overlap val="-27"/>
        <c:axId val="295611776"/>
        <c:axId val="410101248"/>
      </c:barChart>
      <c:catAx>
        <c:axId val="29561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0101248"/>
        <c:crosses val="autoZero"/>
        <c:auto val="1"/>
        <c:lblAlgn val="ctr"/>
        <c:lblOffset val="100"/>
        <c:noMultiLvlLbl val="0"/>
      </c:catAx>
      <c:valAx>
        <c:axId val="41010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561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t>Clinical Reason for Discharge from CAMHS</a:t>
            </a:r>
          </a:p>
        </c:rich>
      </c:tx>
      <c:overlay val="0"/>
      <c:spPr>
        <a:noFill/>
        <a:ln>
          <a:noFill/>
        </a:ln>
        <a:effectLst/>
      </c:spPr>
    </c:title>
    <c:autoTitleDeleted val="0"/>
    <c:plotArea>
      <c:layout/>
      <c:barChart>
        <c:barDir val="col"/>
        <c:grouping val="clustered"/>
        <c:varyColors val="0"/>
        <c:ser>
          <c:idx val="0"/>
          <c:order val="0"/>
          <c:tx>
            <c:strRef>
              <c:f>'Clinical Reason for Discharge'!$D$10</c:f>
              <c:strCache>
                <c:ptCount val="1"/>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 Reason for Discharge'!$C$11:$C$14</c:f>
              <c:strCache>
                <c:ptCount val="4"/>
                <c:pt idx="0">
                  <c:v>Goal Achieved </c:v>
                </c:pt>
                <c:pt idx="1">
                  <c:v>Goal not achieved (No change)</c:v>
                </c:pt>
                <c:pt idx="2">
                  <c:v>Goal Partially Achieved</c:v>
                </c:pt>
                <c:pt idx="3">
                  <c:v>Client Disengaged</c:v>
                </c:pt>
              </c:strCache>
            </c:strRef>
          </c:cat>
          <c:val>
            <c:numRef>
              <c:f>'Clinical Reason for Discharge'!$D$11:$D$14</c:f>
              <c:numCache>
                <c:formatCode>0</c:formatCode>
                <c:ptCount val="4"/>
                <c:pt idx="0">
                  <c:v>60.439874321622391</c:v>
                </c:pt>
                <c:pt idx="1">
                  <c:v>5.2984861468151951</c:v>
                </c:pt>
                <c:pt idx="2">
                  <c:v>8.3690374178806053</c:v>
                </c:pt>
                <c:pt idx="3">
                  <c:v>25.749785775492718</c:v>
                </c:pt>
              </c:numCache>
            </c:numRef>
          </c:val>
          <c:extLst>
            <c:ext xmlns:c16="http://schemas.microsoft.com/office/drawing/2014/chart" uri="{C3380CC4-5D6E-409C-BE32-E72D297353CC}">
              <c16:uniqueId val="{00000000-89F5-4362-A878-97F0730B4659}"/>
            </c:ext>
          </c:extLst>
        </c:ser>
        <c:ser>
          <c:idx val="1"/>
          <c:order val="1"/>
          <c:tx>
            <c:strRef>
              <c:f>'Clinical Reason for Discharge'!$E$10</c:f>
              <c:strCache>
                <c:ptCount val="1"/>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'Clinical Reason for Discharge'!$C$11:$C$14</c:f>
              <c:strCache>
                <c:ptCount val="4"/>
                <c:pt idx="0">
                  <c:v>Goal Achieved </c:v>
                </c:pt>
                <c:pt idx="1">
                  <c:v>Goal not achieved (No change)</c:v>
                </c:pt>
                <c:pt idx="2">
                  <c:v>Goal Partially Achieved</c:v>
                </c:pt>
                <c:pt idx="3">
                  <c:v>Client Disengaged</c:v>
                </c:pt>
              </c:strCache>
            </c:strRef>
          </c:cat>
          <c:val>
            <c:numRef>
              <c:f>'Clinical Reason for Discharge'!$E$11:$E$14</c:f>
              <c:numCache>
                <c:formatCode>0</c:formatCode>
                <c:ptCount val="4"/>
                <c:pt idx="0">
                  <c:v>57.97441921169407</c:v>
                </c:pt>
                <c:pt idx="1">
                  <c:v>6.0819629339598018</c:v>
                </c:pt>
                <c:pt idx="2">
                  <c:v>9.9973897154789864</c:v>
                </c:pt>
                <c:pt idx="3">
                  <c:v>25.946228138867138</c:v>
                </c:pt>
              </c:numCache>
            </c:numRef>
          </c:val>
          <c:extLst>
            <c:ext xmlns:c16="http://schemas.microsoft.com/office/drawing/2014/chart" uri="{C3380CC4-5D6E-409C-BE32-E72D297353CC}">
              <c16:uniqueId val="{00000001-89F5-4362-A878-97F0730B4659}"/>
            </c:ext>
          </c:extLst>
        </c:ser>
        <c:dLbls>
          <c:dLblPos val="outEnd"/>
          <c:showLegendKey val="0"/>
          <c:showVal val="1"/>
          <c:showCatName val="0"/>
          <c:showSerName val="0"/>
          <c:showPercent val="0"/>
          <c:showBubbleSize val="0"/>
        </c:dLbls>
        <c:gapWidth val="219"/>
        <c:overlap val="-27"/>
        <c:axId val="410919296"/>
        <c:axId val="410920832"/>
      </c:barChart>
      <c:catAx>
        <c:axId val="4109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0920832"/>
        <c:crosses val="autoZero"/>
        <c:auto val="1"/>
        <c:lblAlgn val="ctr"/>
        <c:lblOffset val="100"/>
        <c:noMultiLvlLbl val="0"/>
      </c:catAx>
      <c:valAx>
        <c:axId val="41092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091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t>Total CAMHS Waiting List at Year End Position across all Trusts and All Services</a:t>
            </a:r>
          </a:p>
        </c:rich>
      </c:tx>
      <c:overlay val="0"/>
      <c:spPr>
        <a:noFill/>
        <a:ln>
          <a:noFill/>
        </a:ln>
        <a:effectLst/>
      </c:spPr>
    </c:title>
    <c:autoTitleDeleted val="0"/>
    <c:plotArea>
      <c:layout/>
      <c:barChart>
        <c:barDir val="col"/>
        <c:grouping val="clustered"/>
        <c:varyColors val="0"/>
        <c:ser>
          <c:idx val="0"/>
          <c:order val="0"/>
          <c:tx>
            <c:strRef>
              <c:f>'Waiting Time Figs'!$C$32</c:f>
              <c:strCache>
                <c:ptCount val="1"/>
                <c:pt idx="0">
                  <c:v>Total Waiting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'Waiting Time Figs'!$B$33:$B$36</c:f>
              <c:numCache>
                <c:formatCode>General</c:formatCode>
                <c:ptCount val="4"/>
                <c:pt idx="0">
                  <c:v>2017</c:v>
                </c:pt>
                <c:pt idx="1">
                  <c:v>2018</c:v>
                </c:pt>
                <c:pt idx="2">
                  <c:v>2019</c:v>
                </c:pt>
                <c:pt idx="3">
                  <c:v>2020</c:v>
                </c:pt>
              </c:numCache>
            </c:numRef>
          </c:cat>
          <c:val>
            <c:numRef>
              <c:f>'Waiting Time Figs'!$C$33:$C$36</c:f>
              <c:numCache>
                <c:formatCode>General</c:formatCode>
                <c:ptCount val="4"/>
                <c:pt idx="0">
                  <c:v>1056</c:v>
                </c:pt>
                <c:pt idx="1">
                  <c:v>1057</c:v>
                </c:pt>
                <c:pt idx="2">
                  <c:v>2005</c:v>
                </c:pt>
                <c:pt idx="3">
                  <c:v>1829</c:v>
                </c:pt>
              </c:numCache>
            </c:numRef>
          </c:val>
          <c:extLst>
            <c:ext xmlns:c16="http://schemas.microsoft.com/office/drawing/2014/chart" uri="{C3380CC4-5D6E-409C-BE32-E72D297353CC}">
              <c16:uniqueId val="{00000000-EB7F-49AA-A1AB-27A11AE47590}"/>
            </c:ext>
          </c:extLst>
        </c:ser>
        <c:ser>
          <c:idx val="1"/>
          <c:order val="1"/>
          <c:tx>
            <c:strRef>
              <c:f>'Waiting Time Figs'!$D$32</c:f>
              <c:strCache>
                <c:ptCount val="1"/>
                <c:pt idx="0">
                  <c:v>Greater than 9 Weeks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'Waiting Time Figs'!$B$33:$B$36</c:f>
              <c:numCache>
                <c:formatCode>General</c:formatCode>
                <c:ptCount val="4"/>
                <c:pt idx="0">
                  <c:v>2017</c:v>
                </c:pt>
                <c:pt idx="1">
                  <c:v>2018</c:v>
                </c:pt>
                <c:pt idx="2">
                  <c:v>2019</c:v>
                </c:pt>
                <c:pt idx="3">
                  <c:v>2020</c:v>
                </c:pt>
              </c:numCache>
            </c:numRef>
          </c:cat>
          <c:val>
            <c:numRef>
              <c:f>'Waiting Time Figs'!$D$33:$D$36</c:f>
              <c:numCache>
                <c:formatCode>General</c:formatCode>
                <c:ptCount val="4"/>
                <c:pt idx="0">
                  <c:v>86</c:v>
                </c:pt>
                <c:pt idx="1">
                  <c:v>66</c:v>
                </c:pt>
                <c:pt idx="2">
                  <c:v>487</c:v>
                </c:pt>
                <c:pt idx="3">
                  <c:v>707</c:v>
                </c:pt>
              </c:numCache>
            </c:numRef>
          </c:val>
          <c:extLst>
            <c:ext xmlns:c16="http://schemas.microsoft.com/office/drawing/2014/chart" uri="{C3380CC4-5D6E-409C-BE32-E72D297353CC}">
              <c16:uniqueId val="{00000001-EB7F-49AA-A1AB-27A11AE47590}"/>
            </c:ext>
          </c:extLst>
        </c:ser>
        <c:dLbls>
          <c:dLblPos val="outEnd"/>
          <c:showLegendKey val="0"/>
          <c:showVal val="1"/>
          <c:showCatName val="0"/>
          <c:showSerName val="0"/>
          <c:showPercent val="0"/>
          <c:showBubbleSize val="0"/>
        </c:dLbls>
        <c:gapWidth val="219"/>
        <c:overlap val="-27"/>
        <c:axId val="411243264"/>
        <c:axId val="411245184"/>
      </c:barChart>
      <c:catAx>
        <c:axId val="411243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1245184"/>
        <c:crosses val="autoZero"/>
        <c:auto val="1"/>
        <c:lblAlgn val="ctr"/>
        <c:lblOffset val="100"/>
        <c:noMultiLvlLbl val="0"/>
      </c:catAx>
      <c:valAx>
        <c:axId val="41124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No. Waiting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124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t>Step 3 (Core CAMHS): Waiting Times by HSCT 2014-2020  </a:t>
            </a:r>
          </a:p>
        </c:rich>
      </c:tx>
      <c:overlay val="0"/>
      <c:spPr>
        <a:noFill/>
        <a:ln>
          <a:noFill/>
        </a:ln>
        <a:effectLst/>
      </c:spPr>
    </c:title>
    <c:autoTitleDeleted val="0"/>
    <c:plotArea>
      <c:layout/>
      <c:lineChart>
        <c:grouping val="standard"/>
        <c:varyColors val="0"/>
        <c:ser>
          <c:idx val="0"/>
          <c:order val="0"/>
          <c:tx>
            <c:strRef>
              <c:f>'Waiting Time Figs'!$B$56</c:f>
              <c:strCache>
                <c:ptCount val="1"/>
                <c:pt idx="0">
                  <c:v>Belfast /SET</c:v>
                </c:pt>
              </c:strCache>
            </c:strRef>
          </c:tx>
          <c:spPr>
            <a:ln w="28575" cap="rnd">
              <a:solidFill>
                <a:schemeClr val="accent1"/>
              </a:solidFill>
              <a:round/>
            </a:ln>
            <a:effectLst/>
          </c:spPr>
          <c:marker>
            <c:symbol val="none"/>
          </c:marker>
          <c:cat>
            <c:numRef>
              <c:f>'Waiting Time Figs'!$C$55:$I$55</c:f>
              <c:numCache>
                <c:formatCode>General</c:formatCode>
                <c:ptCount val="7"/>
                <c:pt idx="0">
                  <c:v>2014</c:v>
                </c:pt>
                <c:pt idx="1">
                  <c:v>2015</c:v>
                </c:pt>
                <c:pt idx="2">
                  <c:v>2016</c:v>
                </c:pt>
                <c:pt idx="3">
                  <c:v>2017</c:v>
                </c:pt>
                <c:pt idx="4">
                  <c:v>2018</c:v>
                </c:pt>
                <c:pt idx="5">
                  <c:v>2019</c:v>
                </c:pt>
                <c:pt idx="6">
                  <c:v>2020</c:v>
                </c:pt>
              </c:numCache>
            </c:numRef>
          </c:cat>
          <c:val>
            <c:numRef>
              <c:f>'Waiting Time Figs'!$C$56:$I$56</c:f>
              <c:numCache>
                <c:formatCode>General</c:formatCode>
                <c:ptCount val="7"/>
                <c:pt idx="0">
                  <c:v>282</c:v>
                </c:pt>
                <c:pt idx="1">
                  <c:v>280</c:v>
                </c:pt>
                <c:pt idx="2">
                  <c:v>330</c:v>
                </c:pt>
                <c:pt idx="3">
                  <c:v>297</c:v>
                </c:pt>
                <c:pt idx="4">
                  <c:v>219</c:v>
                </c:pt>
                <c:pt idx="5">
                  <c:v>439</c:v>
                </c:pt>
                <c:pt idx="6">
                  <c:v>457</c:v>
                </c:pt>
              </c:numCache>
            </c:numRef>
          </c:val>
          <c:smooth val="0"/>
          <c:extLst>
            <c:ext xmlns:c16="http://schemas.microsoft.com/office/drawing/2014/chart" uri="{C3380CC4-5D6E-409C-BE32-E72D297353CC}">
              <c16:uniqueId val="{00000000-DEC1-4C39-AC73-B3499E41E99D}"/>
            </c:ext>
          </c:extLst>
        </c:ser>
        <c:ser>
          <c:idx val="1"/>
          <c:order val="1"/>
          <c:tx>
            <c:strRef>
              <c:f>'Waiting Time Figs'!$B$57</c:f>
              <c:strCache>
                <c:ptCount val="1"/>
                <c:pt idx="0">
                  <c:v>Northern </c:v>
                </c:pt>
              </c:strCache>
            </c:strRef>
          </c:tx>
          <c:spPr>
            <a:ln w="28575" cap="rnd">
              <a:solidFill>
                <a:schemeClr val="accent2"/>
              </a:solidFill>
              <a:round/>
            </a:ln>
            <a:effectLst/>
          </c:spPr>
          <c:marker>
            <c:symbol val="none"/>
          </c:marker>
          <c:cat>
            <c:numRef>
              <c:f>'Waiting Time Figs'!$C$55:$I$55</c:f>
              <c:numCache>
                <c:formatCode>General</c:formatCode>
                <c:ptCount val="7"/>
                <c:pt idx="0">
                  <c:v>2014</c:v>
                </c:pt>
                <c:pt idx="1">
                  <c:v>2015</c:v>
                </c:pt>
                <c:pt idx="2">
                  <c:v>2016</c:v>
                </c:pt>
                <c:pt idx="3">
                  <c:v>2017</c:v>
                </c:pt>
                <c:pt idx="4">
                  <c:v>2018</c:v>
                </c:pt>
                <c:pt idx="5">
                  <c:v>2019</c:v>
                </c:pt>
                <c:pt idx="6">
                  <c:v>2020</c:v>
                </c:pt>
              </c:numCache>
            </c:numRef>
          </c:cat>
          <c:val>
            <c:numRef>
              <c:f>'Waiting Time Figs'!$C$57:$I$57</c:f>
              <c:numCache>
                <c:formatCode>General</c:formatCode>
                <c:ptCount val="7"/>
                <c:pt idx="0">
                  <c:v>391</c:v>
                </c:pt>
                <c:pt idx="1">
                  <c:v>374</c:v>
                </c:pt>
                <c:pt idx="2">
                  <c:v>150</c:v>
                </c:pt>
                <c:pt idx="3">
                  <c:v>207</c:v>
                </c:pt>
                <c:pt idx="4">
                  <c:v>105</c:v>
                </c:pt>
                <c:pt idx="5">
                  <c:v>110</c:v>
                </c:pt>
                <c:pt idx="6">
                  <c:v>61</c:v>
                </c:pt>
              </c:numCache>
            </c:numRef>
          </c:val>
          <c:smooth val="0"/>
          <c:extLst>
            <c:ext xmlns:c16="http://schemas.microsoft.com/office/drawing/2014/chart" uri="{C3380CC4-5D6E-409C-BE32-E72D297353CC}">
              <c16:uniqueId val="{00000001-DEC1-4C39-AC73-B3499E41E99D}"/>
            </c:ext>
          </c:extLst>
        </c:ser>
        <c:ser>
          <c:idx val="2"/>
          <c:order val="2"/>
          <c:tx>
            <c:strRef>
              <c:f>'Waiting Time Figs'!$B$58</c:f>
              <c:strCache>
                <c:ptCount val="1"/>
                <c:pt idx="0">
                  <c:v>Southern</c:v>
                </c:pt>
              </c:strCache>
            </c:strRef>
          </c:tx>
          <c:spPr>
            <a:ln w="28575" cap="rnd">
              <a:solidFill>
                <a:schemeClr val="accent3"/>
              </a:solidFill>
              <a:round/>
            </a:ln>
            <a:effectLst/>
          </c:spPr>
          <c:marker>
            <c:symbol val="none"/>
          </c:marker>
          <c:cat>
            <c:numRef>
              <c:f>'Waiting Time Figs'!$C$55:$I$55</c:f>
              <c:numCache>
                <c:formatCode>General</c:formatCode>
                <c:ptCount val="7"/>
                <c:pt idx="0">
                  <c:v>2014</c:v>
                </c:pt>
                <c:pt idx="1">
                  <c:v>2015</c:v>
                </c:pt>
                <c:pt idx="2">
                  <c:v>2016</c:v>
                </c:pt>
                <c:pt idx="3">
                  <c:v>2017</c:v>
                </c:pt>
                <c:pt idx="4">
                  <c:v>2018</c:v>
                </c:pt>
                <c:pt idx="5">
                  <c:v>2019</c:v>
                </c:pt>
                <c:pt idx="6">
                  <c:v>2020</c:v>
                </c:pt>
              </c:numCache>
            </c:numRef>
          </c:cat>
          <c:val>
            <c:numRef>
              <c:f>'Waiting Time Figs'!$C$58:$I$58</c:f>
              <c:numCache>
                <c:formatCode>General</c:formatCode>
                <c:ptCount val="7"/>
                <c:pt idx="0">
                  <c:v>95</c:v>
                </c:pt>
                <c:pt idx="1">
                  <c:v>102</c:v>
                </c:pt>
                <c:pt idx="2">
                  <c:v>80</c:v>
                </c:pt>
                <c:pt idx="3">
                  <c:v>109</c:v>
                </c:pt>
                <c:pt idx="4">
                  <c:v>115</c:v>
                </c:pt>
                <c:pt idx="5">
                  <c:v>147</c:v>
                </c:pt>
                <c:pt idx="6">
                  <c:v>215</c:v>
                </c:pt>
              </c:numCache>
            </c:numRef>
          </c:val>
          <c:smooth val="0"/>
          <c:extLst>
            <c:ext xmlns:c16="http://schemas.microsoft.com/office/drawing/2014/chart" uri="{C3380CC4-5D6E-409C-BE32-E72D297353CC}">
              <c16:uniqueId val="{00000002-DEC1-4C39-AC73-B3499E41E99D}"/>
            </c:ext>
          </c:extLst>
        </c:ser>
        <c:ser>
          <c:idx val="3"/>
          <c:order val="3"/>
          <c:tx>
            <c:strRef>
              <c:f>'Waiting Time Figs'!$B$59</c:f>
              <c:strCache>
                <c:ptCount val="1"/>
                <c:pt idx="0">
                  <c:v>Western</c:v>
                </c:pt>
              </c:strCache>
            </c:strRef>
          </c:tx>
          <c:spPr>
            <a:ln w="28575" cap="rnd">
              <a:solidFill>
                <a:schemeClr val="accent4"/>
              </a:solidFill>
              <a:round/>
            </a:ln>
            <a:effectLst/>
          </c:spPr>
          <c:marker>
            <c:symbol val="none"/>
          </c:marker>
          <c:cat>
            <c:numRef>
              <c:f>'Waiting Time Figs'!$C$55:$I$55</c:f>
              <c:numCache>
                <c:formatCode>General</c:formatCode>
                <c:ptCount val="7"/>
                <c:pt idx="0">
                  <c:v>2014</c:v>
                </c:pt>
                <c:pt idx="1">
                  <c:v>2015</c:v>
                </c:pt>
                <c:pt idx="2">
                  <c:v>2016</c:v>
                </c:pt>
                <c:pt idx="3">
                  <c:v>2017</c:v>
                </c:pt>
                <c:pt idx="4">
                  <c:v>2018</c:v>
                </c:pt>
                <c:pt idx="5">
                  <c:v>2019</c:v>
                </c:pt>
                <c:pt idx="6">
                  <c:v>2020</c:v>
                </c:pt>
              </c:numCache>
            </c:numRef>
          </c:cat>
          <c:val>
            <c:numRef>
              <c:f>'Waiting Time Figs'!$C$59:$I$59</c:f>
              <c:numCache>
                <c:formatCode>General</c:formatCode>
                <c:ptCount val="7"/>
                <c:pt idx="0">
                  <c:v>166</c:v>
                </c:pt>
                <c:pt idx="1">
                  <c:v>266</c:v>
                </c:pt>
                <c:pt idx="2">
                  <c:v>182</c:v>
                </c:pt>
                <c:pt idx="3">
                  <c:v>133</c:v>
                </c:pt>
                <c:pt idx="4">
                  <c:v>169</c:v>
                </c:pt>
                <c:pt idx="5">
                  <c:v>271</c:v>
                </c:pt>
                <c:pt idx="6">
                  <c:v>472</c:v>
                </c:pt>
              </c:numCache>
            </c:numRef>
          </c:val>
          <c:smooth val="0"/>
          <c:extLst>
            <c:ext xmlns:c16="http://schemas.microsoft.com/office/drawing/2014/chart" uri="{C3380CC4-5D6E-409C-BE32-E72D297353CC}">
              <c16:uniqueId val="{00000003-DEC1-4C39-AC73-B3499E41E99D}"/>
            </c:ext>
          </c:extLst>
        </c:ser>
        <c:dLbls>
          <c:showLegendKey val="0"/>
          <c:showVal val="0"/>
          <c:showCatName val="0"/>
          <c:showSerName val="0"/>
          <c:showPercent val="0"/>
          <c:showBubbleSize val="0"/>
        </c:dLbls>
        <c:smooth val="0"/>
        <c:axId val="414944256"/>
        <c:axId val="414946048"/>
      </c:lineChart>
      <c:catAx>
        <c:axId val="4149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4946048"/>
        <c:crosses val="autoZero"/>
        <c:auto val="1"/>
        <c:lblAlgn val="ctr"/>
        <c:lblOffset val="100"/>
        <c:noMultiLvlLbl val="0"/>
      </c:catAx>
      <c:valAx>
        <c:axId val="41494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 waiting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49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t>Global CAMHS: Waiting Times by HSCT 2017-2020</a:t>
            </a:r>
          </a:p>
        </c:rich>
      </c:tx>
      <c:overlay val="0"/>
      <c:spPr>
        <a:noFill/>
        <a:ln>
          <a:noFill/>
        </a:ln>
        <a:effectLst/>
      </c:spPr>
    </c:title>
    <c:autoTitleDeleted val="0"/>
    <c:plotArea>
      <c:layout/>
      <c:barChart>
        <c:barDir val="col"/>
        <c:grouping val="clustered"/>
        <c:varyColors val="0"/>
        <c:ser>
          <c:idx val="0"/>
          <c:order val="0"/>
          <c:tx>
            <c:strRef>
              <c:f>'Waiting Time Figs'!$C$66</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Figs'!$B$67:$B$70</c:f>
              <c:strCache>
                <c:ptCount val="4"/>
                <c:pt idx="0">
                  <c:v>Belfast /SET</c:v>
                </c:pt>
                <c:pt idx="1">
                  <c:v>Northern </c:v>
                </c:pt>
                <c:pt idx="2">
                  <c:v>Southern</c:v>
                </c:pt>
                <c:pt idx="3">
                  <c:v>Western</c:v>
                </c:pt>
              </c:strCache>
            </c:strRef>
          </c:cat>
          <c:val>
            <c:numRef>
              <c:f>'Waiting Time Figs'!$C$67:$C$70</c:f>
              <c:numCache>
                <c:formatCode>General</c:formatCode>
                <c:ptCount val="4"/>
                <c:pt idx="0">
                  <c:v>418</c:v>
                </c:pt>
                <c:pt idx="1">
                  <c:v>207</c:v>
                </c:pt>
                <c:pt idx="2">
                  <c:v>240</c:v>
                </c:pt>
                <c:pt idx="3">
                  <c:v>191</c:v>
                </c:pt>
              </c:numCache>
            </c:numRef>
          </c:val>
          <c:extLst>
            <c:ext xmlns:c16="http://schemas.microsoft.com/office/drawing/2014/chart" uri="{C3380CC4-5D6E-409C-BE32-E72D297353CC}">
              <c16:uniqueId val="{00000000-BC85-4C6C-82F5-80ED53E37C61}"/>
            </c:ext>
          </c:extLst>
        </c:ser>
        <c:ser>
          <c:idx val="1"/>
          <c:order val="1"/>
          <c:tx>
            <c:strRef>
              <c:f>'Waiting Time Figs'!$D$66</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Figs'!$B$67:$B$70</c:f>
              <c:strCache>
                <c:ptCount val="4"/>
                <c:pt idx="0">
                  <c:v>Belfast /SET</c:v>
                </c:pt>
                <c:pt idx="1">
                  <c:v>Northern </c:v>
                </c:pt>
                <c:pt idx="2">
                  <c:v>Southern</c:v>
                </c:pt>
                <c:pt idx="3">
                  <c:v>Western</c:v>
                </c:pt>
              </c:strCache>
            </c:strRef>
          </c:cat>
          <c:val>
            <c:numRef>
              <c:f>'Waiting Time Figs'!$D$67:$D$70</c:f>
              <c:numCache>
                <c:formatCode>General</c:formatCode>
                <c:ptCount val="4"/>
                <c:pt idx="0">
                  <c:v>370</c:v>
                </c:pt>
                <c:pt idx="1">
                  <c:v>227</c:v>
                </c:pt>
                <c:pt idx="2">
                  <c:v>242</c:v>
                </c:pt>
                <c:pt idx="3">
                  <c:v>218</c:v>
                </c:pt>
              </c:numCache>
            </c:numRef>
          </c:val>
          <c:extLst>
            <c:ext xmlns:c16="http://schemas.microsoft.com/office/drawing/2014/chart" uri="{C3380CC4-5D6E-409C-BE32-E72D297353CC}">
              <c16:uniqueId val="{00000001-BC85-4C6C-82F5-80ED53E37C61}"/>
            </c:ext>
          </c:extLst>
        </c:ser>
        <c:ser>
          <c:idx val="2"/>
          <c:order val="2"/>
          <c:tx>
            <c:strRef>
              <c:f>'Waiting Time Figs'!$E$66</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Figs'!$B$67:$B$70</c:f>
              <c:strCache>
                <c:ptCount val="4"/>
                <c:pt idx="0">
                  <c:v>Belfast /SET</c:v>
                </c:pt>
                <c:pt idx="1">
                  <c:v>Northern </c:v>
                </c:pt>
                <c:pt idx="2">
                  <c:v>Southern</c:v>
                </c:pt>
                <c:pt idx="3">
                  <c:v>Western</c:v>
                </c:pt>
              </c:strCache>
            </c:strRef>
          </c:cat>
          <c:val>
            <c:numRef>
              <c:f>'Waiting Time Figs'!$E$67:$E$70</c:f>
              <c:numCache>
                <c:formatCode>General</c:formatCode>
                <c:ptCount val="4"/>
                <c:pt idx="0">
                  <c:v>677</c:v>
                </c:pt>
                <c:pt idx="1">
                  <c:v>673</c:v>
                </c:pt>
                <c:pt idx="2">
                  <c:v>303</c:v>
                </c:pt>
                <c:pt idx="3">
                  <c:v>352</c:v>
                </c:pt>
              </c:numCache>
            </c:numRef>
          </c:val>
          <c:extLst>
            <c:ext xmlns:c16="http://schemas.microsoft.com/office/drawing/2014/chart" uri="{C3380CC4-5D6E-409C-BE32-E72D297353CC}">
              <c16:uniqueId val="{00000002-BC85-4C6C-82F5-80ED53E37C61}"/>
            </c:ext>
          </c:extLst>
        </c:ser>
        <c:ser>
          <c:idx val="3"/>
          <c:order val="3"/>
          <c:tx>
            <c:strRef>
              <c:f>'Waiting Time Figs'!$F$66</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'Waiting Time Figs'!$B$67:$B$70</c:f>
              <c:strCache>
                <c:ptCount val="4"/>
                <c:pt idx="0">
                  <c:v>Belfast /SET</c:v>
                </c:pt>
                <c:pt idx="1">
                  <c:v>Northern </c:v>
                </c:pt>
                <c:pt idx="2">
                  <c:v>Southern</c:v>
                </c:pt>
                <c:pt idx="3">
                  <c:v>Western</c:v>
                </c:pt>
              </c:strCache>
            </c:strRef>
          </c:cat>
          <c:val>
            <c:numRef>
              <c:f>'Waiting Time Figs'!$F$67:$F$70</c:f>
              <c:numCache>
                <c:formatCode>General</c:formatCode>
                <c:ptCount val="4"/>
                <c:pt idx="0">
                  <c:v>598</c:v>
                </c:pt>
                <c:pt idx="1">
                  <c:v>210</c:v>
                </c:pt>
                <c:pt idx="2">
                  <c:v>438</c:v>
                </c:pt>
                <c:pt idx="3">
                  <c:v>583</c:v>
                </c:pt>
              </c:numCache>
            </c:numRef>
          </c:val>
          <c:extLst>
            <c:ext xmlns:c16="http://schemas.microsoft.com/office/drawing/2014/chart" uri="{C3380CC4-5D6E-409C-BE32-E72D297353CC}">
              <c16:uniqueId val="{00000003-BC85-4C6C-82F5-80ED53E37C61}"/>
            </c:ext>
          </c:extLst>
        </c:ser>
        <c:dLbls>
          <c:dLblPos val="outEnd"/>
          <c:showLegendKey val="0"/>
          <c:showVal val="1"/>
          <c:showCatName val="0"/>
          <c:showSerName val="0"/>
          <c:showPercent val="0"/>
          <c:showBubbleSize val="0"/>
        </c:dLbls>
        <c:gapWidth val="219"/>
        <c:overlap val="-27"/>
        <c:axId val="415578752"/>
        <c:axId val="415588736"/>
      </c:barChart>
      <c:catAx>
        <c:axId val="41557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5588736"/>
        <c:crosses val="autoZero"/>
        <c:auto val="1"/>
        <c:lblAlgn val="ctr"/>
        <c:lblOffset val="100"/>
        <c:noMultiLvlLbl val="0"/>
      </c:catAx>
      <c:valAx>
        <c:axId val="41558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 waiting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557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8EAB8-C9F1-4DA1-B844-392E150B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7089</Words>
  <Characters>40409</Characters>
  <Application>Microsoft Office Word</Application>
  <DocSecurity>2</DocSecurity>
  <Lines>336</Lines>
  <Paragraphs>94</Paragraphs>
  <ScaleCrop>false</ScaleCrop>
  <HeadingPairs>
    <vt:vector size="2" baseType="variant">
      <vt:variant>
        <vt:lpstr>Title</vt:lpstr>
      </vt:variant>
      <vt:variant>
        <vt:i4>1</vt:i4>
      </vt:variant>
    </vt:vector>
  </HeadingPairs>
  <TitlesOfParts>
    <vt:vector size="1" baseType="lpstr">
      <vt:lpstr>Draft</vt:lpstr>
    </vt:vector>
  </TitlesOfParts>
  <Company>Whitenoise</Company>
  <LinksUpToDate>false</LinksUpToDate>
  <CharactersWithSpaces>47404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Nic Scott</dc:creator>
  <cp:lastModifiedBy>Christine Irvine</cp:lastModifiedBy>
  <cp:revision>9</cp:revision>
  <cp:lastPrinted>2013-07-24T10:39:00Z</cp:lastPrinted>
  <dcterms:created xsi:type="dcterms:W3CDTF">2021-02-01T16:44:00Z</dcterms:created>
  <dcterms:modified xsi:type="dcterms:W3CDTF">2021-02-02T11:21:00Z</dcterms:modified>
</cp:coreProperties>
</file>